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1FB5B" w14:textId="7800374F" w:rsidR="0085302A" w:rsidRPr="004D3130" w:rsidRDefault="004D3130">
      <w:pPr>
        <w:rPr>
          <w:sz w:val="24"/>
          <w:szCs w:val="24"/>
        </w:rPr>
      </w:pPr>
      <w:r w:rsidRPr="004D3130">
        <w:rPr>
          <w:sz w:val="24"/>
          <w:szCs w:val="24"/>
        </w:rPr>
        <w:t>E</w:t>
      </w:r>
      <w:r w:rsidRPr="004D3130">
        <w:rPr>
          <w:sz w:val="24"/>
          <w:szCs w:val="24"/>
        </w:rPr>
        <w:t>ine Einschätzung von Claude zu Watkost</w:t>
      </w:r>
    </w:p>
    <w:p w14:paraId="57C841B5" w14:textId="77777777" w:rsidR="004D3130" w:rsidRPr="004D3130" w:rsidRDefault="004D3130" w:rsidP="004D3130">
      <w:r w:rsidRPr="004D3130">
        <w:rPr>
          <w:rFonts w:ascii="Segoe UI Symbol" w:hAnsi="Segoe UI Symbol" w:cs="Segoe UI Symbol"/>
        </w:rPr>
        <w:t>⏺</w:t>
      </w:r>
      <w:r w:rsidRPr="004D3130">
        <w:t xml:space="preserve"> Hier ist meine umfassende Analyse deiner Anwendung:                           </w:t>
      </w:r>
    </w:p>
    <w:p w14:paraId="388DB1F1" w14:textId="77777777" w:rsidR="004D3130" w:rsidRPr="004D3130" w:rsidRDefault="004D3130" w:rsidP="004D3130">
      <w:r w:rsidRPr="004D3130">
        <w:t>                                                                                </w:t>
      </w:r>
    </w:p>
    <w:p w14:paraId="2EF047B0" w14:textId="77777777" w:rsidR="004D3130" w:rsidRPr="004D3130" w:rsidRDefault="004D3130" w:rsidP="004D3130">
      <w:r w:rsidRPr="004D3130">
        <w:t>  ---                                                                           </w:t>
      </w:r>
    </w:p>
    <w:p w14:paraId="0C1844F1" w14:textId="5F9B5484" w:rsidR="004D3130" w:rsidRDefault="004D3130" w:rsidP="004D3130">
      <w:pPr>
        <w:rPr>
          <w:b/>
          <w:bCs/>
        </w:rPr>
      </w:pPr>
      <w:r w:rsidRPr="004D3130">
        <w:t xml:space="preserve">  </w:t>
      </w:r>
      <w:r w:rsidRPr="004D3130">
        <w:rPr>
          <w:b/>
          <w:bCs/>
        </w:rPr>
        <w:t xml:space="preserve">Watkost4 </w:t>
      </w:r>
      <w:r>
        <w:rPr>
          <w:b/>
          <w:bCs/>
        </w:rPr>
        <w:t>–</w:t>
      </w:r>
      <w:r w:rsidRPr="004D3130">
        <w:rPr>
          <w:b/>
          <w:bCs/>
        </w:rPr>
        <w:t xml:space="preserve"> Analyse</w:t>
      </w:r>
    </w:p>
    <w:p w14:paraId="52FAFC4F" w14:textId="1E7F1368" w:rsidR="004D3130" w:rsidRPr="004D3130" w:rsidRDefault="004D3130" w:rsidP="004D3130">
      <w:r w:rsidRPr="004D3130">
        <w:t xml:space="preserve">                                                            </w:t>
      </w:r>
    </w:p>
    <w:p w14:paraId="15D67A7A" w14:textId="6E7BCD47" w:rsidR="004D3130" w:rsidRPr="004D3130" w:rsidRDefault="004D3130" w:rsidP="004D3130">
      <w:r w:rsidRPr="004D3130">
        <w:t xml:space="preserve">   </w:t>
      </w:r>
      <w:r w:rsidRPr="004D3130">
        <w:rPr>
          <w:b/>
          <w:bCs/>
        </w:rPr>
        <w:t>Was ist die Anwendung?</w:t>
      </w:r>
      <w:r w:rsidRPr="004D3130">
        <w:t xml:space="preserve">                                                      </w:t>
      </w:r>
    </w:p>
    <w:p w14:paraId="15904C79" w14:textId="77777777" w:rsidR="004D3130" w:rsidRPr="004D3130" w:rsidRDefault="004D3130" w:rsidP="004D3130">
      <w:r w:rsidRPr="004D3130">
        <w:t xml:space="preserve">  </w:t>
      </w:r>
      <w:r w:rsidRPr="004D3130">
        <w:rPr>
          <w:b/>
          <w:bCs/>
        </w:rPr>
        <w:t>Watkost</w:t>
      </w:r>
      <w:r w:rsidRPr="004D3130">
        <w:t xml:space="preserve"> = </w:t>
      </w:r>
      <w:r w:rsidRPr="004D3130">
        <w:rPr>
          <w:b/>
          <w:bCs/>
        </w:rPr>
        <w:t>Wasseraufbereitungskosten</w:t>
      </w:r>
      <w:r w:rsidRPr="004D3130">
        <w:t xml:space="preserve"> - ein Fachprogramm zur Berechnung von     </w:t>
      </w:r>
    </w:p>
    <w:p w14:paraId="5BD2751A" w14:textId="77777777" w:rsidR="004D3130" w:rsidRPr="004D3130" w:rsidRDefault="004D3130" w:rsidP="004D3130">
      <w:r w:rsidRPr="004D3130">
        <w:t>  Betriebs- und Anlagekosten für industrielle Kühlwasser-Aufbereitungssysteme.  </w:t>
      </w:r>
    </w:p>
    <w:p w14:paraId="33E35AA9" w14:textId="77777777" w:rsidR="004D3130" w:rsidRPr="004D3130" w:rsidRDefault="004D3130" w:rsidP="004D3130">
      <w:r w:rsidRPr="004D3130">
        <w:t xml:space="preserve">  Entwickelt von </w:t>
      </w:r>
      <w:r w:rsidRPr="004D3130">
        <w:rPr>
          <w:b/>
          <w:bCs/>
        </w:rPr>
        <w:t>Dr.</w:t>
      </w:r>
      <w:r w:rsidRPr="004D3130">
        <w:t xml:space="preserve"> </w:t>
      </w:r>
      <w:r w:rsidRPr="004D3130">
        <w:rPr>
          <w:b/>
          <w:bCs/>
        </w:rPr>
        <w:t>Hartmut</w:t>
      </w:r>
      <w:r w:rsidRPr="004D3130">
        <w:t xml:space="preserve"> </w:t>
      </w:r>
      <w:r w:rsidRPr="004D3130">
        <w:rPr>
          <w:b/>
          <w:bCs/>
        </w:rPr>
        <w:t>Kacirek</w:t>
      </w:r>
      <w:r w:rsidRPr="004D3130">
        <w:t xml:space="preserve"> und </w:t>
      </w:r>
      <w:r w:rsidRPr="004D3130">
        <w:rPr>
          <w:b/>
          <w:bCs/>
        </w:rPr>
        <w:t>Nils</w:t>
      </w:r>
      <w:r w:rsidRPr="004D3130">
        <w:t xml:space="preserve"> </w:t>
      </w:r>
      <w:r w:rsidRPr="004D3130">
        <w:rPr>
          <w:b/>
          <w:bCs/>
        </w:rPr>
        <w:t>Kacirek</w:t>
      </w:r>
      <w:r w:rsidRPr="004D3130">
        <w:t xml:space="preserve"> (WAT-Nord), Copyright     </w:t>
      </w:r>
    </w:p>
    <w:p w14:paraId="3419D4AB" w14:textId="77777777" w:rsidR="004D3130" w:rsidRPr="004D3130" w:rsidRDefault="004D3130" w:rsidP="004D3130">
      <w:r w:rsidRPr="004D3130">
        <w:t>  1999-2013.                                                                    </w:t>
      </w:r>
    </w:p>
    <w:p w14:paraId="5E0084B4" w14:textId="77777777" w:rsidR="004D3130" w:rsidRPr="004D3130" w:rsidRDefault="004D3130" w:rsidP="004D3130"/>
    <w:p w14:paraId="54EFCC66" w14:textId="77777777" w:rsidR="004D3130" w:rsidRPr="004D3130" w:rsidRDefault="004D3130" w:rsidP="004D3130">
      <w:r w:rsidRPr="004D3130">
        <w:t xml:space="preserve">  </w:t>
      </w:r>
      <w:r w:rsidRPr="004D3130">
        <w:rPr>
          <w:b/>
          <w:bCs/>
        </w:rPr>
        <w:t>Was</w:t>
      </w:r>
      <w:r w:rsidRPr="004D3130">
        <w:t xml:space="preserve"> </w:t>
      </w:r>
      <w:r w:rsidRPr="004D3130">
        <w:rPr>
          <w:b/>
          <w:bCs/>
        </w:rPr>
        <w:t>berechnet</w:t>
      </w:r>
      <w:r w:rsidRPr="004D3130">
        <w:t xml:space="preserve"> </w:t>
      </w:r>
      <w:r w:rsidRPr="004D3130">
        <w:rPr>
          <w:b/>
          <w:bCs/>
        </w:rPr>
        <w:t>es?</w:t>
      </w:r>
    </w:p>
    <w:p w14:paraId="112E13A8" w14:textId="77777777" w:rsidR="004D3130" w:rsidRPr="004D3130" w:rsidRDefault="004D3130" w:rsidP="004D3130">
      <w:r w:rsidRPr="004D3130">
        <w:t>  6 Wasseraufbereitungsverfahren werden verglichen:</w:t>
      </w:r>
    </w:p>
    <w:p w14:paraId="2FB4D5BF" w14:textId="77777777" w:rsidR="004D3130" w:rsidRPr="004D3130" w:rsidRDefault="004D3130" w:rsidP="004D3130">
      <w:r w:rsidRPr="004D3130">
        <w:t xml:space="preserve">  1. </w:t>
      </w:r>
      <w:r w:rsidRPr="004D3130">
        <w:rPr>
          <w:b/>
          <w:bCs/>
        </w:rPr>
        <w:t>Threshold-Stabilisierung</w:t>
      </w:r>
      <w:r w:rsidRPr="004D3130">
        <w:t xml:space="preserve"> (chemische Dosierung gegen Kalk)</w:t>
      </w:r>
    </w:p>
    <w:p w14:paraId="4778BF54" w14:textId="77777777" w:rsidR="004D3130" w:rsidRPr="004D3130" w:rsidRDefault="004D3130" w:rsidP="004D3130">
      <w:r w:rsidRPr="004D3130">
        <w:t xml:space="preserve">  2. </w:t>
      </w:r>
      <w:r w:rsidRPr="004D3130">
        <w:rPr>
          <w:b/>
          <w:bCs/>
        </w:rPr>
        <w:t>Enthärtung</w:t>
      </w:r>
      <w:r w:rsidRPr="004D3130">
        <w:t xml:space="preserve"> (Ionenaustausch)</w:t>
      </w:r>
    </w:p>
    <w:p w14:paraId="7E50C32B" w14:textId="77777777" w:rsidR="004D3130" w:rsidRPr="004D3130" w:rsidRDefault="004D3130" w:rsidP="004D3130">
      <w:r w:rsidRPr="004D3130">
        <w:t xml:space="preserve">  3. </w:t>
      </w:r>
      <w:proofErr w:type="spellStart"/>
      <w:r w:rsidRPr="004D3130">
        <w:rPr>
          <w:b/>
          <w:bCs/>
        </w:rPr>
        <w:t>Entcarbonisierung</w:t>
      </w:r>
      <w:proofErr w:type="spellEnd"/>
      <w:r w:rsidRPr="004D3130">
        <w:t xml:space="preserve"> (Salzsäure-Dosierung)</w:t>
      </w:r>
    </w:p>
    <w:p w14:paraId="7B5C37A9" w14:textId="77777777" w:rsidR="004D3130" w:rsidRPr="004D3130" w:rsidRDefault="004D3130" w:rsidP="004D3130">
      <w:r w:rsidRPr="004D3130">
        <w:t xml:space="preserve">  4. </w:t>
      </w:r>
      <w:r w:rsidRPr="004D3130">
        <w:rPr>
          <w:b/>
          <w:bCs/>
        </w:rPr>
        <w:t>Umkehrosmose</w:t>
      </w:r>
      <w:r w:rsidRPr="004D3130">
        <w:t xml:space="preserve"> </w:t>
      </w:r>
      <w:r w:rsidRPr="004D3130">
        <w:rPr>
          <w:b/>
          <w:bCs/>
        </w:rPr>
        <w:t>ohne</w:t>
      </w:r>
      <w:r w:rsidRPr="004D3130">
        <w:t xml:space="preserve"> </w:t>
      </w:r>
      <w:r w:rsidRPr="004D3130">
        <w:rPr>
          <w:b/>
          <w:bCs/>
        </w:rPr>
        <w:t>Enthärtung</w:t>
      </w:r>
    </w:p>
    <w:p w14:paraId="1BD05618" w14:textId="77777777" w:rsidR="004D3130" w:rsidRPr="004D3130" w:rsidRDefault="004D3130" w:rsidP="004D3130">
      <w:r w:rsidRPr="004D3130">
        <w:t xml:space="preserve">  5. </w:t>
      </w:r>
      <w:r w:rsidRPr="004D3130">
        <w:rPr>
          <w:b/>
          <w:bCs/>
        </w:rPr>
        <w:t>Umkehrosmose</w:t>
      </w:r>
      <w:r w:rsidRPr="004D3130">
        <w:t xml:space="preserve"> </w:t>
      </w:r>
      <w:r w:rsidRPr="004D3130">
        <w:rPr>
          <w:b/>
          <w:bCs/>
        </w:rPr>
        <w:t>mit</w:t>
      </w:r>
      <w:r w:rsidRPr="004D3130">
        <w:t xml:space="preserve"> </w:t>
      </w:r>
      <w:r w:rsidRPr="004D3130">
        <w:rPr>
          <w:b/>
          <w:bCs/>
        </w:rPr>
        <w:t>Enthärtung</w:t>
      </w:r>
    </w:p>
    <w:p w14:paraId="22838866" w14:textId="77777777" w:rsidR="004D3130" w:rsidRPr="004D3130" w:rsidRDefault="004D3130" w:rsidP="004D3130">
      <w:r w:rsidRPr="004D3130">
        <w:t xml:space="preserve">  6. </w:t>
      </w:r>
      <w:r w:rsidRPr="004D3130">
        <w:rPr>
          <w:b/>
          <w:bCs/>
        </w:rPr>
        <w:t>Schwefelsäuredosierung</w:t>
      </w:r>
    </w:p>
    <w:p w14:paraId="2B1474F1" w14:textId="77777777" w:rsidR="004D3130" w:rsidRPr="004D3130" w:rsidRDefault="004D3130" w:rsidP="004D3130"/>
    <w:p w14:paraId="4AD70AC1" w14:textId="77777777" w:rsidR="004D3130" w:rsidRPr="004D3130" w:rsidRDefault="004D3130" w:rsidP="004D3130">
      <w:r w:rsidRPr="004D3130">
        <w:t>  Für jedes Verfahren: Wasserchemie-Gleichgewichtsberechnungen (pH,</w:t>
      </w:r>
    </w:p>
    <w:p w14:paraId="36C479B6" w14:textId="77777777" w:rsidR="004D3130" w:rsidRPr="004D3130" w:rsidRDefault="004D3130" w:rsidP="004D3130">
      <w:r w:rsidRPr="004D3130">
        <w:t>  Sättigungsindex, Ionenkonzentrationen), Verbrauchsmengen (Wasser, Chemikalien,</w:t>
      </w:r>
    </w:p>
    <w:p w14:paraId="2A7E0EAA" w14:textId="77777777" w:rsidR="004D3130" w:rsidRPr="004D3130" w:rsidRDefault="004D3130" w:rsidP="004D3130">
      <w:r w:rsidRPr="004D3130">
        <w:t>   Energie) und Jahreskosten.</w:t>
      </w:r>
    </w:p>
    <w:p w14:paraId="4105578A" w14:textId="77777777" w:rsidR="004D3130" w:rsidRPr="004D3130" w:rsidRDefault="004D3130" w:rsidP="004D3130"/>
    <w:p w14:paraId="04FC236D" w14:textId="77777777" w:rsidR="004D3130" w:rsidRPr="004D3130" w:rsidRDefault="004D3130" w:rsidP="004D3130">
      <w:r w:rsidRPr="004D3130">
        <w:t xml:space="preserve">  </w:t>
      </w:r>
      <w:r w:rsidRPr="004D3130">
        <w:rPr>
          <w:b/>
          <w:bCs/>
        </w:rPr>
        <w:t>Vorhandene</w:t>
      </w:r>
      <w:r w:rsidRPr="004D3130">
        <w:t xml:space="preserve"> </w:t>
      </w:r>
      <w:r w:rsidRPr="004D3130">
        <w:rPr>
          <w:b/>
          <w:bCs/>
        </w:rPr>
        <w:t>Dateien</w:t>
      </w:r>
    </w:p>
    <w:p w14:paraId="57E7BB5A" w14:textId="77777777" w:rsidR="004D3130" w:rsidRPr="004D3130" w:rsidRDefault="004D3130" w:rsidP="004D3130">
      <w:r w:rsidRPr="004D3130">
        <w:t>  ┌──────────────────────────────</w:t>
      </w:r>
      <w:r w:rsidRPr="004D3130">
        <w:rPr>
          <w:rFonts w:ascii="MS Gothic" w:eastAsia="MS Gothic" w:hAnsi="MS Gothic" w:cs="MS Gothic" w:hint="eastAsia"/>
        </w:rPr>
        <w:t>┬</w:t>
      </w:r>
      <w:r w:rsidRPr="004D3130">
        <w:rPr>
          <w:rFonts w:ascii="Aptos" w:hAnsi="Aptos" w:cs="Aptos"/>
        </w:rPr>
        <w:t>────────────────────────────────────────────┐</w:t>
      </w:r>
    </w:p>
    <w:p w14:paraId="700B52B8" w14:textId="77777777" w:rsidR="004D3130" w:rsidRPr="004D3130" w:rsidRDefault="004D3130" w:rsidP="004D3130">
      <w:r w:rsidRPr="004D3130">
        <w:t>  │             Was              │                   Status                   │</w:t>
      </w:r>
    </w:p>
    <w:p w14:paraId="7D7153AD" w14:textId="77777777" w:rsidR="004D3130" w:rsidRPr="004D3130" w:rsidRDefault="004D3130" w:rsidP="004D3130">
      <w:r w:rsidRPr="004D3130">
        <w:t xml:space="preserve">  </w:t>
      </w:r>
      <w:r w:rsidRPr="004D3130">
        <w:rPr>
          <w:rFonts w:ascii="MS Gothic" w:eastAsia="MS Gothic" w:hAnsi="MS Gothic" w:cs="MS Gothic" w:hint="eastAsia"/>
        </w:rPr>
        <w:t>├</w:t>
      </w:r>
      <w:r w:rsidRPr="004D3130">
        <w:rPr>
          <w:rFonts w:ascii="Aptos" w:hAnsi="Aptos" w:cs="Aptos"/>
        </w:rPr>
        <w:t>──────────────────────────────</w:t>
      </w:r>
      <w:r w:rsidRPr="004D3130">
        <w:rPr>
          <w:rFonts w:ascii="MS Gothic" w:eastAsia="MS Gothic" w:hAnsi="MS Gothic" w:cs="MS Gothic" w:hint="eastAsia"/>
        </w:rPr>
        <w:t>┼</w:t>
      </w:r>
      <w:r w:rsidRPr="004D3130">
        <w:t>────────────────────────────────────────────</w:t>
      </w:r>
      <w:r w:rsidRPr="004D3130">
        <w:rPr>
          <w:rFonts w:ascii="MS Gothic" w:eastAsia="MS Gothic" w:hAnsi="MS Gothic" w:cs="MS Gothic" w:hint="eastAsia"/>
        </w:rPr>
        <w:t>┤</w:t>
      </w:r>
    </w:p>
    <w:p w14:paraId="7FA41758" w14:textId="77777777" w:rsidR="004D3130" w:rsidRPr="004D3130" w:rsidRDefault="004D3130" w:rsidP="004D3130">
      <w:r w:rsidRPr="004D3130">
        <w:t>  │ Java-Quellcode (.</w:t>
      </w:r>
      <w:proofErr w:type="spellStart"/>
      <w:proofErr w:type="gramStart"/>
      <w:r w:rsidRPr="004D3130">
        <w:t>java</w:t>
      </w:r>
      <w:proofErr w:type="spellEnd"/>
      <w:r w:rsidRPr="004D3130">
        <w:t xml:space="preserve">)   </w:t>
      </w:r>
      <w:proofErr w:type="gramEnd"/>
      <w:r w:rsidRPr="004D3130">
        <w:t xml:space="preserve">    │ </w:t>
      </w:r>
      <w:r w:rsidRPr="004D3130">
        <w:rPr>
          <w:b/>
          <w:bCs/>
        </w:rPr>
        <w:t>NICHT</w:t>
      </w:r>
      <w:r w:rsidRPr="004D3130">
        <w:t xml:space="preserve"> </w:t>
      </w:r>
      <w:r w:rsidRPr="004D3130">
        <w:rPr>
          <w:b/>
          <w:bCs/>
        </w:rPr>
        <w:t>vorhanden</w:t>
      </w:r>
      <w:r w:rsidRPr="004D3130">
        <w:t>                            │</w:t>
      </w:r>
    </w:p>
    <w:p w14:paraId="552082C7" w14:textId="77777777" w:rsidR="004D3130" w:rsidRPr="004D3130" w:rsidRDefault="004D3130" w:rsidP="004D3130">
      <w:r w:rsidRPr="004D3130">
        <w:t xml:space="preserve">  </w:t>
      </w:r>
      <w:r w:rsidRPr="004D3130">
        <w:rPr>
          <w:rFonts w:ascii="MS Gothic" w:eastAsia="MS Gothic" w:hAnsi="MS Gothic" w:cs="MS Gothic" w:hint="eastAsia"/>
        </w:rPr>
        <w:t>├</w:t>
      </w:r>
      <w:r w:rsidRPr="004D3130">
        <w:rPr>
          <w:rFonts w:ascii="Aptos" w:hAnsi="Aptos" w:cs="Aptos"/>
        </w:rPr>
        <w:t>──────────────────────────────</w:t>
      </w:r>
      <w:r w:rsidRPr="004D3130">
        <w:rPr>
          <w:rFonts w:ascii="MS Gothic" w:eastAsia="MS Gothic" w:hAnsi="MS Gothic" w:cs="MS Gothic" w:hint="eastAsia"/>
        </w:rPr>
        <w:t>┼</w:t>
      </w:r>
      <w:r w:rsidRPr="004D3130">
        <w:t>────────────────────────────────────────────</w:t>
      </w:r>
      <w:r w:rsidRPr="004D3130">
        <w:rPr>
          <w:rFonts w:ascii="MS Gothic" w:eastAsia="MS Gothic" w:hAnsi="MS Gothic" w:cs="MS Gothic" w:hint="eastAsia"/>
        </w:rPr>
        <w:t>┤</w:t>
      </w:r>
    </w:p>
    <w:p w14:paraId="5B45F737" w14:textId="77777777" w:rsidR="004D3130" w:rsidRPr="004D3130" w:rsidRDefault="004D3130" w:rsidP="004D3130">
      <w:r w:rsidRPr="004D3130">
        <w:lastRenderedPageBreak/>
        <w:t>  │ Kompilierte Klassen (.</w:t>
      </w:r>
      <w:proofErr w:type="spellStart"/>
      <w:r w:rsidRPr="004D3130">
        <w:t>class</w:t>
      </w:r>
      <w:proofErr w:type="spellEnd"/>
      <w:r w:rsidRPr="004D3130">
        <w:t>) │ ~204 Dateien (Java 5, von 2013)            │</w:t>
      </w:r>
    </w:p>
    <w:p w14:paraId="2629DA8A" w14:textId="77777777" w:rsidR="004D3130" w:rsidRPr="004D3130" w:rsidRDefault="004D3130" w:rsidP="004D3130">
      <w:r w:rsidRPr="004D3130">
        <w:t xml:space="preserve">  </w:t>
      </w:r>
      <w:r w:rsidRPr="004D3130">
        <w:rPr>
          <w:rFonts w:ascii="MS Gothic" w:eastAsia="MS Gothic" w:hAnsi="MS Gothic" w:cs="MS Gothic" w:hint="eastAsia"/>
        </w:rPr>
        <w:t>├</w:t>
      </w:r>
      <w:r w:rsidRPr="004D3130">
        <w:rPr>
          <w:rFonts w:ascii="Aptos" w:hAnsi="Aptos" w:cs="Aptos"/>
        </w:rPr>
        <w:t>──────────────────────────────</w:t>
      </w:r>
      <w:r w:rsidRPr="004D3130">
        <w:rPr>
          <w:rFonts w:ascii="MS Gothic" w:eastAsia="MS Gothic" w:hAnsi="MS Gothic" w:cs="MS Gothic" w:hint="eastAsia"/>
        </w:rPr>
        <w:t>┼</w:t>
      </w:r>
      <w:r w:rsidRPr="004D3130">
        <w:t>────────────────────────────────────────────</w:t>
      </w:r>
      <w:r w:rsidRPr="004D3130">
        <w:rPr>
          <w:rFonts w:ascii="MS Gothic" w:eastAsia="MS Gothic" w:hAnsi="MS Gothic" w:cs="MS Gothic" w:hint="eastAsia"/>
        </w:rPr>
        <w:t>┤</w:t>
      </w:r>
    </w:p>
    <w:p w14:paraId="2EB1A6A4" w14:textId="77777777" w:rsidR="004D3130" w:rsidRPr="004D3130" w:rsidRDefault="004D3130" w:rsidP="004D3130">
      <w:r w:rsidRPr="004D3130">
        <w:t xml:space="preserve">  │ Datenbank                    │ HSQLDB mit 7 Preistabellen + </w:t>
      </w:r>
      <w:proofErr w:type="gramStart"/>
      <w:r w:rsidRPr="004D3130">
        <w:t>Analysedaten  │</w:t>
      </w:r>
      <w:proofErr w:type="gramEnd"/>
    </w:p>
    <w:p w14:paraId="7052B87E" w14:textId="77777777" w:rsidR="004D3130" w:rsidRPr="004D3130" w:rsidRDefault="004D3130" w:rsidP="004D3130">
      <w:r w:rsidRPr="004D3130">
        <w:t xml:space="preserve">  </w:t>
      </w:r>
      <w:r w:rsidRPr="004D3130">
        <w:rPr>
          <w:rFonts w:ascii="MS Gothic" w:eastAsia="MS Gothic" w:hAnsi="MS Gothic" w:cs="MS Gothic" w:hint="eastAsia"/>
        </w:rPr>
        <w:t>├</w:t>
      </w:r>
      <w:r w:rsidRPr="004D3130">
        <w:rPr>
          <w:rFonts w:ascii="Aptos" w:hAnsi="Aptos" w:cs="Aptos"/>
        </w:rPr>
        <w:t>──────────────────────────────</w:t>
      </w:r>
      <w:r w:rsidRPr="004D3130">
        <w:rPr>
          <w:rFonts w:ascii="MS Gothic" w:eastAsia="MS Gothic" w:hAnsi="MS Gothic" w:cs="MS Gothic" w:hint="eastAsia"/>
        </w:rPr>
        <w:t>┼</w:t>
      </w:r>
      <w:r w:rsidRPr="004D3130">
        <w:t>────────────────────────────────────────────</w:t>
      </w:r>
      <w:r w:rsidRPr="004D3130">
        <w:rPr>
          <w:rFonts w:ascii="MS Gothic" w:eastAsia="MS Gothic" w:hAnsi="MS Gothic" w:cs="MS Gothic" w:hint="eastAsia"/>
        </w:rPr>
        <w:t>┤</w:t>
      </w:r>
    </w:p>
    <w:p w14:paraId="307CAE97" w14:textId="77777777" w:rsidR="004D3130" w:rsidRPr="004D3130" w:rsidRDefault="004D3130" w:rsidP="004D3130">
      <w:r w:rsidRPr="004D3130">
        <w:t>  │ Excel-Sprachdatei            │ WtkLg.xls (5 Sprachen: DE, EN, DK, PL, UA) │</w:t>
      </w:r>
    </w:p>
    <w:p w14:paraId="3A42913A" w14:textId="77777777" w:rsidR="004D3130" w:rsidRPr="004D3130" w:rsidRDefault="004D3130" w:rsidP="004D3130">
      <w:r w:rsidRPr="004D3130">
        <w:t xml:space="preserve">  </w:t>
      </w:r>
      <w:r w:rsidRPr="004D3130">
        <w:rPr>
          <w:rFonts w:ascii="MS Gothic" w:eastAsia="MS Gothic" w:hAnsi="MS Gothic" w:cs="MS Gothic" w:hint="eastAsia"/>
        </w:rPr>
        <w:t>├</w:t>
      </w:r>
      <w:r w:rsidRPr="004D3130">
        <w:rPr>
          <w:rFonts w:ascii="Aptos" w:hAnsi="Aptos" w:cs="Aptos"/>
        </w:rPr>
        <w:t>──────────────────────────────</w:t>
      </w:r>
      <w:r w:rsidRPr="004D3130">
        <w:rPr>
          <w:rFonts w:ascii="MS Gothic" w:eastAsia="MS Gothic" w:hAnsi="MS Gothic" w:cs="MS Gothic" w:hint="eastAsia"/>
        </w:rPr>
        <w:t>┼</w:t>
      </w:r>
      <w:r w:rsidRPr="004D3130">
        <w:t>────────────────────────────────────────────</w:t>
      </w:r>
      <w:r w:rsidRPr="004D3130">
        <w:rPr>
          <w:rFonts w:ascii="MS Gothic" w:eastAsia="MS Gothic" w:hAnsi="MS Gothic" w:cs="MS Gothic" w:hint="eastAsia"/>
        </w:rPr>
        <w:t>┤</w:t>
      </w:r>
    </w:p>
    <w:p w14:paraId="26CA24A8" w14:textId="77777777" w:rsidR="004D3130" w:rsidRPr="004D3130" w:rsidRDefault="004D3130" w:rsidP="004D3130">
      <w:r w:rsidRPr="004D3130">
        <w:t>  │ Ältere Version               │ WATKOST 3.1 (2008) ebenfalls vorhanden     │</w:t>
      </w:r>
    </w:p>
    <w:p w14:paraId="33ECF88E" w14:textId="77777777" w:rsidR="004D3130" w:rsidRPr="004D3130" w:rsidRDefault="004D3130" w:rsidP="004D3130">
      <w:r w:rsidRPr="004D3130">
        <w:t>  └──────────────────────────────</w:t>
      </w:r>
      <w:r w:rsidRPr="004D3130">
        <w:rPr>
          <w:rFonts w:ascii="MS Gothic" w:eastAsia="MS Gothic" w:hAnsi="MS Gothic" w:cs="MS Gothic" w:hint="eastAsia"/>
        </w:rPr>
        <w:t>┴</w:t>
      </w:r>
      <w:r w:rsidRPr="004D3130">
        <w:rPr>
          <w:rFonts w:ascii="Aptos" w:hAnsi="Aptos" w:cs="Aptos"/>
        </w:rPr>
        <w:t>────────────────────────────────────────────┘</w:t>
      </w:r>
    </w:p>
    <w:p w14:paraId="250829EB" w14:textId="77777777" w:rsidR="004D3130" w:rsidRPr="004D3130" w:rsidRDefault="004D3130" w:rsidP="004D3130">
      <w:r w:rsidRPr="004D3130">
        <w:t xml:space="preserve">  </w:t>
      </w:r>
      <w:r w:rsidRPr="004D3130">
        <w:rPr>
          <w:b/>
          <w:bCs/>
        </w:rPr>
        <w:t>Ist</w:t>
      </w:r>
      <w:r w:rsidRPr="004D3130">
        <w:t xml:space="preserve"> </w:t>
      </w:r>
      <w:r w:rsidRPr="004D3130">
        <w:rPr>
          <w:b/>
          <w:bCs/>
        </w:rPr>
        <w:t>eine</w:t>
      </w:r>
      <w:r w:rsidRPr="004D3130">
        <w:t xml:space="preserve"> </w:t>
      </w:r>
      <w:r w:rsidRPr="004D3130">
        <w:rPr>
          <w:b/>
          <w:bCs/>
        </w:rPr>
        <w:t>Neuentwicklung</w:t>
      </w:r>
      <w:r w:rsidRPr="004D3130">
        <w:t xml:space="preserve"> </w:t>
      </w:r>
      <w:r w:rsidRPr="004D3130">
        <w:rPr>
          <w:b/>
          <w:bCs/>
        </w:rPr>
        <w:t>möglich?</w:t>
      </w:r>
    </w:p>
    <w:p w14:paraId="453CD70A" w14:textId="77777777" w:rsidR="004D3130" w:rsidRPr="004D3130" w:rsidRDefault="004D3130" w:rsidP="004D3130"/>
    <w:p w14:paraId="4A127D17" w14:textId="77777777" w:rsidR="004D3130" w:rsidRPr="004D3130" w:rsidRDefault="004D3130" w:rsidP="004D3130">
      <w:r w:rsidRPr="004D3130">
        <w:t xml:space="preserve">  </w:t>
      </w:r>
      <w:r w:rsidRPr="004D3130">
        <w:rPr>
          <w:b/>
          <w:bCs/>
        </w:rPr>
        <w:t>Ja,</w:t>
      </w:r>
      <w:r w:rsidRPr="004D3130">
        <w:t xml:space="preserve"> </w:t>
      </w:r>
      <w:r w:rsidRPr="004D3130">
        <w:rPr>
          <w:b/>
          <w:bCs/>
        </w:rPr>
        <w:t>definitiv.</w:t>
      </w:r>
      <w:r w:rsidRPr="004D3130">
        <w:t xml:space="preserve"> Auch ohne Quellcode konnte ich aus den .</w:t>
      </w:r>
      <w:proofErr w:type="spellStart"/>
      <w:r w:rsidRPr="004D3130">
        <w:t>class</w:t>
      </w:r>
      <w:proofErr w:type="spellEnd"/>
      <w:r w:rsidRPr="004D3130">
        <w:t>-Dateien und der</w:t>
      </w:r>
    </w:p>
    <w:p w14:paraId="4255A8C2" w14:textId="77777777" w:rsidR="004D3130" w:rsidRPr="004D3130" w:rsidRDefault="004D3130" w:rsidP="004D3130">
      <w:r w:rsidRPr="004D3130">
        <w:t>  Datenbank nahezu die komplette Anwendungslogik rekonstruieren:</w:t>
      </w:r>
    </w:p>
    <w:p w14:paraId="6B37E64D" w14:textId="77777777" w:rsidR="004D3130" w:rsidRPr="004D3130" w:rsidRDefault="004D3130" w:rsidP="004D3130"/>
    <w:p w14:paraId="5A8B1148" w14:textId="77777777" w:rsidR="004D3130" w:rsidRPr="004D3130" w:rsidRDefault="004D3130" w:rsidP="004D3130">
      <w:r w:rsidRPr="004D3130">
        <w:t xml:space="preserve">  - </w:t>
      </w:r>
      <w:r w:rsidRPr="004D3130">
        <w:rPr>
          <w:b/>
          <w:bCs/>
        </w:rPr>
        <w:t>Datenmodell</w:t>
      </w:r>
      <w:r w:rsidRPr="004D3130">
        <w:t>: Vollständig aus der Datenbank und den Klassenstrukturen</w:t>
      </w:r>
    </w:p>
    <w:p w14:paraId="2422D3FF" w14:textId="77777777" w:rsidR="004D3130" w:rsidRPr="004D3130" w:rsidRDefault="004D3130" w:rsidP="004D3130">
      <w:r w:rsidRPr="004D3130">
        <w:t>  ableitbar</w:t>
      </w:r>
    </w:p>
    <w:p w14:paraId="672B9322" w14:textId="77777777" w:rsidR="004D3130" w:rsidRPr="004D3130" w:rsidRDefault="004D3130" w:rsidP="004D3130">
      <w:r w:rsidRPr="004D3130">
        <w:t xml:space="preserve">  - </w:t>
      </w:r>
      <w:r w:rsidRPr="004D3130">
        <w:rPr>
          <w:b/>
          <w:bCs/>
        </w:rPr>
        <w:t>Berechnungslogik</w:t>
      </w:r>
      <w:r w:rsidRPr="004D3130">
        <w:t>: Die wasserchemischen Formeln (Langelier-Sättigungsindex,</w:t>
      </w:r>
    </w:p>
    <w:p w14:paraId="0DB873B8" w14:textId="77777777" w:rsidR="004D3130" w:rsidRPr="004D3130" w:rsidRDefault="004D3130" w:rsidP="004D3130">
      <w:r w:rsidRPr="004D3130">
        <w:t>  Ionengleichgewichte, Temperaturkorrekturen) sind aus den Variablennamen und</w:t>
      </w:r>
    </w:p>
    <w:p w14:paraId="783C10B0" w14:textId="77777777" w:rsidR="004D3130" w:rsidRPr="004D3130" w:rsidRDefault="004D3130" w:rsidP="004D3130">
      <w:r w:rsidRPr="004D3130">
        <w:t>  Methoden rekonstruierbar</w:t>
      </w:r>
    </w:p>
    <w:p w14:paraId="33592EA4" w14:textId="77777777" w:rsidR="004D3130" w:rsidRPr="004D3130" w:rsidRDefault="004D3130" w:rsidP="004D3130">
      <w:r w:rsidRPr="004D3130">
        <w:t xml:space="preserve">  - </w:t>
      </w:r>
      <w:r w:rsidRPr="004D3130">
        <w:rPr>
          <w:b/>
          <w:bCs/>
        </w:rPr>
        <w:t>UI-Struktur</w:t>
      </w:r>
      <w:r w:rsidRPr="004D3130">
        <w:t>: Menüs, Dialoge, Eingabe-/Ausgabefelder sind identifizierbar</w:t>
      </w:r>
    </w:p>
    <w:p w14:paraId="7F5F2968" w14:textId="77777777" w:rsidR="004D3130" w:rsidRPr="004D3130" w:rsidRDefault="004D3130" w:rsidP="004D3130">
      <w:r w:rsidRPr="004D3130">
        <w:t xml:space="preserve">  - </w:t>
      </w:r>
      <w:r w:rsidRPr="004D3130">
        <w:rPr>
          <w:b/>
          <w:bCs/>
        </w:rPr>
        <w:t>Preistabellen</w:t>
      </w:r>
      <w:r w:rsidRPr="004D3130">
        <w:t>: Komplett in der Datenbank vorhanden</w:t>
      </w:r>
    </w:p>
    <w:p w14:paraId="00C48733" w14:textId="77777777" w:rsidR="004D3130" w:rsidRPr="004D3130" w:rsidRDefault="004D3130" w:rsidP="004D3130">
      <w:r w:rsidRPr="004D3130">
        <w:t xml:space="preserve">  - </w:t>
      </w:r>
      <w:r w:rsidRPr="004D3130">
        <w:rPr>
          <w:b/>
          <w:bCs/>
        </w:rPr>
        <w:t>Mehrsprachigkeit</w:t>
      </w:r>
      <w:r w:rsidRPr="004D3130">
        <w:t>: In der Excel-Datei gespeichert</w:t>
      </w:r>
    </w:p>
    <w:p w14:paraId="0E83724B" w14:textId="77777777" w:rsidR="004D3130" w:rsidRPr="004D3130" w:rsidRDefault="004D3130" w:rsidP="004D3130"/>
    <w:p w14:paraId="0D747498" w14:textId="77777777" w:rsidR="004D3130" w:rsidRDefault="004D3130"/>
    <w:p w14:paraId="0BE945A0" w14:textId="77777777" w:rsidR="004D3130" w:rsidRDefault="004D3130"/>
    <w:sectPr w:rsidR="004D3130" w:rsidSect="00DB2533">
      <w:pgSz w:w="11906" w:h="16838" w:code="9"/>
      <w:pgMar w:top="1701" w:right="1134" w:bottom="1134" w:left="1418" w:header="1435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130"/>
    <w:rsid w:val="0019541A"/>
    <w:rsid w:val="004D3130"/>
    <w:rsid w:val="00595FEA"/>
    <w:rsid w:val="006353F6"/>
    <w:rsid w:val="00846AB3"/>
    <w:rsid w:val="0085302A"/>
    <w:rsid w:val="00BB75D7"/>
    <w:rsid w:val="00CE034C"/>
    <w:rsid w:val="00DB2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327CB"/>
  <w15:chartTrackingRefBased/>
  <w15:docId w15:val="{84D40F84-16A1-4480-97CE-3C0F16B77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D3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D3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D3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D3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D3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D3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D3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D3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D3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D3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D3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D3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D313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D313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D313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D313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D313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D313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D3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D3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D3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D3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D3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D313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D313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D313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D3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D313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D31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444</Words>
  <Characters>2514</Characters>
  <Application>Microsoft Office Word</Application>
  <DocSecurity>0</DocSecurity>
  <Lines>73</Lines>
  <Paragraphs>84</Paragraphs>
  <ScaleCrop>false</ScaleCrop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Hartmut Kacirek</dc:creator>
  <cp:keywords/>
  <dc:description/>
  <cp:lastModifiedBy>Hartmut Kacirek</cp:lastModifiedBy>
  <cp:revision>1</cp:revision>
  <dcterms:created xsi:type="dcterms:W3CDTF">2026-02-08T09:01:00Z</dcterms:created>
  <dcterms:modified xsi:type="dcterms:W3CDTF">2026-02-08T09:06:00Z</dcterms:modified>
</cp:coreProperties>
</file>