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866"/>
      </w:tblGrid>
      <w:tr>
        <w:tc>
          <w:tcPr>
            <w:tcW w:type="dxa" w:w="9866"/>
            <w:shd w:fill="171A1F"/>
            <w:tcMar>
              <w:top w:w="900" w:type="dxa"/>
              <w:start w:w="500" w:type="dxa"/>
              <w:bottom w:w="900" w:type="dxa"/>
              <w:end w:w="500" w:type="dxa"/>
            </w:tcMar>
          </w:tcPr>
          <w:p>
            <w:pPr>
              <w:jc w:val="right"/>
              <w:bidi w:val="1"/>
            </w:pPr>
            <w:r>
              <w:rPr>
                <w:rFonts w:ascii="Noto Kufi Arabic" w:hAnsi="Noto Kufi Arabic" w:cs="Noto Kufi Arabic"/>
                <w:b/>
                <w:color w:val="B8953F"/>
                <w:sz w:val="40"/>
              </w:rPr>
              <w:t>NDSP — Nawaf Decision Support Platform</w:t>
            </w:r>
            <w:r>
              <w:br/>
            </w:r>
            <w:r>
              <w:rPr>
                <w:rFonts w:ascii="Noto Kufi Arabic" w:hAnsi="Noto Kufi Arabic" w:cs="Noto Kufi Arabic"/>
                <w:b/>
                <w:color w:val="FFFFFF"/>
                <w:sz w:val="54"/>
              </w:rPr>
              <w:t>التقرير الرئيسي النهائي المدمج</w:t>
            </w:r>
            <w:r>
              <w:br/>
            </w:r>
            <w:r>
              <w:rPr>
                <w:rFonts w:ascii="Noto Sans Arabic" w:hAnsi="Noto Sans Arabic" w:cs="Noto Sans Arabic"/>
                <w:b w:val="0"/>
                <w:color w:val="D8DCE2"/>
                <w:sz w:val="26"/>
              </w:rPr>
              <w:t>Architecture + UI/UX + Visual Design Governance</w:t>
            </w:r>
            <w:r>
              <w:br/>
              <w:br/>
            </w:r>
            <w:r>
              <w:rPr>
                <w:rFonts w:ascii="DejaVu Sans Mono" w:hAnsi="DejaVu Sans Mono" w:cs="DejaVu Sans Mono"/>
                <w:b/>
                <w:color w:val="B8953F"/>
                <w:sz w:val="18"/>
              </w:rPr>
              <w:t>FINAL INTEGRATED GOVERNANCE REFERENCE</w:t>
            </w:r>
          </w:p>
        </w:tc>
      </w:tr>
    </w:tbl>
    <w:p>
      <w:pPr>
        <w:spacing w:before="320"/>
        <w:jc w:val="right"/>
        <w:bidi w:val="1"/>
      </w:pPr>
      <w:r>
        <w:t>نسخة التحديث النهائي الحاكم — 8 أغسطس 2026 — SOVEREIGN OBSIDIAN VISUAL FREEZE</w:t>
      </w:r>
    </w:p>
    <w:p>
      <w:pPr>
        <w:jc w:val="right"/>
        <w:bidi w:val="1"/>
      </w:pPr>
      <w:r>
        <w:rPr>
          <w:rFonts w:ascii="Noto Sans Arabic" w:hAnsi="Noto Sans Arabic" w:cs="Noto Sans Arabic"/>
          <w:b w:val="0"/>
          <w:color w:val="22262D"/>
          <w:sz w:val="18"/>
        </w:rPr>
        <w:t>مرجع تصميم وحوكمة — لا ينفذ كودًا ولا يغيّر الإنتاج</w:t>
      </w:r>
    </w:p>
    <w:p>
      <w:r>
        <w:br w:type="page"/>
      </w:r>
    </w:p>
    <w:p>
      <w:pPr>
        <w:pStyle w:val="Heading1"/>
        <w:keepNext/>
        <w:bidi w:val="1"/>
        <w:spacing w:before="240" w:after="100"/>
        <w:jc w:val="right"/>
      </w:pPr>
      <w:r>
        <w:rPr>
          <w:rFonts w:ascii="Noto Kufi Arabic" w:hAnsi="Noto Kufi Arabic" w:cs="Noto Kufi Arabic"/>
          <w:b/>
          <w:color w:val="8E6D27"/>
          <w:sz w:val="36"/>
        </w:rPr>
        <w:t>بيان الدمج النهائي</w:t>
      </w:r>
    </w:p>
    <w:p>
      <w:pPr>
        <w:bidi w:val="1"/>
        <w:spacing w:after="80" w:before="0" w:line="276" w:lineRule="auto"/>
        <w:jc w:val="right"/>
      </w:pPr>
      <w:r>
        <w:t>تم تحديث المرجع وفق قاعدة MERGE, NOT REWRITE مع توجيه المالك الأخير: جميع المتطلبات الفريدة غير التصميمية محفوظة، بينما يُستبدل التصميم البصري القديم بالثيم الحاكم SOVEREIGN OBSIDIAN والـTheme Board المرفق في هذه المراجعة. لا يغيّر هذا التحديث Business Logic أو Contracts أو Database Ownership أو Production Runtime أو Exposure Boundaries.</w:t>
      </w:r>
    </w:p>
    <w:p>
      <w:pPr>
        <w:pStyle w:val="Heading2"/>
        <w:keepNext/>
        <w:bidi w:val="1"/>
        <w:spacing w:before="160" w:after="100"/>
        <w:jc w:val="right"/>
      </w:pPr>
      <w:r>
        <w:rPr>
          <w:rFonts w:ascii="Noto Kufi Arabic" w:hAnsi="Noto Kufi Arabic" w:cs="Noto Kufi Arabic"/>
          <w:b/>
          <w:color w:val="22262D"/>
          <w:sz w:val="28"/>
        </w:rPr>
        <w:t>ملخص قرارات الدمج</w:t>
      </w:r>
    </w:p>
    <w:tbl>
      <w:tblPr>
        <w:tblStyle w:val="TableGrid"/>
        <w:tblW w:type="auto" w:w="0"/>
        <w:jc w:val="center"/>
        <w:tblLook w:firstColumn="1" w:firstRow="1" w:lastColumn="0" w:lastRow="0" w:noHBand="0" w:noVBand="1" w:val="04A0"/>
      </w:tblPr>
      <w:tblGrid>
        <w:gridCol w:w="4933"/>
        <w:gridCol w:w="4933"/>
      </w:tblGrid>
      <w:tr>
        <w:tc>
          <w:tcPr>
            <w:tcW w:type="dxa" w:w="4933"/>
            <w:tcMar>
              <w:top w:w="90" w:type="dxa"/>
              <w:start w:w="100" w:type="dxa"/>
              <w:bottom w:w="90" w:type="dxa"/>
              <w:end w:w="100" w:type="dxa"/>
            </w:tcMar>
            <w:shd w:fill="171A1F"/>
          </w:tcPr>
          <w:p>
            <w:pPr>
              <w:bidi w:val="1"/>
              <w:spacing w:after="80" w:before="0" w:line="276" w:lineRule="auto"/>
              <w:jc w:val="right"/>
            </w:pPr>
            <w:r>
              <w:rPr>
                <w:rFonts w:ascii="Noto Sans Arabic" w:hAnsi="Noto Sans Arabic" w:cs="Noto Sans Arabic"/>
                <w:b/>
                <w:color w:val="FFFFFF"/>
                <w:sz w:val="18"/>
              </w:rPr>
              <w:t>الحالة</w:t>
            </w:r>
          </w:p>
        </w:tc>
        <w:tc>
          <w:tcPr>
            <w:tcW w:type="dxa" w:w="4933"/>
            <w:tcMar>
              <w:top w:w="90" w:type="dxa"/>
              <w:start w:w="100" w:type="dxa"/>
              <w:bottom w:w="90" w:type="dxa"/>
              <w:end w:w="100" w:type="dxa"/>
            </w:tcMar>
          </w:tcPr>
          <w:p>
            <w:pPr>
              <w:spacing w:after="80" w:before="0" w:line="276" w:lineRule="auto"/>
              <w:jc w:val="left"/>
            </w:pPr>
            <w:r>
              <w:rPr>
                <w:rFonts w:ascii="Noto Sans Arabic" w:hAnsi="Noto Sans Arabic" w:cs="Noto Sans Arabic"/>
                <w:b w:val="0"/>
                <w:color w:val="22262D"/>
                <w:sz w:val="18"/>
              </w:rPr>
              <w:t>FINAL INTEGRATED GOVERNANCE REFERENCE</w:t>
            </w:r>
          </w:p>
        </w:tc>
      </w:tr>
      <w:tr>
        <w:tc>
          <w:tcPr>
            <w:tcW w:type="dxa" w:w="4933"/>
            <w:tcMar>
              <w:top w:w="90" w:type="dxa"/>
              <w:start w:w="100" w:type="dxa"/>
              <w:bottom w:w="90" w:type="dxa"/>
              <w:end w:w="100" w:type="dxa"/>
            </w:tcMar>
            <w:shd w:fill="171A1F"/>
          </w:tcPr>
          <w:p>
            <w:pPr>
              <w:bidi w:val="1"/>
              <w:spacing w:after="80" w:before="0" w:line="276" w:lineRule="auto"/>
              <w:jc w:val="right"/>
            </w:pPr>
            <w:r>
              <w:rPr>
                <w:rFonts w:ascii="Noto Sans Arabic" w:hAnsi="Noto Sans Arabic" w:cs="Noto Sans Arabic"/>
                <w:b/>
                <w:color w:val="FFFFFF"/>
                <w:sz w:val="18"/>
              </w:rPr>
              <w:t>النطاق</w:t>
            </w:r>
          </w:p>
        </w:tc>
        <w:tc>
          <w:tcPr>
            <w:tcW w:type="dxa" w:w="4933"/>
            <w:tcMar>
              <w:top w:w="90" w:type="dxa"/>
              <w:start w:w="100" w:type="dxa"/>
              <w:bottom w:w="90" w:type="dxa"/>
              <w:end w:w="100" w:type="dxa"/>
            </w:tcMar>
          </w:tcPr>
          <w:p>
            <w:pPr>
              <w:spacing w:after="80" w:before="0" w:line="276" w:lineRule="auto"/>
              <w:jc w:val="left"/>
            </w:pPr>
            <w:r>
              <w:rPr>
                <w:rFonts w:ascii="Noto Sans Arabic" w:hAnsi="Noto Sans Arabic" w:cs="Noto Sans Arabic"/>
                <w:b w:val="0"/>
                <w:color w:val="22262D"/>
                <w:sz w:val="18"/>
              </w:rPr>
              <w:t>Revised Level 1 Architecture + UI/UX + Visual Design + Frontend Engineering Reference</w:t>
            </w:r>
          </w:p>
        </w:tc>
      </w:tr>
      <w:tr>
        <w:tc>
          <w:tcPr>
            <w:tcW w:type="dxa" w:w="4933"/>
            <w:tcMar>
              <w:top w:w="90" w:type="dxa"/>
              <w:start w:w="100" w:type="dxa"/>
              <w:bottom w:w="90" w:type="dxa"/>
              <w:end w:w="100" w:type="dxa"/>
            </w:tcMar>
            <w:shd w:fill="171A1F"/>
          </w:tcPr>
          <w:p>
            <w:pPr>
              <w:spacing w:after="80" w:before="0" w:line="276" w:lineRule="auto"/>
              <w:jc w:val="left"/>
            </w:pPr>
            <w:r>
              <w:rPr>
                <w:rFonts w:ascii="Noto Sans Arabic" w:hAnsi="Noto Sans Arabic" w:cs="Noto Sans Arabic"/>
                <w:b/>
                <w:color w:val="FFFFFF"/>
                <w:sz w:val="18"/>
              </w:rPr>
              <w:t>Public authority path</w:t>
            </w:r>
          </w:p>
        </w:tc>
        <w:tc>
          <w:tcPr>
            <w:tcW w:type="dxa" w:w="4933"/>
            <w:tcMar>
              <w:top w:w="90" w:type="dxa"/>
              <w:start w:w="100" w:type="dxa"/>
              <w:bottom w:w="90" w:type="dxa"/>
              <w:end w:w="100" w:type="dxa"/>
            </w:tcMar>
          </w:tcPr>
          <w:p>
            <w:pPr>
              <w:spacing w:after="80" w:before="0" w:line="276" w:lineRule="auto"/>
              <w:jc w:val="left"/>
            </w:pPr>
            <w:r>
              <w:rPr>
                <w:rFonts w:ascii="Noto Sans Arabic" w:hAnsi="Noto Sans Arabic" w:cs="Noto Sans Arabic"/>
                <w:b w:val="0"/>
                <w:color w:val="22262D"/>
                <w:sz w:val="18"/>
              </w:rPr>
              <w:t>Governance → Authorized Public Output → CORE Public Projection → Public API → Public Frontend</w:t>
            </w:r>
          </w:p>
        </w:tc>
      </w:tr>
      <w:tr>
        <w:tc>
          <w:tcPr>
            <w:tcW w:type="dxa" w:w="4933"/>
            <w:tcMar>
              <w:top w:w="90" w:type="dxa"/>
              <w:start w:w="100" w:type="dxa"/>
              <w:bottom w:w="90" w:type="dxa"/>
              <w:end w:w="100" w:type="dxa"/>
            </w:tcMar>
            <w:shd w:fill="171A1F"/>
          </w:tcPr>
          <w:p>
            <w:pPr>
              <w:spacing w:after="80" w:before="0" w:line="276" w:lineRule="auto"/>
              <w:jc w:val="left"/>
            </w:pPr>
            <w:r>
              <w:rPr>
                <w:rFonts w:ascii="Noto Sans Arabic" w:hAnsi="Noto Sans Arabic" w:cs="Noto Sans Arabic"/>
                <w:b/>
                <w:color w:val="FFFFFF"/>
                <w:sz w:val="18"/>
              </w:rPr>
              <w:t>TDL</w:t>
            </w:r>
          </w:p>
        </w:tc>
        <w:tc>
          <w:tcPr>
            <w:tcW w:type="dxa" w:w="4933"/>
            <w:tcMar>
              <w:top w:w="90" w:type="dxa"/>
              <w:start w:w="100" w:type="dxa"/>
              <w:bottom w:w="90" w:type="dxa"/>
              <w:end w:w="100" w:type="dxa"/>
            </w:tcMar>
          </w:tcPr>
          <w:p>
            <w:r>
              <w:t>Internal TDL data remains Admin/Review only; customer-facing label “TDL” may be displayed NAME-ONLY under server-side entitlement. Formulas/logic/state/contracts remain protected.</w:t>
            </w:r>
          </w:p>
        </w:tc>
      </w:tr>
      <w:tr>
        <w:tc>
          <w:tcPr>
            <w:tcW w:type="dxa" w:w="4933"/>
            <w:tcMar>
              <w:top w:w="90" w:type="dxa"/>
              <w:start w:w="100" w:type="dxa"/>
              <w:bottom w:w="90" w:type="dxa"/>
              <w:end w:w="100" w:type="dxa"/>
            </w:tcMar>
            <w:shd w:fill="171A1F"/>
          </w:tcPr>
          <w:p>
            <w:pPr>
              <w:spacing w:after="80" w:before="0" w:line="276" w:lineRule="auto"/>
              <w:jc w:val="left"/>
            </w:pPr>
            <w:r>
              <w:rPr>
                <w:rFonts w:ascii="Noto Sans Arabic" w:hAnsi="Noto Sans Arabic" w:cs="Noto Sans Arabic"/>
                <w:b/>
                <w:color w:val="FFFFFF"/>
                <w:sz w:val="18"/>
              </w:rPr>
              <w:t>NMP</w:t>
            </w:r>
          </w:p>
        </w:tc>
        <w:tc>
          <w:tcPr>
            <w:tcW w:type="dxa" w:w="4933"/>
            <w:tcMar>
              <w:top w:w="90" w:type="dxa"/>
              <w:start w:w="100" w:type="dxa"/>
              <w:bottom w:w="90" w:type="dxa"/>
              <w:end w:w="100" w:type="dxa"/>
            </w:tcMar>
          </w:tcPr>
          <w:p>
            <w:r>
              <w:t>FROZEN / NO NEW DEVELOPMENT internally; customer-facing label “NMP” may be displayed NAME-ONLY under server-side entitlement. Internal exposure remains forbidden.</w:t>
            </w:r>
          </w:p>
        </w:tc>
      </w:tr>
      <w:tr>
        <w:tc>
          <w:tcPr>
            <w:tcW w:type="dxa" w:w="4933"/>
            <w:tcMar>
              <w:top w:w="90" w:type="dxa"/>
              <w:start w:w="100" w:type="dxa"/>
              <w:bottom w:w="90" w:type="dxa"/>
              <w:end w:w="100" w:type="dxa"/>
            </w:tcMar>
            <w:shd w:fill="171A1F"/>
          </w:tcPr>
          <w:p>
            <w:pPr>
              <w:spacing w:after="80" w:before="0" w:line="276" w:lineRule="auto"/>
              <w:jc w:val="left"/>
            </w:pPr>
            <w:r>
              <w:rPr>
                <w:rFonts w:ascii="Noto Sans Arabic" w:hAnsi="Noto Sans Arabic" w:cs="Noto Sans Arabic"/>
                <w:b/>
                <w:color w:val="FFFFFF"/>
                <w:sz w:val="18"/>
              </w:rPr>
              <w:t>Decision Layers</w:t>
            </w:r>
          </w:p>
        </w:tc>
        <w:tc>
          <w:tcPr>
            <w:tcW w:type="dxa" w:w="4933"/>
            <w:tcMar>
              <w:top w:w="90" w:type="dxa"/>
              <w:start w:w="100" w:type="dxa"/>
              <w:bottom w:w="90" w:type="dxa"/>
              <w:end w:w="100" w:type="dxa"/>
            </w:tcMar>
          </w:tcPr>
          <w:p>
            <w:r>
              <w:t>01–16 logical internal Decision Layers preserved. Internal names are confidential. Customer UI exposes only five approved customer-facing names as a protected display abstraction; no 1:1 numbering claim.</w:t>
            </w:r>
          </w:p>
        </w:tc>
      </w:tr>
      <w:tr>
        <w:tc>
          <w:tcPr>
            <w:tcW w:type="dxa" w:w="4933"/>
            <w:tcMar>
              <w:top w:w="90" w:type="dxa"/>
              <w:start w:w="100" w:type="dxa"/>
              <w:bottom w:w="90" w:type="dxa"/>
              <w:end w:w="100" w:type="dxa"/>
            </w:tcMar>
            <w:shd w:fill="171A1F"/>
          </w:tcPr>
          <w:p>
            <w:pPr>
              <w:spacing w:after="80" w:before="0" w:line="276" w:lineRule="auto"/>
              <w:jc w:val="left"/>
            </w:pPr>
            <w:r>
              <w:rPr>
                <w:rFonts w:ascii="Noto Sans Arabic" w:hAnsi="Noto Sans Arabic" w:cs="Noto Sans Arabic"/>
                <w:b/>
                <w:color w:val="FFFFFF"/>
                <w:sz w:val="18"/>
              </w:rPr>
              <w:t>Capabilities</w:t>
            </w:r>
          </w:p>
        </w:tc>
        <w:tc>
          <w:tcPr>
            <w:tcW w:type="dxa" w:w="4933"/>
            <w:tcMar>
              <w:top w:w="90" w:type="dxa"/>
              <w:start w:w="100" w:type="dxa"/>
              <w:bottom w:w="90" w:type="dxa"/>
              <w:end w:w="100" w:type="dxa"/>
            </w:tcMar>
          </w:tcPr>
          <w:p>
            <w:pPr>
              <w:spacing w:after="80" w:before="0" w:line="276" w:lineRule="auto"/>
              <w:jc w:val="left"/>
            </w:pPr>
            <w:r>
              <w:rPr>
                <w:rFonts w:ascii="Noto Sans Arabic" w:hAnsi="Noto Sans Arabic" w:cs="Noto Sans Arabic"/>
                <w:b w:val="0"/>
                <w:color w:val="22262D"/>
                <w:sz w:val="18"/>
              </w:rPr>
              <w:t>01–28 logical; no invented names and no 1:1 microservice assumption</w:t>
            </w:r>
          </w:p>
        </w:tc>
      </w:tr>
      <w:tr>
        <w:tc>
          <w:tcPr>
            <w:tcW w:type="dxa" w:w="4933"/>
            <w:tcMar>
              <w:top w:w="90" w:type="dxa"/>
              <w:start w:w="100" w:type="dxa"/>
              <w:bottom w:w="90" w:type="dxa"/>
              <w:end w:w="100" w:type="dxa"/>
            </w:tcMar>
            <w:shd w:fill="171A1F"/>
          </w:tcPr>
          <w:p>
            <w:pPr>
              <w:spacing w:after="80" w:before="0" w:line="276" w:lineRule="auto"/>
              <w:jc w:val="left"/>
            </w:pPr>
            <w:r>
              <w:rPr>
                <w:rFonts w:ascii="Noto Sans Arabic" w:hAnsi="Noto Sans Arabic" w:cs="Noto Sans Arabic"/>
                <w:b/>
                <w:color w:val="FFFFFF"/>
                <w:sz w:val="18"/>
              </w:rPr>
              <w:t>Visual identity</w:t>
            </w:r>
          </w:p>
        </w:tc>
        <w:tc>
          <w:tcPr>
            <w:tcW w:type="dxa" w:w="4933"/>
            <w:tcMar>
              <w:top w:w="90" w:type="dxa"/>
              <w:start w:w="100" w:type="dxa"/>
              <w:bottom w:w="90" w:type="dxa"/>
              <w:end w:w="100" w:type="dxa"/>
            </w:tcMar>
          </w:tcPr>
          <w:p>
            <w:r>
              <w:t>SOVEREIGN OBSIDIAN — Governed Institutional Decision Intelligence Platform; logo complexity 3/10; Page Canvas #080D10; Refined Gold #D4AF37; Sky Blue #29B6F6; Off-White #F5F6F7; exact component and motion language governed by Figure UI-04.</w:t>
            </w:r>
          </w:p>
        </w:tc>
      </w:tr>
    </w:tbl>
    <w:p>
      <w:pPr>
        <w:pStyle w:val="Heading2"/>
        <w:keepNext/>
        <w:bidi w:val="1"/>
        <w:spacing w:before="160" w:after="100"/>
        <w:jc w:val="right"/>
      </w:pPr>
      <w:r>
        <w:rPr>
          <w:rFonts w:ascii="Noto Kufi Arabic" w:hAnsi="Noto Kufi Arabic" w:cs="Noto Kufi Arabic"/>
          <w:b/>
          <w:color w:val="22262D"/>
          <w:sz w:val="28"/>
        </w:rPr>
        <w:t>سجل مصادر الدمج</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vAlign w:val="center"/>
            <w:tcMar>
              <w:top w:w="80" w:type="dxa"/>
              <w:start w:w="80" w:type="dxa"/>
              <w:bottom w:w="80" w:type="dxa"/>
              <w:end w:w="80" w:type="dxa"/>
            </w:tcMar>
            <w:shd w:fill="171A1F"/>
          </w:tcPr>
          <w:p>
            <w:pPr>
              <w:bidi w:val="1"/>
              <w:spacing w:after="80" w:before="0" w:line="276" w:lineRule="auto"/>
              <w:jc w:val="right"/>
            </w:pPr>
            <w:r>
              <w:rPr>
                <w:rFonts w:ascii="Noto Sans Arabic" w:hAnsi="Noto Sans Arabic" w:cs="Noto Sans Arabic"/>
                <w:b/>
                <w:color w:val="FFFFFF"/>
                <w:sz w:val="18"/>
              </w:rPr>
              <w:t>المصدر</w:t>
            </w:r>
          </w:p>
        </w:tc>
        <w:tc>
          <w:tcPr>
            <w:tcW w:type="dxa" w:w="4933"/>
            <w:vAlign w:val="center"/>
            <w:tcMar>
              <w:top w:w="80" w:type="dxa"/>
              <w:start w:w="80" w:type="dxa"/>
              <w:bottom w:w="80" w:type="dxa"/>
              <w:end w:w="80" w:type="dxa"/>
            </w:tcMar>
            <w:shd w:fill="171A1F"/>
          </w:tcPr>
          <w:p>
            <w:pPr>
              <w:bidi w:val="1"/>
              <w:spacing w:after="80" w:before="0" w:line="276" w:lineRule="auto"/>
              <w:jc w:val="right"/>
            </w:pPr>
            <w:r>
              <w:rPr>
                <w:rFonts w:ascii="Noto Sans Arabic" w:hAnsi="Noto Sans Arabic" w:cs="Noto Sans Arabic"/>
                <w:b/>
                <w:color w:val="FFFFFF"/>
                <w:sz w:val="18"/>
              </w:rPr>
              <w:t>الدور في التقرير</w:t>
            </w:r>
          </w:p>
        </w:tc>
      </w:tr>
      <w:tr>
        <w:tc>
          <w:tcPr>
            <w:tcW w:type="dxa" w:w="4933"/>
            <w:vAlign w:val="center"/>
            <w:tcMar>
              <w:top w:w="80" w:type="dxa"/>
              <w:start w:w="80" w:type="dxa"/>
              <w:bottom w:w="80" w:type="dxa"/>
              <w:end w:w="80" w:type="dxa"/>
            </w:tcMar>
          </w:tcPr>
          <w:p>
            <w:pPr>
              <w:bidi w:val="1"/>
              <w:spacing w:after="80" w:before="0" w:line="276" w:lineRule="auto"/>
              <w:jc w:val="right"/>
            </w:pPr>
            <w:r>
              <w:rPr>
                <w:rFonts w:ascii="Noto Sans Arabic" w:hAnsi="Noto Sans Arabic" w:cs="Noto Sans Arabic"/>
                <w:b w:val="0"/>
                <w:color w:val="22262D"/>
                <w:sz w:val="17"/>
              </w:rPr>
              <w:t>تم لصق markdown(2).md</w:t>
            </w:r>
          </w:p>
        </w:tc>
        <w:tc>
          <w:tcPr>
            <w:tcW w:type="dxa" w:w="4933"/>
            <w:vAlign w:val="center"/>
            <w:tcMar>
              <w:top w:w="80" w:type="dxa"/>
              <w:start w:w="80" w:type="dxa"/>
              <w:bottom w:w="80" w:type="dxa"/>
              <w:end w:w="80" w:type="dxa"/>
            </w:tcMar>
          </w:tcPr>
          <w:p>
            <w:pPr>
              <w:spacing w:after="80" w:before="0" w:line="276" w:lineRule="auto"/>
              <w:jc w:val="left"/>
            </w:pPr>
            <w:r>
              <w:rPr>
                <w:rFonts w:ascii="Noto Sans Arabic" w:hAnsi="Noto Sans Arabic" w:cs="Noto Sans Arabic"/>
                <w:b w:val="0"/>
                <w:color w:val="22262D"/>
                <w:sz w:val="17"/>
              </w:rPr>
              <w:t>Level 0/Level 1 architecture source; latest revised Level 1 used as controlling architecture reference.</w:t>
            </w:r>
          </w:p>
        </w:tc>
      </w:tr>
      <w:tr>
        <w:tc>
          <w:tcPr>
            <w:tcW w:type="dxa" w:w="4933"/>
            <w:vAlign w:val="center"/>
            <w:tcMar>
              <w:top w:w="80" w:type="dxa"/>
              <w:start w:w="80" w:type="dxa"/>
              <w:bottom w:w="80" w:type="dxa"/>
              <w:end w:w="80" w:type="dxa"/>
            </w:tcMar>
            <w:shd w:fill="F7F8F9"/>
          </w:tcPr>
          <w:p>
            <w:pPr>
              <w:bidi w:val="1"/>
              <w:spacing w:after="80" w:before="0" w:line="276" w:lineRule="auto"/>
              <w:jc w:val="right"/>
            </w:pPr>
            <w:r>
              <w:rPr>
                <w:rFonts w:ascii="Noto Sans Arabic" w:hAnsi="Noto Sans Arabic" w:cs="Noto Sans Arabic"/>
                <w:b w:val="0"/>
                <w:color w:val="22262D"/>
                <w:sz w:val="17"/>
              </w:rPr>
              <w:t>تم لصق markdown (2)(1).md</w:t>
            </w:r>
          </w:p>
        </w:tc>
        <w:tc>
          <w:tcPr>
            <w:tcW w:type="dxa" w:w="4933"/>
            <w:vAlign w:val="center"/>
            <w:tcMar>
              <w:top w:w="80" w:type="dxa"/>
              <w:start w:w="80" w:type="dxa"/>
              <w:bottom w:w="80" w:type="dxa"/>
              <w:end w:w="80" w:type="dxa"/>
            </w:tcMar>
            <w:shd w:fill="F7F8F9"/>
          </w:tcPr>
          <w:p>
            <w:pPr>
              <w:spacing w:after="80" w:before="0" w:line="276" w:lineRule="auto"/>
              <w:jc w:val="left"/>
            </w:pPr>
            <w:r>
              <w:rPr>
                <w:rFonts w:ascii="Noto Sans Arabic" w:hAnsi="Noto Sans Arabic" w:cs="Noto Sans Arabic"/>
                <w:b w:val="0"/>
                <w:color w:val="22262D"/>
                <w:sz w:val="17"/>
              </w:rPr>
              <w:t>UI/UX Information Architecture + final Arabic Visual Design Governance + preservation/merge rules.</w:t>
            </w:r>
          </w:p>
        </w:tc>
      </w:tr>
      <w:tr>
        <w:tc>
          <w:tcPr>
            <w:tcW w:type="dxa" w:w="4933"/>
            <w:vAlign w:val="center"/>
            <w:tcMar>
              <w:top w:w="80" w:type="dxa"/>
              <w:start w:w="80" w:type="dxa"/>
              <w:bottom w:w="80" w:type="dxa"/>
              <w:end w:w="80" w:type="dxa"/>
            </w:tcMar>
          </w:tcPr>
          <w:p>
            <w:pPr>
              <w:bidi w:val="1"/>
              <w:spacing w:after="80" w:before="0" w:line="276" w:lineRule="auto"/>
              <w:jc w:val="right"/>
            </w:pPr>
            <w:r>
              <w:rPr>
                <w:rFonts w:ascii="Noto Sans Arabic" w:hAnsi="Noto Sans Arabic" w:cs="Noto Sans Arabic"/>
                <w:b w:val="0"/>
                <w:color w:val="22262D"/>
                <w:sz w:val="17"/>
              </w:rPr>
              <w:t>التقرير_الاستراتيجي_الشامل_والمحدث_لبناء_واجهات_المنصة (2).docx</w:t>
            </w:r>
          </w:p>
        </w:tc>
        <w:tc>
          <w:tcPr>
            <w:tcW w:type="dxa" w:w="4933"/>
            <w:vAlign w:val="center"/>
            <w:tcMar>
              <w:top w:w="80" w:type="dxa"/>
              <w:start w:w="80" w:type="dxa"/>
              <w:bottom w:w="80" w:type="dxa"/>
              <w:end w:w="80" w:type="dxa"/>
            </w:tcMar>
          </w:tcPr>
          <w:p>
            <w:pPr>
              <w:spacing w:after="80" w:before="0" w:line="276" w:lineRule="auto"/>
              <w:jc w:val="left"/>
            </w:pPr>
            <w:r>
              <w:rPr>
                <w:rFonts w:ascii="Noto Sans Arabic" w:hAnsi="Noto Sans Arabic" w:cs="Noto Sans Arabic"/>
                <w:b w:val="0"/>
                <w:color w:val="22262D"/>
                <w:sz w:val="17"/>
              </w:rPr>
              <w:t>Original strategic interface report; preserved in full as Appendix A.</w:t>
            </w:r>
          </w:p>
        </w:tc>
      </w:tr>
      <w:tr>
        <w:tc>
          <w:tcPr>
            <w:tcW w:type="dxa" w:w="4933"/>
            <w:vAlign w:val="center"/>
            <w:tcMar>
              <w:top w:w="80" w:type="dxa"/>
              <w:start w:w="80" w:type="dxa"/>
              <w:bottom w:w="80" w:type="dxa"/>
              <w:end w:w="80" w:type="dxa"/>
            </w:tcMar>
            <w:shd w:fill="F7F8F9"/>
          </w:tcPr>
          <w:p>
            <w:pPr>
              <w:spacing w:after="80" w:before="0" w:line="276" w:lineRule="auto"/>
              <w:jc w:val="left"/>
            </w:pPr>
            <w:r>
              <w:rPr>
                <w:rFonts w:ascii="Noto Sans Arabic" w:hAnsi="Noto Sans Arabic" w:cs="Noto Sans Arabic"/>
                <w:b w:val="0"/>
                <w:color w:val="22262D"/>
                <w:sz w:val="17"/>
              </w:rPr>
              <w:t>888888888888888888888888888888888888888888888888888888888888.png</w:t>
            </w:r>
          </w:p>
        </w:tc>
        <w:tc>
          <w:tcPr>
            <w:tcW w:type="dxa" w:w="4933"/>
            <w:vAlign w:val="center"/>
            <w:tcMar>
              <w:top w:w="80" w:type="dxa"/>
              <w:start w:w="80" w:type="dxa"/>
              <w:bottom w:w="80" w:type="dxa"/>
              <w:end w:w="80" w:type="dxa"/>
            </w:tcMar>
            <w:shd w:fill="F7F8F9"/>
          </w:tcPr>
          <w:p>
            <w:pPr>
              <w:spacing w:after="80" w:before="0" w:line="276" w:lineRule="auto"/>
              <w:jc w:val="left"/>
            </w:pPr>
            <w:r>
              <w:rPr>
                <w:rFonts w:ascii="Noto Sans Arabic" w:hAnsi="Noto Sans Arabic" w:cs="Noto Sans Arabic"/>
                <w:b w:val="0"/>
                <w:color w:val="22262D"/>
                <w:sz w:val="17"/>
              </w:rPr>
              <w:t>Figure UI-01 — Visual Design System Mindmap.</w:t>
            </w:r>
          </w:p>
        </w:tc>
      </w:tr>
      <w:tr>
        <w:tc>
          <w:tcPr>
            <w:tcW w:type="dxa" w:w="4933"/>
            <w:vAlign w:val="center"/>
            <w:tcMar>
              <w:top w:w="80" w:type="dxa"/>
              <w:start w:w="80" w:type="dxa"/>
              <w:bottom w:w="80" w:type="dxa"/>
              <w:end w:w="80" w:type="dxa"/>
            </w:tcMar>
          </w:tcPr>
          <w:p>
            <w:pPr>
              <w:spacing w:after="80" w:before="0" w:line="276" w:lineRule="auto"/>
              <w:jc w:val="left"/>
            </w:pPr>
            <w:r>
              <w:rPr>
                <w:rFonts w:ascii="Noto Sans Arabic" w:hAnsi="Noto Sans Arabic" w:cs="Noto Sans Arabic"/>
                <w:b w:val="0"/>
                <w:color w:val="22262D"/>
                <w:sz w:val="17"/>
              </w:rPr>
              <w:t>111111111111111111111111111111111111111111111111111111111111111111111111111111(3).png</w:t>
            </w:r>
          </w:p>
        </w:tc>
        <w:tc>
          <w:tcPr>
            <w:tcW w:type="dxa" w:w="4933"/>
            <w:vAlign w:val="center"/>
            <w:tcMar>
              <w:top w:w="80" w:type="dxa"/>
              <w:start w:w="80" w:type="dxa"/>
              <w:bottom w:w="80" w:type="dxa"/>
              <w:end w:w="80" w:type="dxa"/>
            </w:tcMar>
          </w:tcPr>
          <w:p>
            <w:pPr>
              <w:spacing w:after="80" w:before="0" w:line="276" w:lineRule="auto"/>
              <w:jc w:val="left"/>
            </w:pPr>
            <w:r>
              <w:rPr>
                <w:rFonts w:ascii="Noto Sans Arabic" w:hAnsi="Noto Sans Arabic" w:cs="Noto Sans Arabic"/>
                <w:b w:val="0"/>
                <w:color w:val="22262D"/>
                <w:sz w:val="17"/>
              </w:rPr>
              <w:t>Figure UI-02 — UI/UX Information Architecture Mindmap.</w:t>
            </w:r>
          </w:p>
        </w:tc>
      </w:tr>
      <w:tr>
        <w:tc>
          <w:tcPr>
            <w:tcW w:type="dxa" w:w="4933"/>
            <w:vAlign w:val="center"/>
            <w:tcMar>
              <w:top w:w="80" w:type="dxa"/>
              <w:start w:w="80" w:type="dxa"/>
              <w:bottom w:w="80" w:type="dxa"/>
              <w:end w:w="80" w:type="dxa"/>
            </w:tcMar>
            <w:shd w:fill="F7F8F9"/>
          </w:tcPr>
          <w:p>
            <w:pPr>
              <w:spacing w:after="80" w:before="0" w:line="276" w:lineRule="auto"/>
              <w:jc w:val="left"/>
            </w:pPr>
            <w:r>
              <w:rPr>
                <w:rFonts w:ascii="Noto Sans Arabic" w:hAnsi="Noto Sans Arabic" w:cs="Noto Sans Arabic"/>
                <w:b w:val="0"/>
                <w:color w:val="22262D"/>
                <w:sz w:val="17"/>
              </w:rPr>
              <w:t>22222222222222222222222222222222222222222222222222222222(1).png</w:t>
            </w:r>
          </w:p>
        </w:tc>
        <w:tc>
          <w:tcPr>
            <w:tcW w:type="dxa" w:w="4933"/>
            <w:vAlign w:val="center"/>
            <w:tcMar>
              <w:top w:w="80" w:type="dxa"/>
              <w:start w:w="80" w:type="dxa"/>
              <w:bottom w:w="80" w:type="dxa"/>
              <w:end w:w="80" w:type="dxa"/>
            </w:tcMar>
            <w:shd w:fill="F7F8F9"/>
          </w:tcPr>
          <w:p>
            <w:pPr>
              <w:spacing w:after="80" w:before="0" w:line="276" w:lineRule="auto"/>
              <w:jc w:val="left"/>
            </w:pPr>
            <w:r>
              <w:rPr>
                <w:rFonts w:ascii="Noto Sans Arabic" w:hAnsi="Noto Sans Arabic" w:cs="Noto Sans Arabic"/>
                <w:b w:val="0"/>
                <w:color w:val="22262D"/>
                <w:sz w:val="17"/>
              </w:rPr>
              <w:t>Figure UI-03 — Public vs Admin/Review Exposure Architecture.</w:t>
            </w:r>
          </w:p>
        </w:tc>
      </w:tr>
    </w:tbl>
    <w:p>
      <w:pPr>
        <w:pStyle w:val="Heading1"/>
        <w:keepNext/>
        <w:bidi w:val="1"/>
        <w:spacing w:before="240" w:after="100"/>
        <w:jc w:val="right"/>
      </w:pPr>
      <w:r>
        <w:rPr>
          <w:rFonts w:ascii="Noto Kufi Arabic" w:hAnsi="Noto Kufi Arabic" w:cs="Noto Kufi Arabic"/>
          <w:b/>
          <w:color w:val="8E6D27"/>
          <w:sz w:val="36"/>
        </w:rPr>
        <w:t>مصفوفة حسم التعارضات — Design-Only Precedence</w:t>
      </w:r>
    </w:p>
    <w:p>
      <w:pPr>
        <w:bidi w:val="1"/>
        <w:spacing w:after="80" w:before="0" w:line="276" w:lineRule="auto"/>
        <w:jc w:val="right"/>
      </w:pPr>
      <w:r>
        <w:rPr>
          <w:rFonts w:ascii="Noto Sans Arabic" w:hAnsi="Noto Sans Arabic" w:cs="Noto Sans Arabic"/>
          <w:b w:val="0"/>
          <w:color w:val="22262D"/>
          <w:sz w:val="20"/>
        </w:rPr>
        <w:t>هذه المصفوفة لا تغيّر Business Logic أو Backend Architecture أو Contracts. وظيفتها حسم تعارضات التصميم والـfrontend exposure فقط.</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3289"/>
            <w:vAlign w:val="center"/>
            <w:tcMar>
              <w:top w:w="80" w:type="dxa"/>
              <w:start w:w="80" w:type="dxa"/>
              <w:bottom w:w="80" w:type="dxa"/>
              <w:end w:w="80" w:type="dxa"/>
            </w:tcMar>
            <w:shd w:fill="171A1F"/>
          </w:tcPr>
          <w:p>
            <w:pPr>
              <w:bidi w:val="1"/>
              <w:spacing w:after="80" w:before="0" w:line="276" w:lineRule="auto"/>
              <w:jc w:val="right"/>
            </w:pPr>
            <w:r>
              <w:rPr>
                <w:rFonts w:ascii="Noto Sans Arabic" w:hAnsi="Noto Sans Arabic" w:cs="Noto Sans Arabic"/>
                <w:b/>
                <w:color w:val="FFFFFF"/>
                <w:sz w:val="18"/>
              </w:rPr>
              <w:t>الموضوع</w:t>
            </w:r>
          </w:p>
        </w:tc>
        <w:tc>
          <w:tcPr>
            <w:tcW w:type="dxa" w:w="3289"/>
            <w:vAlign w:val="center"/>
            <w:tcMar>
              <w:top w:w="80" w:type="dxa"/>
              <w:start w:w="80" w:type="dxa"/>
              <w:bottom w:w="80" w:type="dxa"/>
              <w:end w:w="80" w:type="dxa"/>
            </w:tcMar>
            <w:shd w:fill="171A1F"/>
          </w:tcPr>
          <w:p>
            <w:pPr>
              <w:bidi w:val="1"/>
              <w:spacing w:after="80" w:before="0" w:line="276" w:lineRule="auto"/>
              <w:jc w:val="right"/>
            </w:pPr>
            <w:r>
              <w:rPr>
                <w:rFonts w:ascii="Noto Sans Arabic" w:hAnsi="Noto Sans Arabic" w:cs="Noto Sans Arabic"/>
                <w:b/>
                <w:color w:val="FFFFFF"/>
                <w:sz w:val="18"/>
              </w:rPr>
              <w:t>المرجع السابق المحفوظ</w:t>
            </w:r>
          </w:p>
        </w:tc>
        <w:tc>
          <w:tcPr>
            <w:tcW w:type="dxa" w:w="3289"/>
            <w:vAlign w:val="center"/>
            <w:tcMar>
              <w:top w:w="80" w:type="dxa"/>
              <w:start w:w="80" w:type="dxa"/>
              <w:bottom w:w="80" w:type="dxa"/>
              <w:end w:w="80" w:type="dxa"/>
            </w:tcMar>
            <w:shd w:fill="171A1F"/>
          </w:tcPr>
          <w:p>
            <w:pPr>
              <w:bidi w:val="1"/>
              <w:spacing w:after="80" w:before="0" w:line="276" w:lineRule="auto"/>
              <w:jc w:val="right"/>
            </w:pPr>
            <w:r>
              <w:rPr>
                <w:rFonts w:ascii="Noto Sans Arabic" w:hAnsi="Noto Sans Arabic" w:cs="Noto Sans Arabic"/>
                <w:b/>
                <w:color w:val="FFFFFF"/>
                <w:sz w:val="18"/>
              </w:rPr>
              <w:t>القرار الحاكم بعد الدمج</w:t>
            </w:r>
          </w:p>
        </w:tc>
      </w:tr>
      <w:tr>
        <w:tc>
          <w:tcPr>
            <w:tcW w:type="dxa" w:w="3289"/>
            <w:vAlign w:val="center"/>
            <w:tcMar>
              <w:top w:w="80" w:type="dxa"/>
              <w:start w:w="80" w:type="dxa"/>
              <w:bottom w:w="80" w:type="dxa"/>
              <w:end w:w="80" w:type="dxa"/>
            </w:tcMar>
          </w:tcPr>
          <w:p>
            <w:pPr>
              <w:bidi w:val="1"/>
              <w:spacing w:after="80" w:before="0" w:line="276" w:lineRule="auto"/>
              <w:jc w:val="right"/>
            </w:pPr>
            <w:r>
              <w:rPr>
                <w:rFonts w:ascii="Noto Sans Arabic" w:hAnsi="Noto Sans Arabic" w:cs="Noto Sans Arabic"/>
                <w:b w:val="0"/>
                <w:color w:val="22262D"/>
                <w:sz w:val="17"/>
              </w:rPr>
              <w:t>الهوية اللونية</w:t>
            </w:r>
          </w:p>
        </w:tc>
        <w:tc>
          <w:tcPr>
            <w:tcW w:type="dxa" w:w="3289"/>
            <w:vAlign w:val="center"/>
            <w:tcMar>
              <w:top w:w="80" w:type="dxa"/>
              <w:start w:w="80" w:type="dxa"/>
              <w:bottom w:w="80" w:type="dxa"/>
              <w:end w:w="80" w:type="dxa"/>
            </w:tcMar>
          </w:tcPr>
          <w:p>
            <w:pPr>
              <w:spacing w:after="80" w:before="0" w:line="276" w:lineRule="auto"/>
              <w:jc w:val="left"/>
            </w:pPr>
            <w:r>
              <w:rPr>
                <w:rFonts w:ascii="Noto Sans Arabic" w:hAnsi="Noto Sans Arabic" w:cs="Noto Sans Arabic"/>
                <w:b w:val="0"/>
                <w:color w:val="22262D"/>
                <w:sz w:val="17"/>
              </w:rPr>
              <w:t>Primary accent: Indigo / Violet</w:t>
            </w:r>
          </w:p>
        </w:tc>
        <w:tc>
          <w:tcPr>
            <w:tcW w:type="dxa" w:w="3289"/>
            <w:vAlign w:val="center"/>
            <w:tcMar>
              <w:top w:w="80" w:type="dxa"/>
              <w:start w:w="80" w:type="dxa"/>
              <w:bottom w:w="80" w:type="dxa"/>
              <w:end w:w="80" w:type="dxa"/>
            </w:tcMar>
          </w:tcPr>
          <w:p>
            <w:r>
              <w:t>الهوية الجديدة الحاكمة: Deep Charcoal / Near Black كأساس، Warm Refined Metallic Gold للهوية والسلطة وCORE emphasis بشكل مقيد، Controlled Sky Blue للتحليل والبيانات، وWhite / Off-White للنصوص. Indigo/Violet لم يعد Primary Brand Accent؛ يبقى Violet/Purple فقط لحالات Review/Experimental عند الحاجة.</w:t>
            </w:r>
          </w:p>
        </w:tc>
      </w:tr>
      <w:tr>
        <w:tc>
          <w:tcPr>
            <w:tcW w:type="dxa" w:w="3289"/>
            <w:vAlign w:val="center"/>
            <w:tcMar>
              <w:top w:w="80" w:type="dxa"/>
              <w:start w:w="80" w:type="dxa"/>
              <w:bottom w:w="80" w:type="dxa"/>
              <w:end w:w="80" w:type="dxa"/>
            </w:tcMar>
            <w:shd w:fill="F7F8F9"/>
          </w:tcPr>
          <w:p>
            <w:pPr>
              <w:spacing w:after="80" w:before="0" w:line="276" w:lineRule="auto"/>
              <w:jc w:val="left"/>
            </w:pPr>
            <w:r>
              <w:rPr>
                <w:rFonts w:ascii="Noto Sans Arabic" w:hAnsi="Noto Sans Arabic" w:cs="Noto Sans Arabic"/>
                <w:b w:val="0"/>
                <w:color w:val="22262D"/>
                <w:sz w:val="17"/>
              </w:rPr>
              <w:t>Public navigation</w:t>
            </w:r>
          </w:p>
        </w:tc>
        <w:tc>
          <w:tcPr>
            <w:tcW w:type="dxa" w:w="3289"/>
            <w:vAlign w:val="center"/>
            <w:tcMar>
              <w:top w:w="80" w:type="dxa"/>
              <w:start w:w="80" w:type="dxa"/>
              <w:bottom w:w="80" w:type="dxa"/>
              <w:end w:w="80" w:type="dxa"/>
            </w:tcMar>
            <w:shd w:fill="F7F8F9"/>
          </w:tcPr>
          <w:p>
            <w:pPr>
              <w:spacing w:after="80" w:before="0" w:line="276" w:lineRule="auto"/>
              <w:jc w:val="left"/>
            </w:pPr>
            <w:r>
              <w:rPr>
                <w:rFonts w:ascii="Noto Sans Arabic" w:hAnsi="Noto Sans Arabic" w:cs="Noto Sans Arabic"/>
                <w:b w:val="0"/>
                <w:color w:val="22262D"/>
                <w:sz w:val="17"/>
              </w:rPr>
              <w:t>Home / Methodology / Current Analysis / Documentation / Sign In</w:t>
            </w:r>
          </w:p>
        </w:tc>
        <w:tc>
          <w:tcPr>
            <w:tcW w:type="dxa" w:w="3289"/>
            <w:vAlign w:val="center"/>
            <w:tcMar>
              <w:top w:w="80" w:type="dxa"/>
              <w:start w:w="80" w:type="dxa"/>
              <w:bottom w:w="80" w:type="dxa"/>
              <w:end w:w="80" w:type="dxa"/>
            </w:tcMar>
            <w:shd w:fill="F7F8F9"/>
          </w:tcPr>
          <w:p>
            <w:r>
              <w:t>Minimal Public Header per Figure UI-05: NDSP full logo at right; Methodology / Governance as minimal navigation; Sign In at left. Deeper Public sections remain in the governed scroll narrative and authorized routes.</w:t>
            </w:r>
          </w:p>
        </w:tc>
      </w:tr>
      <w:tr>
        <w:tc>
          <w:tcPr>
            <w:tcW w:type="dxa" w:w="3289"/>
            <w:vAlign w:val="center"/>
            <w:tcMar>
              <w:top w:w="80" w:type="dxa"/>
              <w:start w:w="80" w:type="dxa"/>
              <w:bottom w:w="80" w:type="dxa"/>
              <w:end w:w="80" w:type="dxa"/>
            </w:tcMar>
          </w:tcPr>
          <w:p>
            <w:pPr>
              <w:spacing w:after="80" w:before="0" w:line="276" w:lineRule="auto"/>
              <w:jc w:val="left"/>
            </w:pPr>
            <w:r>
              <w:rPr>
                <w:rFonts w:ascii="Noto Sans Arabic" w:hAnsi="Noto Sans Arabic" w:cs="Noto Sans Arabic"/>
                <w:b w:val="0"/>
                <w:color w:val="22262D"/>
                <w:sz w:val="17"/>
              </w:rPr>
              <w:t>Admin scope</w:t>
            </w:r>
          </w:p>
        </w:tc>
        <w:tc>
          <w:tcPr>
            <w:tcW w:type="dxa" w:w="3289"/>
            <w:vAlign w:val="center"/>
            <w:tcMar>
              <w:top w:w="80" w:type="dxa"/>
              <w:start w:w="80" w:type="dxa"/>
              <w:bottom w:w="80" w:type="dxa"/>
              <w:end w:w="80" w:type="dxa"/>
            </w:tcMar>
          </w:tcPr>
          <w:p>
            <w:pPr>
              <w:bidi w:val="1"/>
              <w:spacing w:after="80" w:before="0" w:line="276" w:lineRule="auto"/>
              <w:jc w:val="right"/>
            </w:pPr>
            <w:r>
              <w:rPr>
                <w:rFonts w:ascii="Noto Sans Arabic" w:hAnsi="Noto Sans Arabic" w:cs="Noto Sans Arabic"/>
                <w:b w:val="0"/>
                <w:color w:val="22262D"/>
                <w:sz w:val="17"/>
              </w:rPr>
              <w:t>تركيز سابق على /admin/cot</w:t>
            </w:r>
          </w:p>
        </w:tc>
        <w:tc>
          <w:tcPr>
            <w:tcW w:type="dxa" w:w="3289"/>
            <w:vAlign w:val="center"/>
            <w:tcMar>
              <w:top w:w="80" w:type="dxa"/>
              <w:start w:w="80" w:type="dxa"/>
              <w:bottom w:w="80" w:type="dxa"/>
              <w:end w:w="80" w:type="dxa"/>
            </w:tcMar>
          </w:tcPr>
          <w:p>
            <w:pPr>
              <w:bidi w:val="1"/>
              <w:spacing w:after="80" w:before="0" w:line="276" w:lineRule="auto"/>
              <w:jc w:val="right"/>
            </w:pPr>
            <w:r>
              <w:rPr>
                <w:rFonts w:ascii="Noto Sans Arabic" w:hAnsi="Noto Sans Arabic" w:cs="Noto Sans Arabic"/>
                <w:b w:val="0"/>
                <w:color w:val="22262D"/>
                <w:sz w:val="17"/>
              </w:rPr>
              <w:t>Admin/Review Mission Control متعدد الـdomains. لا يُخترع route mapping جديد إلا بعقد تقني مثبت.</w:t>
            </w:r>
          </w:p>
        </w:tc>
      </w:tr>
      <w:tr>
        <w:tc>
          <w:tcPr>
            <w:tcW w:type="dxa" w:w="3289"/>
            <w:vAlign w:val="center"/>
            <w:tcMar>
              <w:top w:w="80" w:type="dxa"/>
              <w:start w:w="80" w:type="dxa"/>
              <w:bottom w:w="80" w:type="dxa"/>
              <w:end w:w="80" w:type="dxa"/>
            </w:tcMar>
            <w:shd w:fill="F7F8F9"/>
          </w:tcPr>
          <w:p>
            <w:pPr>
              <w:spacing w:after="80" w:before="0" w:line="276" w:lineRule="auto"/>
              <w:jc w:val="left"/>
            </w:pPr>
            <w:r>
              <w:rPr>
                <w:rFonts w:ascii="Noto Sans Arabic" w:hAnsi="Noto Sans Arabic" w:cs="Noto Sans Arabic"/>
                <w:b w:val="0"/>
                <w:color w:val="22262D"/>
                <w:sz w:val="17"/>
              </w:rPr>
              <w:t>Public exposure</w:t>
            </w:r>
          </w:p>
        </w:tc>
        <w:tc>
          <w:tcPr>
            <w:tcW w:type="dxa" w:w="3289"/>
            <w:vAlign w:val="center"/>
            <w:tcMar>
              <w:top w:w="80" w:type="dxa"/>
              <w:start w:w="80" w:type="dxa"/>
              <w:bottom w:w="80" w:type="dxa"/>
              <w:end w:w="80" w:type="dxa"/>
            </w:tcMar>
            <w:shd w:fill="F7F8F9"/>
          </w:tcPr>
          <w:p>
            <w:pPr>
              <w:bidi w:val="1"/>
              <w:spacing w:after="80" w:before="0" w:line="276" w:lineRule="auto"/>
              <w:jc w:val="right"/>
            </w:pPr>
            <w:r>
              <w:rPr>
                <w:rFonts w:ascii="Noto Sans Arabic" w:hAnsi="Noto Sans Arabic" w:cs="Noto Sans Arabic"/>
                <w:b w:val="0"/>
                <w:color w:val="22262D"/>
                <w:sz w:val="17"/>
              </w:rPr>
              <w:t>CORE public مع مراجع قديمة إلى EXPANDED داخل الإدارة</w:t>
            </w:r>
          </w:p>
        </w:tc>
        <w:tc>
          <w:tcPr>
            <w:tcW w:type="dxa" w:w="3289"/>
            <w:vAlign w:val="center"/>
            <w:tcMar>
              <w:top w:w="80" w:type="dxa"/>
              <w:start w:w="80" w:type="dxa"/>
              <w:bottom w:w="80" w:type="dxa"/>
              <w:end w:w="80" w:type="dxa"/>
            </w:tcMar>
            <w:shd w:fill="F7F8F9"/>
          </w:tcPr>
          <w:p>
            <w:r>
              <w:t>Public غير المسجل يستهلك Governance-authorized CORE Public Projection فقط. مساحة العميل المسجل قد تعرض أسماء الطبقات الخمس المصرح بها فقط وفق entitlement من الخادم، دون أي منطق أو قيم أو نتائج طبقية أو أسماء للـ11 المحمية. EXPANDED/Shadow/Review يبقى داخليًا.</w:t>
            </w:r>
          </w:p>
        </w:tc>
      </w:tr>
      <w:tr>
        <w:tc>
          <w:tcPr>
            <w:tcW w:type="dxa" w:w="3289"/>
            <w:vAlign w:val="center"/>
            <w:tcMar>
              <w:top w:w="80" w:type="dxa"/>
              <w:start w:w="80" w:type="dxa"/>
              <w:bottom w:w="80" w:type="dxa"/>
              <w:end w:w="80" w:type="dxa"/>
            </w:tcMar>
          </w:tcPr>
          <w:p>
            <w:pPr>
              <w:spacing w:after="80" w:before="0" w:line="276" w:lineRule="auto"/>
              <w:jc w:val="left"/>
            </w:pPr>
            <w:r>
              <w:rPr>
                <w:rFonts w:ascii="Noto Sans Arabic" w:hAnsi="Noto Sans Arabic" w:cs="Noto Sans Arabic"/>
                <w:b w:val="0"/>
                <w:color w:val="22262D"/>
                <w:sz w:val="17"/>
              </w:rPr>
              <w:t>Public evidence narrative</w:t>
            </w:r>
          </w:p>
        </w:tc>
        <w:tc>
          <w:tcPr>
            <w:tcW w:type="dxa" w:w="3289"/>
            <w:vAlign w:val="center"/>
            <w:tcMar>
              <w:top w:w="80" w:type="dxa"/>
              <w:start w:w="80" w:type="dxa"/>
              <w:bottom w:w="80" w:type="dxa"/>
              <w:end w:w="80" w:type="dxa"/>
            </w:tcMar>
          </w:tcPr>
          <w:p>
            <w:pPr>
              <w:bidi w:val="1"/>
              <w:spacing w:after="80" w:before="0" w:line="276" w:lineRule="auto"/>
              <w:jc w:val="right"/>
            </w:pPr>
            <w:r>
              <w:rPr>
                <w:rFonts w:ascii="Noto Sans Arabic" w:hAnsi="Noto Sans Arabic" w:cs="Noto Sans Arabic"/>
                <w:b w:val="0"/>
                <w:color w:val="22262D"/>
                <w:sz w:val="17"/>
              </w:rPr>
              <w:t>إمكانية رسم مسار COT إلى النتيجة</w:t>
            </w:r>
          </w:p>
        </w:tc>
        <w:tc>
          <w:tcPr>
            <w:tcW w:type="dxa" w:w="3289"/>
            <w:vAlign w:val="center"/>
            <w:tcMar>
              <w:top w:w="80" w:type="dxa"/>
              <w:start w:w="80" w:type="dxa"/>
              <w:bottom w:w="80" w:type="dxa"/>
              <w:end w:w="80" w:type="dxa"/>
            </w:tcMar>
          </w:tcPr>
          <w:p>
            <w:pPr>
              <w:bidi w:val="1"/>
              <w:spacing w:after="80" w:before="0" w:line="276" w:lineRule="auto"/>
              <w:jc w:val="right"/>
            </w:pPr>
            <w:r>
              <w:rPr>
                <w:rFonts w:ascii="Noto Sans Arabic" w:hAnsi="Noto Sans Arabic" w:cs="Noto Sans Arabic"/>
                <w:b w:val="0"/>
                <w:color w:val="22262D"/>
                <w:sz w:val="17"/>
              </w:rPr>
              <w:t>لا يعرض Public إلا lineage/evidence المصرح به في Public Contract، ولا يكشف Raw COT أو internal intelligence افتراضيًا.</w:t>
            </w:r>
          </w:p>
        </w:tc>
      </w:tr>
      <w:tr>
        <w:tc>
          <w:tcPr>
            <w:tcW w:type="dxa" w:w="3289"/>
            <w:vAlign w:val="center"/>
            <w:tcMar>
              <w:top w:w="80" w:type="dxa"/>
              <w:start w:w="80" w:type="dxa"/>
              <w:bottom w:w="80" w:type="dxa"/>
              <w:end w:w="80" w:type="dxa"/>
            </w:tcMar>
            <w:shd w:fill="F7F8F9"/>
          </w:tcPr>
          <w:p>
            <w:pPr>
              <w:spacing w:after="80" w:before="0" w:line="276" w:lineRule="auto"/>
              <w:jc w:val="left"/>
            </w:pPr>
            <w:r>
              <w:rPr>
                <w:rFonts w:ascii="Noto Sans Arabic" w:hAnsi="Noto Sans Arabic" w:cs="Noto Sans Arabic"/>
                <w:b w:val="0"/>
                <w:color w:val="22262D"/>
                <w:sz w:val="17"/>
              </w:rPr>
              <w:t>Theme support</w:t>
            </w:r>
          </w:p>
        </w:tc>
        <w:tc>
          <w:tcPr>
            <w:tcW w:type="dxa" w:w="3289"/>
            <w:vAlign w:val="center"/>
            <w:tcMar>
              <w:top w:w="80" w:type="dxa"/>
              <w:start w:w="80" w:type="dxa"/>
              <w:bottom w:w="80" w:type="dxa"/>
              <w:end w:w="80" w:type="dxa"/>
            </w:tcMar>
            <w:shd w:fill="F7F8F9"/>
          </w:tcPr>
          <w:p>
            <w:pPr>
              <w:spacing w:after="80" w:before="0" w:line="276" w:lineRule="auto"/>
              <w:jc w:val="left"/>
            </w:pPr>
            <w:r>
              <w:rPr>
                <w:rFonts w:ascii="Noto Sans Arabic" w:hAnsi="Noto Sans Arabic" w:cs="Noto Sans Arabic"/>
                <w:b w:val="0"/>
                <w:color w:val="22262D"/>
                <w:sz w:val="17"/>
              </w:rPr>
              <w:t>Light/Dark support</w:t>
            </w:r>
          </w:p>
        </w:tc>
        <w:tc>
          <w:tcPr>
            <w:tcW w:type="dxa" w:w="3289"/>
            <w:vAlign w:val="center"/>
            <w:tcMar>
              <w:top w:w="80" w:type="dxa"/>
              <w:start w:w="80" w:type="dxa"/>
              <w:bottom w:w="80" w:type="dxa"/>
              <w:end w:w="80" w:type="dxa"/>
            </w:tcMar>
            <w:shd w:fill="F7F8F9"/>
          </w:tcPr>
          <w:p>
            <w:r>
              <w:t>Default and controlling theme: SOVEREIGN OBSIDIAN / Dark Institutional. Page Canvas #080D10, Surface #111518, Elevated #161C24, Gold #D4AF37, Sky Blue #29B6F6, Off-White #F5F6F7. Any Light variant is secondary and must preserve the same semantic system.</w:t>
            </w:r>
          </w:p>
        </w:tc>
      </w:tr>
    </w:tbl>
    <w:p>
      <w:r>
        <w:br w:type="page"/>
      </w:r>
    </w:p>
    <w:p>
      <w:pPr>
        <w:pStyle w:val="Heading1"/>
        <w:keepNext/>
        <w:spacing w:before="240" w:after="100"/>
        <w:jc w:val="left"/>
      </w:pPr>
      <w:r>
        <w:rPr>
          <w:rFonts w:ascii="Noto Kufi Arabic" w:hAnsi="Noto Kufi Arabic" w:cs="Noto Kufi Arabic"/>
          <w:b/>
          <w:color w:val="8E6D27"/>
          <w:sz w:val="36"/>
        </w:rPr>
        <w:t>PART I — Revised Level 1 Architecture (Controlling Reference)</w:t>
      </w:r>
    </w:p>
    <w:p>
      <w:pPr>
        <w:bidi w:val="1"/>
        <w:spacing w:after="80" w:before="0" w:line="276" w:lineRule="auto"/>
        <w:jc w:val="right"/>
      </w:pPr>
      <w:r>
        <w:rPr>
          <w:rFonts w:ascii="Noto Sans Arabic" w:hAnsi="Noto Sans Arabic" w:cs="Noto Sans Arabic"/>
          <w:b w:val="0"/>
          <w:color w:val="22262D"/>
          <w:sz w:val="20"/>
        </w:rPr>
        <w:t>هذا الجزء يستخدم النسخة Revised Level 1 من المرجع المعماري. أي baseline أقدم داخل ملفات المصدر يُعامل كسجل تاريخي، بينما هذه النسخة هي المرجع الحاكم في الدمج الحالي.</w:t>
      </w:r>
    </w:p>
    <w:p>
      <w:pPr>
        <w:pStyle w:val="Heading1"/>
        <w:keepNext/>
        <w:spacing w:before="240" w:after="100"/>
        <w:jc w:val="left"/>
      </w:pPr>
      <w:r>
        <w:rPr>
          <w:rFonts w:ascii="Noto Kufi Arabic" w:hAnsi="Noto Kufi Arabic" w:cs="Noto Kufi Arabic"/>
          <w:b/>
          <w:color w:val="8E6D27"/>
          <w:sz w:val="36"/>
        </w:rPr>
        <w:t>Revised Level 1 Repository Tree</w:t>
      </w:r>
    </w:p>
    <w:tbl>
      <w:tblPr>
        <w:tblW w:type="auto" w:w="0"/>
        <w:jc w:val="center"/>
        <w:tblLayout w:type="fixed"/>
        <w:tblLook w:firstColumn="1" w:firstRow="1" w:lastColumn="0" w:lastRow="0" w:noHBand="0" w:noVBand="1" w:val="04A0"/>
      </w:tblPr>
      <w:tblGrid>
        <w:gridCol w:w="9866"/>
      </w:tblGrid>
      <w:tr>
        <w:tc>
          <w:tcPr>
            <w:tcW w:type="dxa" w:w="9866"/>
            <w:shd w:fill="F1F3F5"/>
            <w:tcMar>
              <w:top w:w="90" w:type="dxa"/>
              <w:start w:w="100" w:type="dxa"/>
              <w:bottom w:w="90" w:type="dxa"/>
              <w:end w:w="100" w:type="dxa"/>
            </w:tcMar>
          </w:tcPr>
          <w:p>
            <w:pPr>
              <w:spacing w:after="0" w:line="228" w:lineRule="auto"/>
              <w:jc w:val="left"/>
            </w:pPr>
            <w:r>
              <w:rPr>
                <w:rFonts w:ascii="DejaVu Sans Mono" w:hAnsi="DejaVu Sans Mono" w:cs="DejaVu Sans Mono"/>
                <w:b w:val="0"/>
                <w:color w:val="30343B"/>
                <w:sz w:val="12"/>
              </w:rPr>
              <w:t>ndsp-platform/</w:t>
              <w:br/>
              <w:t>│</w:t>
              <w:br/>
              <w:t>├── backend/</w:t>
              <w:br/>
              <w:t>│   │</w:t>
              <w:br/>
              <w:t>│   ├── api/</w:t>
              <w:br/>
              <w:t>│   │   ├── public/</w:t>
              <w:br/>
              <w:t>│   │   │   └── core_public_projection/</w:t>
              <w:br/>
              <w:t>│   │   │</w:t>
              <w:br/>
              <w:t>│   │   ├── admin_review/</w:t>
              <w:br/>
              <w:t>│   │   │   ├── admin/</w:t>
              <w:br/>
              <w:t>│   │   │   └── review/</w:t>
              <w:br/>
              <w:t>│   │   │</w:t>
              <w:br/>
              <w:t>│   │   ├── internal/</w:t>
              <w:br/>
              <w:t>│   │   ├── health/</w:t>
              <w:br/>
              <w:t>│   │   └── operations/</w:t>
              <w:br/>
              <w:t>│   │</w:t>
              <w:br/>
              <w:t>│   ├── exposure/</w:t>
              <w:br/>
              <w:t>│   │   ├── public/</w:t>
              <w:br/>
              <w:t>│   │   │   └── core_public_projection/</w:t>
              <w:br/>
              <w:t>│   │   │</w:t>
              <w:br/>
              <w:t>│   │   └── admin_review/</w:t>
              <w:br/>
              <w:t>│   │       ├── analytical_projection/</w:t>
              <w:br/>
              <w:t>│   │       ├── tdl/</w:t>
              <w:br/>
              <w:t>│   │       ├── nmp/</w:t>
              <w:br/>
              <w:t>│   │       │   └── experimental_review/</w:t>
              <w:br/>
              <w:t>│   │       ├── shadow/</w:t>
              <w:br/>
              <w:t>│   │       └── review/</w:t>
              <w:br/>
              <w:t>│   │</w:t>
              <w:br/>
              <w:t>│   ├── access/</w:t>
              <w:br/>
              <w:t>│   │   ├── authentication/</w:t>
              <w:br/>
              <w:t>│   │   ├── authorization/</w:t>
              <w:br/>
              <w:t>│   │   ├── rbac/</w:t>
              <w:br/>
              <w:t>│   │   ├── public_access/</w:t>
              <w:br/>
              <w:t>│   │   ├── admin_access/</w:t>
              <w:br/>
              <w:t>│   │   └── review_access/</w:t>
              <w:br/>
              <w:t>│   │</w:t>
              <w:br/>
              <w:t>│   ├── domains/</w:t>
              <w:br/>
              <w:t>│   │   │</w:t>
              <w:br/>
              <w:t>│   │   ├── data_foundation/</w:t>
              <w:br/>
              <w:t>│   │   │   ├── providers/</w:t>
              <w:br/>
              <w:t>│   │   │   │   ├── market_data/</w:t>
              <w:br/>
              <w:t>│   │   │   │   ├── cftc/</w:t>
              <w:br/>
              <w:t>│   │   │   │   ├── cot/</w:t>
              <w:br/>
              <w:t>│   │   │   │   ├── tff/</w:t>
              <w:br/>
              <w:t>│   │   │   │   ├── economic_calendar/</w:t>
              <w:br/>
              <w:t>│   │   │   │   ├── macro_data/</w:t>
              <w:br/>
              <w:t>│   │   │   │   ├── tradingview/</w:t>
              <w:br/>
              <w:t>│   │   │   │   ├── investing/</w:t>
              <w:br/>
              <w:t>│   │   │   │   └── other_verified_providers/</w:t>
              <w:br/>
              <w:t>│   │   │   │</w:t>
              <w:br/>
              <w:t>│   │   │   ├── ingestion/</w:t>
              <w:br/>
              <w:t>│   │   │   ├── raw/</w:t>
              <w:br/>
              <w:t>│   │   │   ├── normalization/</w:t>
              <w:br/>
              <w:t>│   │   │   ├── canonical/</w:t>
              <w:br/>
              <w:t>│   │   │   │   ├── instruments/</w:t>
              <w:br/>
              <w:t>│   │   │   │   ├── market/</w:t>
              <w:br/>
              <w:t>│   │   │   │   ├── cot/</w:t>
              <w:br/>
              <w:t>│   │   │   │   ├── macro/</w:t>
              <w:br/>
              <w:t>│   │   │   │   └── economic/</w:t>
              <w:br/>
              <w:t>│   │   │   ├── freshness/</w:t>
              <w:br/>
              <w:t>│   │   │   ├── quality/</w:t>
              <w:br/>
              <w:t>│   │   │   └── lineage/</w:t>
              <w:br/>
              <w:t>│   │   │</w:t>
              <w:br/>
              <w:t>│   │   ├── market_intelligence/</w:t>
              <w:br/>
              <w:t>│   │   │   ├── market_state/</w:t>
              <w:br/>
              <w:t>│   │   │   ├── price_structure/</w:t>
              <w:br/>
              <w:t>│   │   │   ├── trend/</w:t>
              <w:br/>
              <w:t>│   │   │   ├── momentum/</w:t>
              <w:br/>
              <w:t>│   │   │   ├── volatility/</w:t>
              <w:br/>
              <w:t>│   │   │   ├── correction/</w:t>
              <w:br/>
              <w:t>│   │   │   ├── cross_timeframe_state/</w:t>
              <w:br/>
              <w:t>│   │   │   ├── market_regime/</w:t>
              <w:br/>
              <w:t>│   │   │   ├── liquidity/</w:t>
              <w:br/>
              <w:t>│   │   │   ├── macro_pressure/</w:t>
              <w:br/>
              <w:t>│   │   │   ├── usd_pressure/</w:t>
              <w:br/>
              <w:t>│   │   │   ├── asset_context/</w:t>
              <w:br/>
              <w:t>│   │   │   ├── evidence/</w:t>
              <w:br/>
              <w:t>│   │   │   ├── state/</w:t>
              <w:br/>
              <w:t>│   │   │   └── history/</w:t>
              <w:br/>
              <w:t>│   │   │</w:t>
              <w:br/>
              <w:t>│   │   ├── institutional_intelligence/</w:t>
              <w:br/>
              <w:t>│   │   │   ├── cftc_cot_tff/</w:t>
              <w:br/>
              <w:t>│   │   │   │   ├── current_report/</w:t>
              <w:br/>
              <w:t>│   │   │   │   ├── previous_report/</w:t>
              <w:br/>
              <w:t>│   │   │   │   ├── historical_weekly_series/</w:t>
              <w:br/>
              <w:t>│   │   │   │   └── normalized_tff_structure/</w:t>
              <w:br/>
              <w:t>│   │   │   ├── asset_managers/</w:t>
              <w:br/>
              <w:t>│   │   │   │   ├── overall/</w:t>
              <w:br/>
              <w:t>│   │   │   │   └── weekly/</w:t>
              <w:br/>
              <w:t>│   │   │   ├── leveraged_funds/</w:t>
              <w:br/>
              <w:t>│   │   │   │   ├── overall/</w:t>
              <w:br/>
              <w:t>│   │   │   │   └── weekly/</w:t>
              <w:br/>
              <w:t>│   │   │   ├── evidence/</w:t>
              <w:br/>
              <w:t>│   │   │   ├── state/</w:t>
              <w:br/>
              <w:t>│   │   │   └── history/</w:t>
              <w:br/>
              <w:t>│   │   │</w:t>
              <w:br/>
              <w:t>│   │   ├── theory_engines/</w:t>
              <w:br/>
              <w:t>│   │   │   ├── correction/</w:t>
              <w:br/>
              <w:t>│   │   │   │   ├── engine/</w:t>
              <w:br/>
              <w:t>│   │   │   │   ├── inputs/</w:t>
              <w:br/>
              <w:t>│   │   │   │   ├── state/</w:t>
              <w:br/>
              <w:t>│   │   │   │   ├── output/</w:t>
              <w:br/>
              <w:t>│   │   │   │   ├── evidence/</w:t>
              <w:br/>
              <w:t>│   │   │   │   ├── health/</w:t>
              <w:br/>
              <w:t>│   │   │   │   └── explainability/</w:t>
              <w:br/>
              <w:t>│   │   │   ├── momentum/</w:t>
              <w:br/>
              <w:t>│   │   │   │   ├── engine/</w:t>
              <w:br/>
              <w:t>│   │   │   │   ├── inputs/</w:t>
              <w:br/>
              <w:t>│   │   │   │   ├── state/</w:t>
              <w:br/>
              <w:t>│   │   │   │   ├── output/</w:t>
              <w:br/>
              <w:t>│   │   │   │   ├── evidence/</w:t>
              <w:br/>
              <w:t>│   │   │   │   ├── health/</w:t>
              <w:br/>
              <w:t>│   │   │   │   └── explainability/</w:t>
              <w:br/>
              <w:t>│   │   │   ├── macro/</w:t>
              <w:br/>
              <w:t>│   │   │   │   ├── engine/</w:t>
              <w:br/>
              <w:t>│   │   │   │   ├── inputs/</w:t>
              <w:br/>
              <w:t>│   │   │   │   ├── state/</w:t>
              <w:br/>
              <w:t>│   │   │   │   ├── output/</w:t>
              <w:br/>
              <w:t>│   │   │   │   ├── evidence/</w:t>
              <w:br/>
              <w:t>│   │   │   │   ├── health/</w:t>
              <w:br/>
              <w:t>│   │   │   │   └── explainability/</w:t>
              <w:br/>
              <w:t>│   │   │   └── other_verified_theories/</w:t>
              <w:br/>
              <w:t>│   │   │       ├── engines/</w:t>
              <w:br/>
              <w:t>│   │   │       ├── inputs/</w:t>
              <w:br/>
              <w:t>│   │   │       ├── state/</w:t>
              <w:br/>
              <w:t>│   │   │       ├── output/</w:t>
              <w:br/>
              <w:t>│   │   │       ├── evidence/</w:t>
              <w:br/>
              <w:t>│   │   │       ├── health/</w:t>
              <w:br/>
              <w:t>│   │   │       └── explainability/</w:t>
              <w:br/>
              <w:t>│   │   │</w:t>
              <w:br/>
              <w:t>│   │   ├── tdl/</w:t>
              <w:br/>
              <w:t>│   │   │   ├── modes/</w:t>
              <w:br/>
              <w:t>│   │   │   │   ├── investment_mode/</w:t>
              <w:br/>
              <w:t>│   │   │   │   │   └── TBD__behavior_and_contract_require_technical_freeze_evidence/</w:t>
              <w:br/>
              <w:t>│   │   │   │   └── speculation_mode/</w:t>
              <w:br/>
              <w:t>│   │   │   │       └── TBD__behavior_and_contract_require_technical_freeze_evidence/</w:t>
              <w:br/>
              <w:t>│   │   │   ├── temporal_state/</w:t>
              <w:br/>
              <w:t>│   │   │   ├── alignment/</w:t>
              <w:br/>
              <w:t>│   │   │   ├── alignment_score/</w:t>
              <w:br/>
              <w:t>│   │   │   ├── timeframe/</w:t>
              <w:br/>
              <w:t>│   │   │   ├── same_timeframe_integrity/</w:t>
              <w:br/>
              <w:t>│   │   │   ├── temporal_conflict/</w:t>
              <w:br/>
              <w:t>│   │   │   ├── temporal_confirmation/</w:t>
              <w:br/>
              <w:t>│   │   │   ├── evidence/</w:t>
              <w:br/>
              <w:t>│   │   │   └── history/</w:t>
              <w:br/>
              <w:t>│   │   │</w:t>
              <w:br/>
              <w:t>│   │   ├── scenario_intelligence/</w:t>
              <w:br/>
              <w:t>│   │   │   ├── positive_scenario/</w:t>
              <w:br/>
              <w:t>│   │   │   ├── negative_scenario/</w:t>
              <w:br/>
              <w:t>│   │   │   ├── preferred_scenario/</w:t>
              <w:br/>
              <w:t>│   │   │   ├── conflict/</w:t>
              <w:br/>
              <w:t>│   │   │   ├── strength/</w:t>
              <w:br/>
              <w:t>│   │   │   ├── levels/</w:t>
              <w:br/>
              <w:t>│   │   │   ├── evidence/</w:t>
              <w:br/>
              <w:t>│   │   │   ├── drivers/</w:t>
              <w:br/>
              <w:t>│   │   │   ├── invalidation/</w:t>
              <w:br/>
              <w:t>│   │   │   └── evolution/</w:t>
              <w:br/>
              <w:t>│   │   │</w:t>
              <w:br/>
              <w:t>│   │   ├── nmp/</w:t>
              <w:br/>
              <w:t>│   │   │   ├── FROZEN__NO_NEW_DEVELOPMENT/</w:t>
              <w:br/>
              <w:t>│   │   │   ├── engine/</w:t>
              <w:br/>
              <w:t>│   │   │   ├── state/</w:t>
              <w:br/>
              <w:t>│   │   │   ├── value/</w:t>
              <w:br/>
              <w:t>│   │   │   ├── level/</w:t>
              <w:br/>
              <w:t>│   │   │   ├── timeframe/</w:t>
              <w:br/>
              <w:t>│   │   │   ├── source/</w:t>
              <w:br/>
              <w:t>│   │   │   ├── status/</w:t>
              <w:br/>
              <w:t>│   │   │   ├── evidence/</w:t>
              <w:br/>
              <w:t>│   │   │   ├── history/</w:t>
              <w:br/>
              <w:t>│   │   │   └── explainability/</w:t>
              <w:br/>
              <w:t>│   │   │</w:t>
              <w:br/>
              <w:t>│   │   ├── golden/</w:t>
              <w:br/>
              <w:t>│   │   │   ├── alignment/</w:t>
              <w:br/>
              <w:t>│   │   │   ├── signal/</w:t>
              <w:br/>
              <w:t>│   │   │   ├── status/</w:t>
              <w:br/>
              <w:t>│   │   │   ├── name/</w:t>
              <w:br/>
              <w:t>│   │   │   ├── spotlight/</w:t>
              <w:br/>
              <w:t>│   │   │   ├── evidence/</w:t>
              <w:br/>
              <w:t>│   │   │   ├── reason/</w:t>
              <w:br/>
              <w:t>│   │   │   ├── missing_inputs/</w:t>
              <w:br/>
              <w:t>│   │   │   ├── history/</w:t>
              <w:br/>
              <w:t>│   │   │   └── explainability/</w:t>
              <w:br/>
              <w:t>│   │   │</w:t>
              <w:br/>
              <w:t>│   │   ├── core_official_direction/</w:t>
              <w:br/>
              <w:t>│   │   │   ├── authority_boundary/</w:t>
              <w:br/>
              <w:t>│   │   │   ├── producer/</w:t>
              <w:br/>
              <w:t>│   │   │   │   └── TBD__requires_technical_freeze_evidence/</w:t>
              <w:br/>
              <w:t>│   │   │   ├── source/</w:t>
              <w:br/>
              <w:t>│   │   │   │   └── TBD__requires_technical_freeze_evidence/</w:t>
              <w:br/>
              <w:t>│   │   │   └── contract/</w:t>
              <w:br/>
              <w:t>│   │   │       └── TBD__requires_technical_freeze_evidence/</w:t>
              <w:br/>
              <w:t>│   │   │</w:t>
              <w:br/>
              <w:t>│   │   ├── decision_intelligence/</w:t>
              <w:br/>
              <w:t>│   │   │   ├── orchestration/</w:t>
              <w:br/>
              <w:t>│   │   │   ├── layers/</w:t>
              <w:br/>
              <w:t>│   │   │   │   ├── layer_01/</w:t>
              <w:br/>
              <w:t>│   │   │   │   ├── layer_02/</w:t>
              <w:br/>
              <w:t>│   │   │   │   ├── layer_03/</w:t>
              <w:br/>
              <w:t>│   │   │   │   ├── layer_04/</w:t>
              <w:br/>
              <w:t>│   │   │   │   ├── layer_05/</w:t>
              <w:br/>
              <w:t>│   │   │   │   ├── layer_06/</w:t>
              <w:br/>
              <w:t>│   │   │   │   ├── layer_07/</w:t>
              <w:br/>
              <w:t>│   │   │   │   ├── layer_08/</w:t>
              <w:br/>
              <w:t>│   │   │   │   ├── layer_09/</w:t>
              <w:br/>
              <w:t>│   │   │   │   ├── layer_10/</w:t>
              <w:br/>
              <w:t>│   │   │   │   ├── layer_11/</w:t>
              <w:br/>
              <w:t>│   │   │   │   ├── layer_12/</w:t>
              <w:br/>
              <w:t>│   │   │   │   ├── layer_13/</w:t>
              <w:br/>
              <w:t>│   │   │   │   ├── layer_14/</w:t>
              <w:br/>
              <w:t>│   │   │   │   ├── layer_15/</w:t>
              <w:br/>
              <w:t>│   │   │   │   └── layer_16/</w:t>
              <w:br/>
              <w:t>│   │   │   ├── conflicts/</w:t>
              <w:br/>
              <w:t>│   │   │   ├── alignment/</w:t>
              <w:br/>
              <w:t>│   │   │   ├── evidence/</w:t>
              <w:br/>
              <w:t>│   │   │   ├── state/</w:t>
              <w:br/>
              <w:t>│   │   │   └── history/</w:t>
              <w:br/>
              <w:t>│   │   │</w:t>
              <w:br/>
              <w:t>│   │   ├── scoring/</w:t>
              <w:br/>
              <w:t>│   │   │   ├── inputs/</w:t>
              <w:br/>
              <w:t>│   │   │   ├── raw_score/</w:t>
              <w:br/>
              <w:t>│   │   │   ├── commercial_score/</w:t>
              <w:br/>
              <w:t>│   │   │   ├── score_band/</w:t>
              <w:br/>
              <w:t>│   │   │   ├── calculation_status/</w:t>
              <w:br/>
              <w:t>│   │   │   ├── missing_components/</w:t>
              <w:br/>
              <w:t>│   │   │   ├── blocking_gates/</w:t>
              <w:br/>
              <w:t>│   │   │   ├── eligibility/</w:t>
              <w:br/>
              <w:t>│   │   │   └── history/</w:t>
              <w:br/>
              <w:t>│   │   │</w:t>
              <w:br/>
              <w:t>│   │   ├── governance/</w:t>
              <w:br/>
              <w:t>│   │   │   ├── governing_inputs/</w:t>
              <w:br/>
              <w:t>│   │   │   ├── gates/</w:t>
              <w:br/>
              <w:t>│   │   │   ├── policies/</w:t>
              <w:br/>
              <w:t>│   │   │   ├── freshness/</w:t>
              <w:br/>
              <w:t>│   │   │   ├── completeness/</w:t>
              <w:br/>
              <w:t>│   │   │   ├── blockers/</w:t>
              <w:br/>
              <w:t>│   │   │   ├── eligibility/</w:t>
              <w:br/>
              <w:t>│   │   │   ├── evidence/</w:t>
              <w:br/>
              <w:t>│   │   │   ├── public_output/</w:t>
              <w:br/>
              <w:t>│   │   │   └── launch_readiness/</w:t>
              <w:br/>
              <w:t>│   │   │</w:t>
              <w:br/>
              <w:t>│   │   ├── shadow/</w:t>
              <w:br/>
              <w:t>│   │   │   └── TBD__internal_business_logic_requires_technical_freeze_evidence/</w:t>
              <w:br/>
              <w:t>│   │   │</w:t>
              <w:br/>
              <w:t>│   │   ├── review/</w:t>
              <w:br/>
              <w:t>│   │   │   └── TBD__internal_business_logic_requires_technical_freeze_evidence/</w:t>
              <w:br/>
              <w:t>│   │   │</w:t>
              <w:br/>
              <w:t>│   │   ├── public_projection/</w:t>
              <w:br/>
              <w:t>│   │   │   ├── core_governance_authorized_output/</w:t>
              <w:br/>
              <w:t>│   │   │   ├── public_contract_projection/</w:t>
              <w:br/>
              <w:t>│   │   │   ├── current_state/</w:t>
              <w:br/>
              <w:t>│   │   │   └── history/</w:t>
              <w:br/>
              <w:t>│   │   │</w:t>
              <w:br/>
              <w:t>│   │   └── admin_review_projection/</w:t>
              <w:br/>
              <w:t>│   │       ├── authorization_control/</w:t>
              <w:br/>
              <w:t>│   │       ├── tdl/</w:t>
              <w:br/>
              <w:t>│   │       ├── nmp_experimental_review/</w:t>
              <w:br/>
              <w:t>│   │       ├── shadow/</w:t>
              <w:br/>
              <w:t>│   │       ├── review/</w:t>
              <w:br/>
              <w:t>│   │       ├── current_state/</w:t>
              <w:br/>
              <w:t>│   │       └── history/</w:t>
              <w:br/>
              <w:t>│   │</w:t>
              <w:br/>
              <w:t>│   ├── capabilities/</w:t>
              <w:br/>
              <w:t>│   │   ├── registry/</w:t>
              <w:br/>
              <w:t>│   │   ├── runtime/</w:t>
              <w:br/>
              <w:t>│   │   ├── dependencies/</w:t>
              <w:br/>
              <w:t>│   │   ├── health/</w:t>
              <w:br/>
              <w:t>│   │   ├── exposure/</w:t>
              <w:br/>
              <w:t>│   │   └── components/</w:t>
              <w:br/>
              <w:t>│   │       ├── capability_01/</w:t>
              <w:br/>
              <w:t>│   │       ├── capability_02/</w:t>
              <w:br/>
              <w:t>│   │       ├── capability_03/</w:t>
              <w:br/>
              <w:t>│   │       ├── capability_04/</w:t>
              <w:br/>
              <w:t>│   │       ├── capability_05/</w:t>
              <w:br/>
              <w:t>│   │       ├── capability_06/</w:t>
              <w:br/>
              <w:t>│   │       ├── capability_07/</w:t>
              <w:br/>
              <w:t>│   │       ├── capability_08/</w:t>
              <w:br/>
              <w:t>│   │       ├── capability_09/</w:t>
              <w:br/>
              <w:t>│   │       ├── capability_10/</w:t>
              <w:br/>
              <w:t>│   │       ├── capability_11/</w:t>
              <w:br/>
              <w:t>│   │       ├── capability_12/</w:t>
              <w:br/>
              <w:t>│   │       ├── capability_13/</w:t>
              <w:br/>
              <w:t>│   │       ├── capability_14/</w:t>
              <w:br/>
              <w:t>│   │       ├── capability_15/</w:t>
              <w:br/>
              <w:t>│   │       ├── capability_16/</w:t>
              <w:br/>
              <w:t>│   │       ├── capability_17/</w:t>
              <w:br/>
              <w:t>│   │       ├── capability_18/</w:t>
              <w:br/>
              <w:t>│   │       ├── capability_19/</w:t>
              <w:br/>
              <w:t>│   │       ├── capability_20/</w:t>
              <w:br/>
              <w:t>│   │       ├── capability_21/</w:t>
              <w:br/>
              <w:t>│   │       ├── capability_22/</w:t>
              <w:br/>
              <w:t>│   │       ├── capability_23/</w:t>
              <w:br/>
              <w:t>│   │       ├── capability_24/</w:t>
              <w:br/>
              <w:t>│   │       ├── capability_25/</w:t>
              <w:br/>
              <w:t>│   │       ├── capability_26/</w:t>
              <w:br/>
              <w:t>│   │       ├── capability_27/</w:t>
              <w:br/>
              <w:t>│   │       └── capability_28/</w:t>
              <w:br/>
              <w:t>│   │</w:t>
              <w:br/>
              <w:t>│   ├── explainability/</w:t>
              <w:br/>
              <w:t>│   │   ├── market/</w:t>
              <w:br/>
              <w:t>│   │   ├── institutional/</w:t>
              <w:br/>
              <w:t>│   │   ├── theories/</w:t>
              <w:br/>
              <w:t>│   │   ├── tdl/</w:t>
              <w:br/>
              <w:t>│   │   ├── scenarios/</w:t>
              <w:br/>
              <w:t>│   │   ├── nmp/</w:t>
              <w:br/>
              <w:t>│   │   ├── golden/</w:t>
              <w:br/>
              <w:t>│   │   ├── decision/</w:t>
              <w:br/>
              <w:t>│   │   ├── scoring/</w:t>
              <w:br/>
              <w:t>│   │   ├── governance/</w:t>
              <w:br/>
              <w:t>│   │   └── data_quality/</w:t>
              <w:br/>
              <w:t>│   │</w:t>
              <w:br/>
              <w:t>│   ├── security/</w:t>
              <w:br/>
              <w:t>│   │   ├── authentication/</w:t>
              <w:br/>
              <w:t>│   │   ├── authorization/</w:t>
              <w:br/>
              <w:t>│   │   ├── rbac/</w:t>
              <w:br/>
              <w:t>│   │   ├── secrets_management/</w:t>
              <w:br/>
              <w:t>│   │   ├── configuration/</w:t>
              <w:br/>
              <w:t>│   │   ├── api_separation/</w:t>
              <w:br/>
              <w:t>│   │   └── operational_permissions/</w:t>
              <w:br/>
              <w:t>│   │</w:t>
              <w:br/>
              <w:t>│   ├── orchestration/</w:t>
              <w:br/>
              <w:t>│   │   ├── pipelines/</w:t>
              <w:br/>
              <w:t>│   │   ├── dependency_graph/</w:t>
              <w:br/>
              <w:t>│   │   └── runtime/</w:t>
              <w:br/>
              <w:t>│   │</w:t>
              <w:br/>
              <w:t>│   └── shared/</w:t>
              <w:br/>
              <w:t>│       ├── types/</w:t>
              <w:br/>
              <w:t>│       ├── validation/</w:t>
              <w:br/>
              <w:t>│       └── technical_utilities/</w:t>
              <w:br/>
              <w:t>│</w:t>
              <w:br/>
              <w:t>├── frontend/</w:t>
              <w:br/>
              <w:t>│   ├── public/</w:t>
              <w:br/>
              <w:t>│   │   ├── app/</w:t>
              <w:br/>
              <w:t>│   │   ├── layouts/</w:t>
              <w:br/>
              <w:t>│   │   ├── components/</w:t>
              <w:br/>
              <w:t>│   │   ├── services/</w:t>
              <w:br/>
              <w:t>│   │   ├── state/</w:t>
              <w:br/>
              <w:t>│   │   ├── contracts/</w:t>
              <w:br/>
              <w:t>│   │   └── features/</w:t>
              <w:br/>
              <w:t>│   │       └── core_public_projection/</w:t>
              <w:br/>
              <w:t>│   │</w:t>
              <w:br/>
              <w:t>│   └── admin_review/</w:t>
              <w:br/>
              <w:t>│       ├── app/</w:t>
              <w:br/>
              <w:t>│       ├── layouts/</w:t>
              <w:br/>
              <w:t>│       ├── components/</w:t>
              <w:br/>
              <w:t>│       ├── services/</w:t>
              <w:br/>
              <w:t>│       ├── state/</w:t>
              <w:br/>
              <w:t>│       ├── contracts/</w:t>
              <w:br/>
              <w:t>│       └── features/</w:t>
              <w:br/>
              <w:t>│           ├── command_center/</w:t>
              <w:br/>
              <w:t>│           ├── market_intelligence/</w:t>
              <w:br/>
              <w:t>│           ├── institutional_intelligence/</w:t>
              <w:br/>
              <w:t>│           ├── theory_lab/</w:t>
              <w:br/>
              <w:t>│           ├── tdl/</w:t>
              <w:br/>
              <w:t>│           ├── scenario_intelligence/</w:t>
              <w:br/>
              <w:t>│           ├── nmp/</w:t>
              <w:br/>
              <w:t>│           │   └── experimental_review/</w:t>
              <w:br/>
              <w:t>│           ├── golden_alignment/</w:t>
              <w:br/>
              <w:t>│           ├── decision_intelligence/</w:t>
              <w:br/>
              <w:t>│           ├── capability_matrix/</w:t>
              <w:br/>
              <w:t>│           ├── data_intelligence/</w:t>
              <w:br/>
              <w:t>│           ├── governance_center/</w:t>
              <w:br/>
              <w:t>│           ├── score_intelligence/</w:t>
              <w:br/>
              <w:t>│           ├── explainability/</w:t>
              <w:br/>
              <w:t>│           ├── shadow/</w:t>
              <w:br/>
              <w:t>│           ├── review/</w:t>
              <w:br/>
              <w:t>│           └── platform_health/</w:t>
              <w:br/>
              <w:t>│</w:t>
              <w:br/>
              <w:t>├── database/</w:t>
              <w:br/>
              <w:t>│   ├── raw/</w:t>
              <w:br/>
              <w:t>│   │   ├── market/</w:t>
              <w:br/>
              <w:t>│   │   ├── cftc/</w:t>
              <w:br/>
              <w:t>│   │   ├── macro/</w:t>
              <w:br/>
              <w:t>│   │   ├── economic/</w:t>
              <w:br/>
              <w:t>│   │   └── providers/</w:t>
              <w:br/>
              <w:t>│   ├── normalized/</w:t>
              <w:br/>
              <w:t>│   │   ├── market/</w:t>
              <w:br/>
              <w:t>│   │   ├── institutional/</w:t>
              <w:br/>
              <w:t>│   │   ├── macro/</w:t>
              <w:br/>
              <w:t>│   │   └── economic/</w:t>
              <w:br/>
              <w:t>│   ├── canonical/</w:t>
              <w:br/>
              <w:t>│   │   ├── instruments/</w:t>
              <w:br/>
              <w:t>│   │   ├── market/</w:t>
              <w:br/>
              <w:t>│   │   ├── cot/</w:t>
              <w:br/>
              <w:t>│   │   ├── macro/</w:t>
              <w:br/>
              <w:t>│   │   └── economic/</w:t>
              <w:br/>
              <w:t>│   ├── intelligence/</w:t>
              <w:br/>
              <w:t>│   │   ├── market/</w:t>
              <w:br/>
              <w:t>│   │   ├── institutional/</w:t>
              <w:br/>
              <w:t>│   │   ├── theories/</w:t>
              <w:br/>
              <w:t>│   │   ├── tdl/</w:t>
              <w:br/>
              <w:t>│   │   ├── scenarios/</w:t>
              <w:br/>
              <w:t>│   │   ├── nmp/</w:t>
              <w:br/>
              <w:t>│   │   └── golden/</w:t>
              <w:br/>
              <w:t>│   ├── decision/</w:t>
              <w:br/>
              <w:t>│   │   ├── runs/</w:t>
              <w:br/>
              <w:t>│   │   ├── layers/</w:t>
              <w:br/>
              <w:t>│   │   ├── conflicts/</w:t>
              <w:br/>
              <w:t>│   │   └── evidence/</w:t>
              <w:br/>
              <w:t>│   ├── scoring/</w:t>
              <w:br/>
              <w:t>│   │   ├── inputs/</w:t>
              <w:br/>
              <w:t>│   │   ├── results/</w:t>
              <w:br/>
              <w:t>│   │   └── history/</w:t>
              <w:br/>
              <w:t>│   ├── governance/</w:t>
              <w:br/>
              <w:t>│   │   ├── inputs/</w:t>
              <w:br/>
              <w:t>│   │   ├── gates/</w:t>
              <w:br/>
              <w:t>│   │   ├── blockers/</w:t>
              <w:br/>
              <w:t>│   │   ├── eligibility/</w:t>
              <w:br/>
              <w:t>│   │   └── history/</w:t>
              <w:br/>
              <w:t>│   ├── public_projection/</w:t>
              <w:br/>
              <w:t>│   │   ├── core/</w:t>
              <w:br/>
              <w:t>│   │   ├── current/</w:t>
              <w:br/>
              <w:t>│   │   └── history/</w:t>
              <w:br/>
              <w:t>│   ├── admin_review_projection/</w:t>
              <w:br/>
              <w:t>│   │   ├── current/</w:t>
              <w:br/>
              <w:t>│   │   └── history/</w:t>
              <w:br/>
              <w:t>│   ├── core_official_direction/</w:t>
              <w:br/>
              <w:t>│   │   └── TBD__ownership_and_storage_require_technical_freeze_evidence/</w:t>
              <w:br/>
              <w:t>│   ├── shadow/</w:t>
              <w:br/>
              <w:t>│   │   └── TBD__ownership_requires_technical_freeze_evidence/</w:t>
              <w:br/>
              <w:t>│   ├── review/</w:t>
              <w:br/>
              <w:t>│   │   └── TBD__ownership_requires_technical_freeze_evidence/</w:t>
              <w:br/>
              <w:t>│   ├── explainability/</w:t>
              <w:br/>
              <w:t>│   │   ├── evidence/</w:t>
              <w:br/>
              <w:t>│   │   ├── reasons/</w:t>
              <w:br/>
              <w:t>│   │   └── relationships/</w:t>
              <w:br/>
              <w:t>│   ├── platform/</w:t>
              <w:br/>
              <w:t>│   │   ├── capabilities/</w:t>
              <w:br/>
              <w:t>│   │   ├── runtime_state/</w:t>
              <w:br/>
              <w:t>│   │   └── health/</w:t>
              <w:br/>
              <w:t>│   ├── current_state/</w:t>
              <w:br/>
              <w:t>│   ├── history/</w:t>
              <w:br/>
              <w:t>│   ├── audit/</w:t>
              <w:br/>
              <w:t>│   ├── lineage/</w:t>
              <w:br/>
              <w:t>│   ├── cache/</w:t>
              <w:br/>
              <w:t>│   └── archive/</w:t>
              <w:br/>
              <w:t>│</w:t>
              <w:br/>
              <w:t>├── contracts/</w:t>
              <w:br/>
              <w:t>│   ├── internal/</w:t>
              <w:br/>
              <w:t>│   ├── canonical/</w:t>
              <w:br/>
              <w:t>│   ├── governance/</w:t>
              <w:br/>
              <w:t>│   ├── public/</w:t>
              <w:br/>
              <w:t>│   │   └── core_public_projection/</w:t>
              <w:br/>
              <w:t>│   ├── admin_review/</w:t>
              <w:br/>
              <w:t>│   ├── core_official_direction/</w:t>
              <w:br/>
              <w:t>│   │   └── TBD__requires_technical_freeze_evidence/</w:t>
              <w:br/>
              <w:t>│   └── versions/</w:t>
              <w:br/>
              <w:t>│</w:t>
              <w:br/>
              <w:t>├── jobs/</w:t>
              <w:br/>
              <w:t>│   ├── ingestion/</w:t>
              <w:br/>
              <w:t>│   ├── synchronization/</w:t>
              <w:br/>
              <w:t>│   ├── canonicalization/</w:t>
              <w:br/>
              <w:t>│   ├── calculations/</w:t>
              <w:br/>
              <w:t>│   ├── quality/</w:t>
              <w:br/>
              <w:t>│   ├── scheduled_evaluation/</w:t>
              <w:br/>
              <w:t>│   └── maintenance/</w:t>
              <w:br/>
              <w:t>│</w:t>
              <w:br/>
              <w:t>├── infrastructure/</w:t>
              <w:br/>
              <w:t>│   ├── systemd/</w:t>
              <w:br/>
              <w:t>│   ├── timers/</w:t>
              <w:br/>
              <w:t>│   ├── scheduling/</w:t>
              <w:br/>
              <w:t>│   ├── reverse_proxy/</w:t>
              <w:br/>
              <w:t>│   ├── deployment/</w:t>
              <w:br/>
              <w:t>│   ├── environment/</w:t>
              <w:br/>
              <w:t>│   ├── runtime_users/</w:t>
              <w:br/>
              <w:t>│   ├── service_ownership/</w:t>
              <w:br/>
              <w:t>│   ├── backup/</w:t>
              <w:br/>
              <w:t>│   └── health_monitoring/</w:t>
              <w:br/>
              <w:t>│</w:t>
              <w:br/>
              <w:t>├── observability/</w:t>
              <w:br/>
              <w:t>│   ├── service_health/</w:t>
              <w:br/>
              <w:t>│   ├── provider_health/</w:t>
              <w:br/>
              <w:t>│   ├── data_freshness/</w:t>
              <w:br/>
              <w:t>│   ├── engine_health/</w:t>
              <w:br/>
              <w:t>│   ├── capability_health/</w:t>
              <w:br/>
              <w:t>│   ├── api_health/</w:t>
              <w:br/>
              <w:t>│   ├── governance_health/</w:t>
              <w:br/>
              <w:t>│   ├── job_health/</w:t>
              <w:br/>
              <w:t>│   ├── metrics/</w:t>
              <w:br/>
              <w:t>│   ├── logs/</w:t>
              <w:br/>
              <w:t>│   ├── diagnostics/</w:t>
              <w:br/>
              <w:t>│   └── alerts/</w:t>
              <w:br/>
              <w:t>│</w:t>
              <w:br/>
              <w:t>├── tests/</w:t>
              <w:br/>
              <w:t>│   ├── unit/</w:t>
              <w:br/>
              <w:t>│   ├── integration/</w:t>
              <w:br/>
              <w:t>│   ├── contracts/</w:t>
              <w:br/>
              <w:t>│   ├── theories/</w:t>
              <w:br/>
              <w:t>│   ├── data_quality/</w:t>
              <w:br/>
              <w:t>│   ├── governance/</w:t>
              <w:br/>
              <w:t>│   ├── authorization/</w:t>
              <w:br/>
              <w:t>│   ├── exposure_boundaries/</w:t>
              <w:br/>
              <w:t>│   ├── regression/</w:t>
              <w:br/>
              <w:t>│   └── end_to_end/</w:t>
              <w:br/>
              <w:t>│</w:t>
              <w:br/>
              <w:t>├── docs/</w:t>
              <w:br/>
              <w:t>│   ├── architecture/</w:t>
              <w:br/>
              <w:t>│   ├── contracts/</w:t>
              <w:br/>
              <w:t>│   ├── theories/</w:t>
              <w:br/>
              <w:t>│   ├── governance/</w:t>
              <w:br/>
              <w:t>│   ├── data/</w:t>
              <w:br/>
              <w:t>│   └── operations/</w:t>
              <w:br/>
              <w:t>│</w:t>
              <w:br/>
              <w:t>├── config/</w:t>
              <w:br/>
              <w:t>├── tools/</w:t>
              <w:br/>
              <w:t>│</w:t>
              <w:br/>
              <w:t>└── var/</w:t>
              <w:br/>
              <w:t xml:space="preserve">    ├── runtime/</w:t>
              <w:br/>
              <w:t xml:space="preserve">    ├── audits/</w:t>
              <w:br/>
              <w:t xml:space="preserve">    ├── snapshots/</w:t>
              <w:br/>
              <w:t xml:space="preserve">    └── archives/</w:t>
            </w:r>
          </w:p>
        </w:tc>
      </w:tr>
    </w:tbl>
    <w:p>
      <w:pPr>
        <w:pStyle w:val="Heading1"/>
        <w:keepNext/>
        <w:spacing w:before="240" w:after="100"/>
        <w:jc w:val="left"/>
      </w:pPr>
      <w:r>
        <w:rPr>
          <w:rFonts w:ascii="Noto Kufi Arabic" w:hAnsi="Noto Kufi Arabic" w:cs="Noto Kufi Arabic"/>
          <w:b/>
          <w:color w:val="8E6D27"/>
          <w:sz w:val="36"/>
        </w:rPr>
        <w:t>Revised Service Boundary Diagram</w:t>
      </w:r>
    </w:p>
    <w:tbl>
      <w:tblPr>
        <w:tblW w:type="auto" w:w="0"/>
        <w:jc w:val="center"/>
        <w:tblLayout w:type="fixed"/>
        <w:tblLook w:firstColumn="1" w:firstRow="1" w:lastColumn="0" w:lastRow="0" w:noHBand="0" w:noVBand="1" w:val="04A0"/>
      </w:tblPr>
      <w:tblGrid>
        <w:gridCol w:w="9866"/>
      </w:tblGrid>
      <w:tr>
        <w:tc>
          <w:tcPr>
            <w:tcW w:type="dxa" w:w="9866"/>
            <w:shd w:fill="F1F3F5"/>
            <w:tcMar>
              <w:top w:w="90" w:type="dxa"/>
              <w:start w:w="100" w:type="dxa"/>
              <w:bottom w:w="90" w:type="dxa"/>
              <w:end w:w="100" w:type="dxa"/>
            </w:tcMar>
          </w:tcPr>
          <w:p>
            <w:pPr>
              <w:spacing w:after="0" w:line="228" w:lineRule="auto"/>
              <w:jc w:val="left"/>
            </w:pPr>
            <w:r>
              <w:rPr>
                <w:rFonts w:ascii="DejaVu Sans Mono" w:hAnsi="DejaVu Sans Mono" w:cs="DejaVu Sans Mono"/>
                <w:b w:val="0"/>
                <w:color w:val="30343B"/>
                <w:sz w:val="12"/>
              </w:rPr>
              <w:t>External Providers</w:t>
              <w:br/>
              <w:t xml:space="preserve">        │</w:t>
              <w:br/>
              <w:t xml:space="preserve">        ▼</w:t>
              <w:br/>
              <w:t>Data Foundation</w:t>
              <w:br/>
              <w:t xml:space="preserve"> ├─ Raw / Normalized / Canonical / Quality / Lineage</w:t>
              <w:br/>
              <w:t xml:space="preserve"> └─ ONE Canonical COT Dataset</w:t>
              <w:br/>
              <w:t xml:space="preserve">        │</w:t>
              <w:br/>
              <w:t xml:space="preserve">        ├──────────────► Market Intelligence</w:t>
              <w:br/>
              <w:t xml:space="preserve">        ├──────────────► Institutional Intelligence</w:t>
              <w:br/>
              <w:t xml:space="preserve">        │                 └─ CFTC / COT / TFF analytics</w:t>
              <w:br/>
              <w:t xml:space="preserve">        ├──────────────► Theory Engines</w:t>
              <w:br/>
              <w:t xml:space="preserve">        └──────────────► TDL</w:t>
              <w:br/>
              <w:t xml:space="preserve">                          ├─ Investment Mode</w:t>
              <w:br/>
              <w:t xml:space="preserve">                          └─ Speculation Mode</w:t>
              <w:br/>
              <w:t xml:space="preserve">                             behavior/contracts:</w:t>
              <w:br/>
              <w:t xml:space="preserve">                             TBD — requires technical freeze evidence</w:t>
              <w:br/>
              <w:br/>
              <w:t>Market + Institutional + Theory + TDL</w:t>
              <w:br/>
              <w:t xml:space="preserve">                  │</w:t>
              <w:br/>
              <w:t xml:space="preserve">                  ▼</w:t>
              <w:br/>
              <w:t xml:space="preserve">              Scenarios</w:t>
              <w:br/>
              <w:t xml:space="preserve">                  │</w:t>
              <w:br/>
              <w:t xml:space="preserve">            ┌─────┴─────┐</w:t>
              <w:br/>
              <w:t xml:space="preserve">            ▼           ▼</w:t>
              <w:br/>
              <w:t xml:space="preserve">          NMP          Golden</w:t>
              <w:br/>
              <w:t xml:space="preserve">  FROZEN / NO NEW       │</w:t>
              <w:br/>
              <w:t xml:space="preserve">     DEVELOPMENT        │</w:t>
              <w:br/>
              <w:t xml:space="preserve">            │           │</w:t>
              <w:br/>
              <w:t xml:space="preserve">            └─────┬─────┘</w:t>
              <w:br/>
              <w:t xml:space="preserve">                  │</w:t>
              <w:br/>
              <w:t xml:space="preserve"> Market ──────────┤</w:t>
              <w:br/>
              <w:t xml:space="preserve"> Institutional ───┤</w:t>
              <w:br/>
              <w:t xml:space="preserve"> Theory Engines ──┤</w:t>
              <w:br/>
              <w:t xml:space="preserve"> TDL ─────────────┤</w:t>
              <w:br/>
              <w:t xml:space="preserve"> Scenarios ───────┤</w:t>
              <w:br/>
              <w:t xml:space="preserve">                  ▼</w:t>
              <w:br/>
              <w:t xml:space="preserve">        Decision Intelligence</w:t>
              <w:br/>
              <w:t xml:space="preserve">        ├─ Orchestration</w:t>
              <w:br/>
              <w:t xml:space="preserve">        ├─ Decision Layers 01–16</w:t>
              <w:br/>
              <w:t xml:space="preserve">        │  [logical components only]</w:t>
              <w:br/>
              <w:t xml:space="preserve">        ├─ Conflict / Alignment</w:t>
              <w:br/>
              <w:t xml:space="preserve">        ├─ Evidence</w:t>
              <w:br/>
              <w:t xml:space="preserve">        └─ State / History</w:t>
              <w:br/>
              <w:t xml:space="preserve">                  │</w:t>
              <w:br/>
              <w:t xml:space="preserve">                  ├────────────► Scoring</w:t>
              <w:br/>
              <w:t xml:space="preserve">                  │</w:t>
              <w:br/>
              <w:t xml:space="preserve">                  ▼</w:t>
              <w:br/>
              <w:t xml:space="preserve">    CORE Official Direction Authority</w:t>
              <w:br/>
              <w:t xml:space="preserve">    Producer: TBD</w:t>
              <w:br/>
              <w:t xml:space="preserve">    Source: TBD</w:t>
              <w:br/>
              <w:t xml:space="preserve">    Contract: TBD</w:t>
              <w:br/>
              <w:t xml:space="preserve">    — requires technical freeze evidence</w:t>
              <w:br/>
              <w:t xml:space="preserve">                  │</w:t>
              <w:br/>
              <w:t xml:space="preserve">                  ▼</w:t>
              <w:br/>
              <w:t xml:space="preserve">              Governance</w:t>
              <w:br/>
              <w:t xml:space="preserve">              /        \</w:t>
              <w:br/>
              <w:t xml:space="preserve">             /          \</w:t>
              <w:br/>
              <w:t xml:space="preserve">            ▼            ▼</w:t>
              <w:br/>
              <w:t xml:space="preserve"> CORE Public Projection  Admin / Review Projection</w:t>
              <w:br/>
              <w:t xml:space="preserve"> Public-authorized only  Authorization-controlled</w:t>
              <w:br/>
              <w:t xml:space="preserve">            │            ├─ TDL</w:t>
              <w:br/>
              <w:t xml:space="preserve">            │            ├─ NMP [Experimental/Review]</w:t>
              <w:br/>
              <w:t xml:space="preserve">            │            ├─ Shadow</w:t>
              <w:br/>
              <w:t xml:space="preserve">            │            └─ Review</w:t>
              <w:br/>
              <w:t xml:space="preserve">            ▼</w:t>
              <w:br/>
              <w:t xml:space="preserve">       Public API</w:t>
              <w:br/>
              <w:br/>
              <w:t>Capabilities 01–28 remain logical components only.</w:t>
              <w:br/>
              <w:t>No 1:1 Capability → microservice assumption.</w:t>
            </w:r>
          </w:p>
        </w:tc>
      </w:tr>
    </w:tbl>
    <w:p>
      <w:pPr>
        <w:pStyle w:val="Heading1"/>
        <w:keepNext/>
        <w:spacing w:before="240" w:after="100"/>
        <w:jc w:val="left"/>
      </w:pPr>
      <w:r>
        <w:rPr>
          <w:rFonts w:ascii="Noto Kufi Arabic" w:hAnsi="Noto Kufi Arabic" w:cs="Noto Kufi Arabic"/>
          <w:b/>
          <w:color w:val="8E6D27"/>
          <w:sz w:val="36"/>
        </w:rPr>
        <w:t>Revised Backend-to-Database Mapping</w:t>
      </w:r>
    </w:p>
    <w:p>
      <w:pPr>
        <w:pStyle w:val="ListBullet"/>
        <w:spacing w:after="80" w:before="0" w:line="276" w:lineRule="auto"/>
        <w:jc w:val="left"/>
      </w:pPr>
      <w:r>
        <w:rPr>
          <w:rFonts w:ascii="Noto Sans Arabic" w:hAnsi="Noto Sans Arabic" w:cs="Noto Sans Arabic"/>
          <w:b/>
          <w:color w:val="22262D"/>
          <w:sz w:val="20"/>
        </w:rPr>
        <w:t>Data Foundation →</w:t>
      </w:r>
      <w:r>
        <w:rPr>
          <w:rFonts w:ascii="Noto Sans Arabic" w:hAnsi="Noto Sans Arabic" w:cs="Noto Sans Arabic"/>
          <w:b w:val="0"/>
          <w:color w:val="22262D"/>
          <w:sz w:val="20"/>
        </w:rPr>
        <w:t xml:space="preserve"> </w:t>
      </w:r>
      <w:r>
        <w:rPr>
          <w:rFonts w:ascii="Noto Sans Arabic" w:hAnsi="Noto Sans Arabic" w:cs="Noto Sans Arabic"/>
          <w:b/>
          <w:color w:val="22262D"/>
          <w:sz w:val="20"/>
        </w:rPr>
        <w:t>`database/raw/`</w:t>
      </w:r>
      <w:r>
        <w:rPr>
          <w:rFonts w:ascii="Noto Sans Arabic" w:hAnsi="Noto Sans Arabic" w:cs="Noto Sans Arabic"/>
          <w:b/>
          <w:color w:val="22262D"/>
          <w:sz w:val="20"/>
        </w:rPr>
        <w:t>\*\*\*\*,</w:t>
      </w:r>
      <w:r>
        <w:rPr>
          <w:rFonts w:ascii="Noto Sans Arabic" w:hAnsi="Noto Sans Arabic" w:cs="Noto Sans Arabic"/>
          <w:b w:val="0"/>
          <w:color w:val="22262D"/>
          <w:sz w:val="20"/>
        </w:rPr>
        <w:t xml:space="preserve"> </w:t>
      </w:r>
      <w:r>
        <w:rPr>
          <w:rFonts w:ascii="Noto Sans Arabic" w:hAnsi="Noto Sans Arabic" w:cs="Noto Sans Arabic"/>
          <w:b/>
          <w:color w:val="22262D"/>
          <w:sz w:val="20"/>
        </w:rPr>
        <w:t>`database/normalized/`</w:t>
      </w:r>
      <w:r>
        <w:rPr>
          <w:rFonts w:ascii="Noto Sans Arabic" w:hAnsi="Noto Sans Arabic" w:cs="Noto Sans Arabic"/>
          <w:b/>
          <w:color w:val="22262D"/>
          <w:sz w:val="20"/>
        </w:rPr>
        <w:t>\*\*\*\*,</w:t>
      </w:r>
      <w:r>
        <w:rPr>
          <w:rFonts w:ascii="Noto Sans Arabic" w:hAnsi="Noto Sans Arabic" w:cs="Noto Sans Arabic"/>
          <w:b w:val="0"/>
          <w:color w:val="22262D"/>
          <w:sz w:val="20"/>
        </w:rPr>
        <w:t xml:space="preserve"> </w:t>
      </w:r>
      <w:r>
        <w:rPr>
          <w:rFonts w:ascii="Noto Sans Arabic" w:hAnsi="Noto Sans Arabic" w:cs="Noto Sans Arabic"/>
          <w:b/>
          <w:color w:val="22262D"/>
          <w:sz w:val="20"/>
        </w:rPr>
        <w:t>`database/canonical/`</w:t>
      </w:r>
      <w:r>
        <w:rPr>
          <w:rFonts w:ascii="Noto Sans Arabic" w:hAnsi="Noto Sans Arabic" w:cs="Noto Sans Arabic"/>
          <w:b w:val="0"/>
          <w:color w:val="22262D"/>
          <w:sz w:val="20"/>
        </w:rPr>
        <w:t xml:space="preserve">. It remains the authoritative owner of financial canonical data. </w:t>
      </w:r>
      <w:r>
        <w:rPr>
          <w:rFonts w:ascii="DejaVu Sans Mono" w:hAnsi="DejaVu Sans Mono" w:cs="DejaVu Sans Mono"/>
          <w:b w:val="0"/>
          <w:color w:val="8E6D27"/>
          <w:sz w:val="18"/>
        </w:rPr>
        <w:t>database/canonical/cot/</w:t>
      </w:r>
      <w:r>
        <w:rPr>
          <w:rFonts w:ascii="Noto Sans Arabic" w:hAnsi="Noto Sans Arabic" w:cs="Noto Sans Arabic"/>
          <w:b w:val="0"/>
          <w:color w:val="22262D"/>
          <w:sz w:val="20"/>
        </w:rPr>
        <w:t xml:space="preserve"> remains the </w:t>
      </w:r>
      <w:r>
        <w:rPr>
          <w:rFonts w:ascii="Noto Sans Arabic" w:hAnsi="Noto Sans Arabic" w:cs="Noto Sans Arabic"/>
          <w:b/>
          <w:color w:val="22262D"/>
          <w:sz w:val="20"/>
        </w:rPr>
        <w:t>ONE Canonical COT Dataset</w:t>
      </w:r>
      <w:r>
        <w:rPr>
          <w:rFonts w:ascii="Noto Sans Arabic" w:hAnsi="Noto Sans Arabic" w:cs="Noto Sans Arabic"/>
          <w:b w:val="0"/>
          <w:color w:val="22262D"/>
          <w:sz w:val="20"/>
        </w:rPr>
        <w:t>. Institutional Intelligence consumes it; it does not write a competing canonical COT dataset.</w:t>
      </w:r>
    </w:p>
    <w:p>
      <w:pPr>
        <w:pStyle w:val="ListBullet"/>
        <w:spacing w:after="80" w:before="0" w:line="276" w:lineRule="auto"/>
        <w:jc w:val="left"/>
      </w:pPr>
      <w:r>
        <w:rPr>
          <w:rFonts w:ascii="Noto Sans Arabic" w:hAnsi="Noto Sans Arabic" w:cs="Noto Sans Arabic"/>
          <w:b/>
          <w:color w:val="22262D"/>
          <w:sz w:val="20"/>
        </w:rPr>
        <w:t>Market Intelligence →</w:t>
      </w:r>
      <w:r>
        <w:rPr>
          <w:rFonts w:ascii="Noto Sans Arabic" w:hAnsi="Noto Sans Arabic" w:cs="Noto Sans Arabic"/>
          <w:b w:val="0"/>
          <w:color w:val="22262D"/>
          <w:sz w:val="20"/>
        </w:rPr>
        <w:t xml:space="preserve"> </w:t>
      </w:r>
      <w:r>
        <w:rPr>
          <w:rFonts w:ascii="Noto Sans Arabic" w:hAnsi="Noto Sans Arabic" w:cs="Noto Sans Arabic"/>
          <w:b/>
          <w:color w:val="22262D"/>
          <w:sz w:val="20"/>
        </w:rPr>
        <w:t>`database/intelligence/market/`</w:t>
      </w:r>
      <w:r>
        <w:rPr>
          <w:rFonts w:ascii="Noto Sans Arabic" w:hAnsi="Noto Sans Arabic" w:cs="Noto Sans Arabic"/>
          <w:b w:val="0"/>
          <w:color w:val="22262D"/>
          <w:sz w:val="20"/>
        </w:rPr>
        <w:t>. Owns market-derived state and history only. It does not own canonical market observations.</w:t>
      </w:r>
    </w:p>
    <w:p>
      <w:pPr>
        <w:pStyle w:val="ListBullet"/>
        <w:spacing w:after="80" w:before="0" w:line="276" w:lineRule="auto"/>
        <w:jc w:val="left"/>
      </w:pPr>
      <w:r>
        <w:rPr>
          <w:rFonts w:ascii="Noto Sans Arabic" w:hAnsi="Noto Sans Arabic" w:cs="Noto Sans Arabic"/>
          <w:b/>
          <w:color w:val="22262D"/>
          <w:sz w:val="20"/>
        </w:rPr>
        <w:t>Institutional Intelligence →</w:t>
      </w:r>
      <w:r>
        <w:rPr>
          <w:rFonts w:ascii="Noto Sans Arabic" w:hAnsi="Noto Sans Arabic" w:cs="Noto Sans Arabic"/>
          <w:b w:val="0"/>
          <w:color w:val="22262D"/>
          <w:sz w:val="20"/>
        </w:rPr>
        <w:t xml:space="preserve"> </w:t>
      </w:r>
      <w:r>
        <w:rPr>
          <w:rFonts w:ascii="Noto Sans Arabic" w:hAnsi="Noto Sans Arabic" w:cs="Noto Sans Arabic"/>
          <w:b/>
          <w:color w:val="22262D"/>
          <w:sz w:val="20"/>
        </w:rPr>
        <w:t>`database/intelligence/institutional/`</w:t>
      </w:r>
      <w:r>
        <w:rPr>
          <w:rFonts w:ascii="Noto Sans Arabic" w:hAnsi="Noto Sans Arabic" w:cs="Noto Sans Arabic"/>
          <w:b w:val="0"/>
          <w:color w:val="22262D"/>
          <w:sz w:val="20"/>
        </w:rPr>
        <w:t xml:space="preserve">. Owns derived CFTC/COT/TFF intelligence, including current/previous/historical analytical state. Its authoritative upstream institutional dataset remains </w:t>
      </w:r>
      <w:r>
        <w:rPr>
          <w:rFonts w:ascii="DejaVu Sans Mono" w:hAnsi="DejaVu Sans Mono" w:cs="DejaVu Sans Mono"/>
          <w:b w:val="0"/>
          <w:color w:val="8E6D27"/>
          <w:sz w:val="18"/>
        </w:rPr>
        <w:t>database/canonical/cot/</w:t>
      </w:r>
      <w:r>
        <w:rPr>
          <w:rFonts w:ascii="Noto Sans Arabic" w:hAnsi="Noto Sans Arabic" w:cs="Noto Sans Arabic"/>
          <w:b w:val="0"/>
          <w:color w:val="22262D"/>
          <w:sz w:val="20"/>
        </w:rPr>
        <w:t>.</w:t>
      </w:r>
    </w:p>
    <w:p>
      <w:pPr>
        <w:pStyle w:val="ListBullet"/>
        <w:spacing w:after="80" w:before="0" w:line="276" w:lineRule="auto"/>
        <w:jc w:val="left"/>
      </w:pPr>
      <w:r>
        <w:rPr>
          <w:rFonts w:ascii="Noto Sans Arabic" w:hAnsi="Noto Sans Arabic" w:cs="Noto Sans Arabic"/>
          <w:b/>
          <w:color w:val="22262D"/>
          <w:sz w:val="20"/>
        </w:rPr>
        <w:t>Theory Engines →</w:t>
      </w:r>
      <w:r>
        <w:rPr>
          <w:rFonts w:ascii="Noto Sans Arabic" w:hAnsi="Noto Sans Arabic" w:cs="Noto Sans Arabic"/>
          <w:b w:val="0"/>
          <w:color w:val="22262D"/>
          <w:sz w:val="20"/>
        </w:rPr>
        <w:t xml:space="preserve"> </w:t>
      </w:r>
      <w:r>
        <w:rPr>
          <w:rFonts w:ascii="Noto Sans Arabic" w:hAnsi="Noto Sans Arabic" w:cs="Noto Sans Arabic"/>
          <w:b/>
          <w:color w:val="22262D"/>
          <w:sz w:val="20"/>
        </w:rPr>
        <w:t>`database/intelligence/theories/`</w:t>
      </w:r>
      <w:r>
        <w:rPr>
          <w:rFonts w:ascii="Noto Sans Arabic" w:hAnsi="Noto Sans Arabic" w:cs="Noto Sans Arabic"/>
          <w:b w:val="0"/>
          <w:color w:val="22262D"/>
          <w:sz w:val="20"/>
        </w:rPr>
        <w:t>. Own theory state, results, evidence and history within the theory boundary. No assumption is made that each theory is a separate service.</w:t>
      </w:r>
    </w:p>
    <w:p>
      <w:pPr>
        <w:pStyle w:val="ListBullet"/>
        <w:spacing w:after="80" w:before="0" w:line="276" w:lineRule="auto"/>
        <w:jc w:val="left"/>
      </w:pPr>
      <w:r>
        <w:rPr>
          <w:rFonts w:ascii="Noto Sans Arabic" w:hAnsi="Noto Sans Arabic" w:cs="Noto Sans Arabic"/>
          <w:b/>
          <w:color w:val="22262D"/>
          <w:sz w:val="20"/>
        </w:rPr>
        <w:t>TDL →</w:t>
      </w:r>
      <w:r>
        <w:rPr>
          <w:rFonts w:ascii="Noto Sans Arabic" w:hAnsi="Noto Sans Arabic" w:cs="Noto Sans Arabic"/>
          <w:b w:val="0"/>
          <w:color w:val="22262D"/>
          <w:sz w:val="20"/>
        </w:rPr>
        <w:t xml:space="preserve"> </w:t>
      </w:r>
      <w:r>
        <w:rPr>
          <w:rFonts w:ascii="Noto Sans Arabic" w:hAnsi="Noto Sans Arabic" w:cs="Noto Sans Arabic"/>
          <w:b/>
          <w:color w:val="22262D"/>
          <w:sz w:val="20"/>
        </w:rPr>
        <w:t>`database/intelligence/tdl/`</w:t>
      </w:r>
      <w:r>
        <w:rPr>
          <w:rFonts w:ascii="Noto Sans Arabic" w:hAnsi="Noto Sans Arabic" w:cs="Noto Sans Arabic"/>
          <w:b w:val="0"/>
          <w:color w:val="22262D"/>
          <w:sz w:val="20"/>
        </w:rPr>
        <w:t xml:space="preserve">. Existing TDL ownership is preserved. Investment Mode and Speculation Mode are architectural operating modes inside the TDL boundary. Their formulas, behavioral differences, persistence subdivision and contracts remain </w:t>
      </w:r>
      <w:r>
        <w:rPr>
          <w:rFonts w:ascii="DejaVu Sans Mono" w:hAnsi="DejaVu Sans Mono" w:cs="DejaVu Sans Mono"/>
          <w:b w:val="0"/>
          <w:color w:val="8E6D27"/>
          <w:sz w:val="18"/>
        </w:rPr>
        <w:t>TBD — requires technical freeze evidence</w:t>
      </w:r>
      <w:r>
        <w:rPr>
          <w:rFonts w:ascii="Noto Sans Arabic" w:hAnsi="Noto Sans Arabic" w:cs="Noto Sans Arabic"/>
          <w:b w:val="0"/>
          <w:color w:val="22262D"/>
          <w:sz w:val="20"/>
        </w:rPr>
        <w:t>.</w:t>
      </w:r>
    </w:p>
    <w:p>
      <w:pPr>
        <w:pStyle w:val="ListBullet"/>
        <w:spacing w:after="80" w:before="0" w:line="276" w:lineRule="auto"/>
        <w:jc w:val="left"/>
      </w:pPr>
      <w:r>
        <w:rPr>
          <w:rFonts w:ascii="Noto Sans Arabic" w:hAnsi="Noto Sans Arabic" w:cs="Noto Sans Arabic"/>
          <w:b/>
          <w:color w:val="22262D"/>
          <w:sz w:val="20"/>
        </w:rPr>
        <w:t>Scenario Intelligence →</w:t>
      </w:r>
      <w:r>
        <w:rPr>
          <w:rFonts w:ascii="Noto Sans Arabic" w:hAnsi="Noto Sans Arabic" w:cs="Noto Sans Arabic"/>
          <w:b w:val="0"/>
          <w:color w:val="22262D"/>
          <w:sz w:val="20"/>
        </w:rPr>
        <w:t xml:space="preserve"> </w:t>
      </w:r>
      <w:r>
        <w:rPr>
          <w:rFonts w:ascii="Noto Sans Arabic" w:hAnsi="Noto Sans Arabic" w:cs="Noto Sans Arabic"/>
          <w:b/>
          <w:color w:val="22262D"/>
          <w:sz w:val="20"/>
        </w:rPr>
        <w:t>`database/intelligence/scenarios/`</w:t>
      </w:r>
      <w:r>
        <w:rPr>
          <w:rFonts w:ascii="Noto Sans Arabic" w:hAnsi="Noto Sans Arabic" w:cs="Noto Sans Arabic"/>
          <w:b w:val="0"/>
          <w:color w:val="22262D"/>
          <w:sz w:val="20"/>
        </w:rPr>
        <w:t>. Owns scenario state, evidence, levels, drivers, invalidation and evolution.</w:t>
      </w:r>
    </w:p>
    <w:p>
      <w:pPr>
        <w:pStyle w:val="ListBullet"/>
        <w:spacing w:after="80" w:before="0" w:line="276" w:lineRule="auto"/>
        <w:jc w:val="left"/>
      </w:pPr>
      <w:r>
        <w:rPr>
          <w:rFonts w:ascii="Noto Sans Arabic" w:hAnsi="Noto Sans Arabic" w:cs="Noto Sans Arabic"/>
          <w:b/>
          <w:color w:val="22262D"/>
          <w:sz w:val="20"/>
        </w:rPr>
        <w:t>NMP →</w:t>
      </w:r>
      <w:r>
        <w:rPr>
          <w:rFonts w:ascii="Noto Sans Arabic" w:hAnsi="Noto Sans Arabic" w:cs="Noto Sans Arabic"/>
          <w:b w:val="0"/>
          <w:color w:val="22262D"/>
          <w:sz w:val="20"/>
        </w:rPr>
        <w:t xml:space="preserve"> </w:t>
      </w:r>
      <w:r>
        <w:rPr>
          <w:rFonts w:ascii="Noto Sans Arabic" w:hAnsi="Noto Sans Arabic" w:cs="Noto Sans Arabic"/>
          <w:b/>
          <w:color w:val="22262D"/>
          <w:sz w:val="20"/>
        </w:rPr>
        <w:t>`database/intelligence/nmp/`</w:t>
      </w:r>
      <w:r>
        <w:rPr>
          <w:rFonts w:ascii="Noto Sans Arabic" w:hAnsi="Noto Sans Arabic" w:cs="Noto Sans Arabic"/>
          <w:b w:val="0"/>
          <w:color w:val="22262D"/>
          <w:sz w:val="20"/>
        </w:rPr>
        <w:t xml:space="preserve">. Existing ownership is preserved, but the domain is now explicitly </w:t>
      </w:r>
      <w:r>
        <w:rPr>
          <w:rFonts w:ascii="Noto Sans Arabic" w:hAnsi="Noto Sans Arabic" w:cs="Noto Sans Arabic"/>
          <w:b/>
          <w:color w:val="22262D"/>
          <w:sz w:val="20"/>
        </w:rPr>
        <w:t>`FROZEN / NO NEW DEVELOPMENT`</w:t>
      </w:r>
      <w:r>
        <w:rPr>
          <w:rFonts w:ascii="Noto Sans Arabic" w:hAnsi="Noto Sans Arabic" w:cs="Noto Sans Arabic"/>
          <w:b w:val="0"/>
          <w:color w:val="22262D"/>
          <w:sz w:val="20"/>
        </w:rPr>
        <w:t>. Existing state/history may remain readable internally. No new architecture-stage feature development is assigned to NMP.</w:t>
      </w:r>
    </w:p>
    <w:p>
      <w:pPr>
        <w:pStyle w:val="ListBullet"/>
        <w:spacing w:after="80" w:before="0" w:line="276" w:lineRule="auto"/>
        <w:jc w:val="left"/>
      </w:pPr>
      <w:r>
        <w:rPr>
          <w:rFonts w:ascii="Noto Sans Arabic" w:hAnsi="Noto Sans Arabic" w:cs="Noto Sans Arabic"/>
          <w:b/>
          <w:color w:val="22262D"/>
          <w:sz w:val="20"/>
        </w:rPr>
        <w:t>Golden →</w:t>
      </w:r>
      <w:r>
        <w:rPr>
          <w:rFonts w:ascii="Noto Sans Arabic" w:hAnsi="Noto Sans Arabic" w:cs="Noto Sans Arabic"/>
          <w:b w:val="0"/>
          <w:color w:val="22262D"/>
          <w:sz w:val="20"/>
        </w:rPr>
        <w:t xml:space="preserve"> </w:t>
      </w:r>
      <w:r>
        <w:rPr>
          <w:rFonts w:ascii="Noto Sans Arabic" w:hAnsi="Noto Sans Arabic" w:cs="Noto Sans Arabic"/>
          <w:b/>
          <w:color w:val="22262D"/>
          <w:sz w:val="20"/>
        </w:rPr>
        <w:t>`database/intelligence/golden/`</w:t>
      </w:r>
      <w:r>
        <w:rPr>
          <w:rFonts w:ascii="Noto Sans Arabic" w:hAnsi="Noto Sans Arabic" w:cs="Noto Sans Arabic"/>
          <w:b w:val="0"/>
          <w:color w:val="22262D"/>
          <w:sz w:val="20"/>
        </w:rPr>
        <w:t>. Existing Golden ownership is unchanged.</w:t>
      </w:r>
    </w:p>
    <w:p>
      <w:pPr>
        <w:pStyle w:val="ListBullet"/>
        <w:spacing w:after="80" w:before="0" w:line="276" w:lineRule="auto"/>
        <w:jc w:val="left"/>
      </w:pPr>
      <w:r>
        <w:rPr>
          <w:rFonts w:ascii="Noto Sans Arabic" w:hAnsi="Noto Sans Arabic" w:cs="Noto Sans Arabic"/>
          <w:b/>
          <w:color w:val="22262D"/>
          <w:sz w:val="20"/>
        </w:rPr>
        <w:t>CORE Official Direction Authority →</w:t>
      </w:r>
      <w:r>
        <w:rPr>
          <w:rFonts w:ascii="Noto Sans Arabic" w:hAnsi="Noto Sans Arabic" w:cs="Noto Sans Arabic"/>
          <w:b w:val="0"/>
          <w:color w:val="22262D"/>
          <w:sz w:val="20"/>
        </w:rPr>
        <w:t xml:space="preserve"> </w:t>
      </w:r>
      <w:r>
        <w:rPr>
          <w:rFonts w:ascii="Noto Sans Arabic" w:hAnsi="Noto Sans Arabic" w:cs="Noto Sans Arabic"/>
          <w:b/>
          <w:color w:val="22262D"/>
          <w:sz w:val="20"/>
        </w:rPr>
        <w:t>`database/core_official_direction/`</w:t>
      </w:r>
      <w:r>
        <w:rPr>
          <w:rFonts w:ascii="Noto Sans Arabic" w:hAnsi="Noto Sans Arabic" w:cs="Noto Sans Arabic"/>
          <w:b w:val="0"/>
          <w:color w:val="22262D"/>
          <w:sz w:val="20"/>
        </w:rPr>
        <w:t xml:space="preserve"> </w:t>
      </w:r>
      <w:r>
        <w:rPr>
          <w:rFonts w:ascii="Noto Sans Arabic" w:hAnsi="Noto Sans Arabic" w:cs="Noto Sans Arabic"/>
          <w:b/>
          <w:color w:val="22262D"/>
          <w:sz w:val="20"/>
        </w:rPr>
        <w:t>only as an unresolved ownership placeholder</w:t>
      </w:r>
      <w:r>
        <w:rPr>
          <w:rFonts w:ascii="Noto Sans Arabic" w:hAnsi="Noto Sans Arabic" w:cs="Noto Sans Arabic"/>
          <w:b w:val="0"/>
          <w:color w:val="22262D"/>
          <w:sz w:val="20"/>
        </w:rPr>
        <w:t xml:space="preserve">. Authoritative producer, upstream source, storage authority and contract are </w:t>
      </w:r>
      <w:r>
        <w:rPr>
          <w:rFonts w:ascii="DejaVu Sans Mono" w:hAnsi="DejaVu Sans Mono" w:cs="DejaVu Sans Mono"/>
          <w:b w:val="0"/>
          <w:color w:val="8E6D27"/>
          <w:sz w:val="18"/>
        </w:rPr>
        <w:t>TBD — requires technical freeze evidence</w:t>
      </w:r>
      <w:r>
        <w:rPr>
          <w:rFonts w:ascii="Noto Sans Arabic" w:hAnsi="Noto Sans Arabic" w:cs="Noto Sans Arabic"/>
          <w:b w:val="0"/>
          <w:color w:val="22262D"/>
          <w:sz w:val="20"/>
        </w:rPr>
        <w:t>. No competing producer or derived authority is assigned.</w:t>
      </w:r>
    </w:p>
    <w:p>
      <w:pPr>
        <w:pStyle w:val="ListBullet"/>
        <w:spacing w:after="80" w:before="0" w:line="276" w:lineRule="auto"/>
        <w:jc w:val="left"/>
      </w:pPr>
      <w:r>
        <w:rPr>
          <w:rFonts w:ascii="Noto Sans Arabic" w:hAnsi="Noto Sans Arabic" w:cs="Noto Sans Arabic"/>
          <w:b/>
          <w:color w:val="22262D"/>
          <w:sz w:val="20"/>
        </w:rPr>
        <w:t>Decision Intelligence →</w:t>
      </w:r>
      <w:r>
        <w:rPr>
          <w:rFonts w:ascii="Noto Sans Arabic" w:hAnsi="Noto Sans Arabic" w:cs="Noto Sans Arabic"/>
          <w:b w:val="0"/>
          <w:color w:val="22262D"/>
          <w:sz w:val="20"/>
        </w:rPr>
        <w:t xml:space="preserve"> </w:t>
      </w:r>
      <w:r>
        <w:rPr>
          <w:rFonts w:ascii="Noto Sans Arabic" w:hAnsi="Noto Sans Arabic" w:cs="Noto Sans Arabic"/>
          <w:b/>
          <w:color w:val="22262D"/>
          <w:sz w:val="20"/>
        </w:rPr>
        <w:t>`database/decision/`</w:t>
      </w:r>
      <w:r>
        <w:rPr>
          <w:rFonts w:ascii="Noto Sans Arabic" w:hAnsi="Noto Sans Arabic" w:cs="Noto Sans Arabic"/>
          <w:b w:val="0"/>
          <w:color w:val="22262D"/>
          <w:sz w:val="20"/>
        </w:rPr>
        <w:t xml:space="preserve">. Owns decision runs, the state of </w:t>
      </w:r>
      <w:r>
        <w:rPr>
          <w:rFonts w:ascii="Noto Sans Arabic" w:hAnsi="Noto Sans Arabic" w:cs="Noto Sans Arabic"/>
          <w:b/>
          <w:color w:val="22262D"/>
          <w:sz w:val="20"/>
        </w:rPr>
        <w:t>16 logical Decision Layers</w:t>
      </w:r>
      <w:r>
        <w:rPr>
          <w:rFonts w:ascii="Noto Sans Arabic" w:hAnsi="Noto Sans Arabic" w:cs="Noto Sans Arabic"/>
          <w:b w:val="0"/>
          <w:color w:val="22262D"/>
          <w:sz w:val="20"/>
        </w:rPr>
        <w:t>, conflicts and evidence. The 16 layers remain logical components, not 16 databases or microservices.</w:t>
      </w:r>
    </w:p>
    <w:p>
      <w:pPr>
        <w:pStyle w:val="ListBullet"/>
        <w:spacing w:after="80" w:before="0" w:line="276" w:lineRule="auto"/>
        <w:jc w:val="left"/>
      </w:pPr>
      <w:r>
        <w:rPr>
          <w:rFonts w:ascii="Noto Sans Arabic" w:hAnsi="Noto Sans Arabic" w:cs="Noto Sans Arabic"/>
          <w:b/>
          <w:color w:val="22262D"/>
          <w:sz w:val="20"/>
        </w:rPr>
        <w:t>Scoring →</w:t>
      </w:r>
      <w:r>
        <w:rPr>
          <w:rFonts w:ascii="Noto Sans Arabic" w:hAnsi="Noto Sans Arabic" w:cs="Noto Sans Arabic"/>
          <w:b w:val="0"/>
          <w:color w:val="22262D"/>
          <w:sz w:val="20"/>
        </w:rPr>
        <w:t xml:space="preserve"> </w:t>
      </w:r>
      <w:r>
        <w:rPr>
          <w:rFonts w:ascii="Noto Sans Arabic" w:hAnsi="Noto Sans Arabic" w:cs="Noto Sans Arabic"/>
          <w:b/>
          <w:color w:val="22262D"/>
          <w:sz w:val="20"/>
        </w:rPr>
        <w:t>`database/scoring/`</w:t>
      </w:r>
      <w:r>
        <w:rPr>
          <w:rFonts w:ascii="Noto Sans Arabic" w:hAnsi="Noto Sans Arabic" w:cs="Noto Sans Arabic"/>
          <w:b w:val="0"/>
          <w:color w:val="22262D"/>
          <w:sz w:val="20"/>
        </w:rPr>
        <w:t>. Owns score-input representations, calculation results and scoring history; it does not acquire ownership of upstream TDL, Scenario, NMP, Golden or Theory state.</w:t>
      </w:r>
    </w:p>
    <w:p>
      <w:pPr>
        <w:pStyle w:val="ListBullet"/>
        <w:spacing w:after="80" w:before="0" w:line="276" w:lineRule="auto"/>
        <w:jc w:val="left"/>
      </w:pPr>
      <w:r>
        <w:rPr>
          <w:rFonts w:ascii="Noto Sans Arabic" w:hAnsi="Noto Sans Arabic" w:cs="Noto Sans Arabic"/>
          <w:b/>
          <w:color w:val="22262D"/>
          <w:sz w:val="20"/>
        </w:rPr>
        <w:t>Governance →</w:t>
      </w:r>
      <w:r>
        <w:rPr>
          <w:rFonts w:ascii="Noto Sans Arabic" w:hAnsi="Noto Sans Arabic" w:cs="Noto Sans Arabic"/>
          <w:b w:val="0"/>
          <w:color w:val="22262D"/>
          <w:sz w:val="20"/>
        </w:rPr>
        <w:t xml:space="preserve"> </w:t>
      </w:r>
      <w:r>
        <w:rPr>
          <w:rFonts w:ascii="Noto Sans Arabic" w:hAnsi="Noto Sans Arabic" w:cs="Noto Sans Arabic"/>
          <w:b/>
          <w:color w:val="22262D"/>
          <w:sz w:val="20"/>
        </w:rPr>
        <w:t>`database/governance/`</w:t>
      </w:r>
      <w:r>
        <w:rPr>
          <w:rFonts w:ascii="Noto Sans Arabic" w:hAnsi="Noto Sans Arabic" w:cs="Noto Sans Arabic"/>
          <w:b w:val="0"/>
          <w:color w:val="22262D"/>
          <w:sz w:val="20"/>
        </w:rPr>
        <w:t>. Remains the authoritative owner of governance evaluations, gates, blockers and eligibility. It is the mandatory boundary before any public exposure.</w:t>
      </w:r>
    </w:p>
    <w:p>
      <w:pPr>
        <w:pStyle w:val="ListBullet"/>
        <w:spacing w:after="80" w:before="0" w:line="276" w:lineRule="auto"/>
        <w:jc w:val="left"/>
      </w:pPr>
      <w:r>
        <w:rPr>
          <w:rFonts w:ascii="Noto Sans Arabic" w:hAnsi="Noto Sans Arabic" w:cs="Noto Sans Arabic"/>
          <w:b/>
          <w:color w:val="22262D"/>
          <w:sz w:val="20"/>
        </w:rPr>
        <w:t>Public Projection →</w:t>
      </w:r>
      <w:r>
        <w:rPr>
          <w:rFonts w:ascii="Noto Sans Arabic" w:hAnsi="Noto Sans Arabic" w:cs="Noto Sans Arabic"/>
          <w:b w:val="0"/>
          <w:color w:val="22262D"/>
          <w:sz w:val="20"/>
        </w:rPr>
        <w:t xml:space="preserve"> </w:t>
      </w:r>
      <w:r>
        <w:rPr>
          <w:rFonts w:ascii="Noto Sans Arabic" w:hAnsi="Noto Sans Arabic" w:cs="Noto Sans Arabic"/>
          <w:b/>
          <w:color w:val="22262D"/>
          <w:sz w:val="20"/>
        </w:rPr>
        <w:t>`database/public_projection/core/`</w:t>
      </w:r>
      <w:r>
        <w:rPr>
          <w:rFonts w:ascii="Noto Sans Arabic" w:hAnsi="Noto Sans Arabic" w:cs="Noto Sans Arabic"/>
          <w:b/>
          <w:color w:val="22262D"/>
          <w:sz w:val="20"/>
        </w:rPr>
        <w:t>\*\*\*\*,</w:t>
      </w:r>
      <w:r>
        <w:rPr>
          <w:rFonts w:ascii="Noto Sans Arabic" w:hAnsi="Noto Sans Arabic" w:cs="Noto Sans Arabic"/>
          <w:b w:val="0"/>
          <w:color w:val="22262D"/>
          <w:sz w:val="20"/>
        </w:rPr>
        <w:t xml:space="preserve"> </w:t>
      </w:r>
      <w:r>
        <w:rPr>
          <w:rFonts w:ascii="Noto Sans Arabic" w:hAnsi="Noto Sans Arabic" w:cs="Noto Sans Arabic"/>
          <w:b/>
          <w:color w:val="22262D"/>
          <w:sz w:val="20"/>
        </w:rPr>
        <w:t>`current/`</w:t>
      </w:r>
      <w:r>
        <w:rPr>
          <w:rFonts w:ascii="Noto Sans Arabic" w:hAnsi="Noto Sans Arabic" w:cs="Noto Sans Arabic"/>
          <w:b/>
          <w:color w:val="22262D"/>
          <w:sz w:val="20"/>
        </w:rPr>
        <w:t>\*\*\*\*,</w:t>
      </w:r>
      <w:r>
        <w:rPr>
          <w:rFonts w:ascii="Noto Sans Arabic" w:hAnsi="Noto Sans Arabic" w:cs="Noto Sans Arabic"/>
          <w:b w:val="0"/>
          <w:color w:val="22262D"/>
          <w:sz w:val="20"/>
        </w:rPr>
        <w:t xml:space="preserve"> </w:t>
      </w:r>
      <w:r>
        <w:rPr>
          <w:rFonts w:ascii="Noto Sans Arabic" w:hAnsi="Noto Sans Arabic" w:cs="Noto Sans Arabic"/>
          <w:b/>
          <w:color w:val="22262D"/>
          <w:sz w:val="20"/>
        </w:rPr>
        <w:t>`history/`</w:t>
      </w:r>
      <w:r>
        <w:rPr>
          <w:rFonts w:ascii="Noto Sans Arabic" w:hAnsi="Noto Sans Arabic" w:cs="Noto Sans Arabic"/>
          <w:b w:val="0"/>
          <w:color w:val="22262D"/>
          <w:sz w:val="20"/>
        </w:rPr>
        <w:t xml:space="preserve">. This store may contain only </w:t>
      </w:r>
      <w:r>
        <w:rPr>
          <w:rFonts w:ascii="Noto Sans Arabic" w:hAnsi="Noto Sans Arabic" w:cs="Noto Sans Arabic"/>
          <w:b/>
          <w:color w:val="22262D"/>
          <w:sz w:val="20"/>
        </w:rPr>
        <w:t>governance-authorized CORE public projection</w:t>
      </w:r>
      <w:r>
        <w:rPr>
          <w:rFonts w:ascii="Noto Sans Arabic" w:hAnsi="Noto Sans Arabic" w:cs="Noto Sans Arabic"/>
          <w:b w:val="0"/>
          <w:color w:val="22262D"/>
          <w:sz w:val="20"/>
        </w:rPr>
        <w:t>. NMP, TDL, Shadow and Review data are prohibited from entering this public projection.</w:t>
      </w:r>
    </w:p>
    <w:p>
      <w:pPr>
        <w:pStyle w:val="ListBullet"/>
      </w:pPr>
      <w:r>
        <w:t>Public-safe naming exception → This prohibition concerns internal TDL/NMP/layer data. The five owner-approved customer-facing names may be emitted only as static, sanitized display labels under an approved public terminology + entitlement contract; they do not transfer internal state, formulas, values, or ownership into Public Projection.</w:t>
      </w:r>
    </w:p>
    <w:p>
      <w:pPr>
        <w:pStyle w:val="ListBullet"/>
        <w:spacing w:after="80" w:before="0" w:line="276" w:lineRule="auto"/>
        <w:jc w:val="left"/>
      </w:pPr>
      <w:r>
        <w:rPr>
          <w:rFonts w:ascii="Noto Sans Arabic" w:hAnsi="Noto Sans Arabic" w:cs="Noto Sans Arabic"/>
          <w:b/>
          <w:color w:val="22262D"/>
          <w:sz w:val="20"/>
        </w:rPr>
        <w:t>Admin/Review Projection →</w:t>
      </w:r>
      <w:r>
        <w:rPr>
          <w:rFonts w:ascii="Noto Sans Arabic" w:hAnsi="Noto Sans Arabic" w:cs="Noto Sans Arabic"/>
          <w:b w:val="0"/>
          <w:color w:val="22262D"/>
          <w:sz w:val="20"/>
        </w:rPr>
        <w:t xml:space="preserve"> </w:t>
      </w:r>
      <w:r>
        <w:rPr>
          <w:rFonts w:ascii="Noto Sans Arabic" w:hAnsi="Noto Sans Arabic" w:cs="Noto Sans Arabic"/>
          <w:b/>
          <w:color w:val="22262D"/>
          <w:sz w:val="20"/>
        </w:rPr>
        <w:t>`database/admin_review_projection/`</w:t>
      </w:r>
      <w:r>
        <w:rPr>
          <w:rFonts w:ascii="Noto Sans Arabic" w:hAnsi="Noto Sans Arabic" w:cs="Noto Sans Arabic"/>
          <w:b w:val="0"/>
          <w:color w:val="22262D"/>
          <w:sz w:val="20"/>
        </w:rPr>
        <w:t xml:space="preserve">. This is a separate read/exposure projection for authorized internal surfaces. It may expose TDL, frozen NMP, Shadow and Review information according to authorization. NMP is explicitly labeled </w:t>
      </w:r>
      <w:r>
        <w:rPr>
          <w:rFonts w:ascii="Noto Sans Arabic" w:hAnsi="Noto Sans Arabic" w:cs="Noto Sans Arabic"/>
          <w:b/>
          <w:color w:val="22262D"/>
          <w:sz w:val="20"/>
        </w:rPr>
        <w:t>Experimental/Review</w:t>
      </w:r>
      <w:r>
        <w:rPr>
          <w:rFonts w:ascii="Noto Sans Arabic" w:hAnsi="Noto Sans Arabic" w:cs="Noto Sans Arabic"/>
          <w:b w:val="0"/>
          <w:color w:val="22262D"/>
          <w:sz w:val="20"/>
        </w:rPr>
        <w:t xml:space="preserve"> here.</w:t>
      </w:r>
    </w:p>
    <w:p>
      <w:pPr>
        <w:pStyle w:val="ListBullet"/>
        <w:spacing w:after="80" w:before="0" w:line="276" w:lineRule="auto"/>
        <w:jc w:val="left"/>
      </w:pPr>
      <w:r>
        <w:rPr>
          <w:rFonts w:ascii="Noto Sans Arabic" w:hAnsi="Noto Sans Arabic" w:cs="Noto Sans Arabic"/>
          <w:b/>
          <w:color w:val="22262D"/>
          <w:sz w:val="20"/>
        </w:rPr>
        <w:t>Shadow →</w:t>
      </w:r>
      <w:r>
        <w:rPr>
          <w:rFonts w:ascii="Noto Sans Arabic" w:hAnsi="Noto Sans Arabic" w:cs="Noto Sans Arabic"/>
          <w:b w:val="0"/>
          <w:color w:val="22262D"/>
          <w:sz w:val="20"/>
        </w:rPr>
        <w:t xml:space="preserve"> </w:t>
      </w:r>
      <w:r>
        <w:rPr>
          <w:rFonts w:ascii="Noto Sans Arabic" w:hAnsi="Noto Sans Arabic" w:cs="Noto Sans Arabic"/>
          <w:b/>
          <w:color w:val="22262D"/>
          <w:sz w:val="20"/>
        </w:rPr>
        <w:t>`database/shadow/`</w:t>
      </w:r>
      <w:r>
        <w:rPr>
          <w:rFonts w:ascii="Noto Sans Arabic" w:hAnsi="Noto Sans Arabic" w:cs="Noto Sans Arabic"/>
          <w:b w:val="0"/>
          <w:color w:val="22262D"/>
          <w:sz w:val="20"/>
        </w:rPr>
        <w:t xml:space="preserve"> </w:t>
      </w:r>
      <w:r>
        <w:rPr>
          <w:rFonts w:ascii="Noto Sans Arabic" w:hAnsi="Noto Sans Arabic" w:cs="Noto Sans Arabic"/>
          <w:b/>
          <w:color w:val="22262D"/>
          <w:sz w:val="20"/>
        </w:rPr>
        <w:t>ownership remains</w:t>
      </w:r>
      <w:r>
        <w:rPr>
          <w:rFonts w:ascii="Noto Sans Arabic" w:hAnsi="Noto Sans Arabic" w:cs="Noto Sans Arabic"/>
          <w:b w:val="0"/>
          <w:color w:val="22262D"/>
          <w:sz w:val="20"/>
        </w:rPr>
        <w:t xml:space="preserve"> </w:t>
      </w:r>
      <w:r>
        <w:rPr>
          <w:rFonts w:ascii="Noto Sans Arabic" w:hAnsi="Noto Sans Arabic" w:cs="Noto Sans Arabic"/>
          <w:b/>
          <w:color w:val="22262D"/>
          <w:sz w:val="20"/>
        </w:rPr>
        <w:t>`TBD — requires technical freeze evidence`</w:t>
      </w:r>
      <w:r>
        <w:rPr>
          <w:rFonts w:ascii="Noto Sans Arabic" w:hAnsi="Noto Sans Arabic" w:cs="Noto Sans Arabic"/>
          <w:b w:val="0"/>
          <w:color w:val="22262D"/>
          <w:sz w:val="20"/>
        </w:rPr>
        <w:t>. The boundary exists; internal business logic and final data-authority rules are not invented at Level 1.</w:t>
      </w:r>
    </w:p>
    <w:p>
      <w:pPr>
        <w:pStyle w:val="ListBullet"/>
        <w:spacing w:after="80" w:before="0" w:line="276" w:lineRule="auto"/>
        <w:jc w:val="left"/>
      </w:pPr>
      <w:r>
        <w:rPr>
          <w:rFonts w:ascii="Noto Sans Arabic" w:hAnsi="Noto Sans Arabic" w:cs="Noto Sans Arabic"/>
          <w:b/>
          <w:color w:val="22262D"/>
          <w:sz w:val="20"/>
        </w:rPr>
        <w:t>Review →</w:t>
      </w:r>
      <w:r>
        <w:rPr>
          <w:rFonts w:ascii="Noto Sans Arabic" w:hAnsi="Noto Sans Arabic" w:cs="Noto Sans Arabic"/>
          <w:b w:val="0"/>
          <w:color w:val="22262D"/>
          <w:sz w:val="20"/>
        </w:rPr>
        <w:t xml:space="preserve"> </w:t>
      </w:r>
      <w:r>
        <w:rPr>
          <w:rFonts w:ascii="Noto Sans Arabic" w:hAnsi="Noto Sans Arabic" w:cs="Noto Sans Arabic"/>
          <w:b/>
          <w:color w:val="22262D"/>
          <w:sz w:val="20"/>
        </w:rPr>
        <w:t>`database/review/`</w:t>
      </w:r>
      <w:r>
        <w:rPr>
          <w:rFonts w:ascii="Noto Sans Arabic" w:hAnsi="Noto Sans Arabic" w:cs="Noto Sans Arabic"/>
          <w:b w:val="0"/>
          <w:color w:val="22262D"/>
          <w:sz w:val="20"/>
        </w:rPr>
        <w:t xml:space="preserve"> </w:t>
      </w:r>
      <w:r>
        <w:rPr>
          <w:rFonts w:ascii="Noto Sans Arabic" w:hAnsi="Noto Sans Arabic" w:cs="Noto Sans Arabic"/>
          <w:b/>
          <w:color w:val="22262D"/>
          <w:sz w:val="20"/>
        </w:rPr>
        <w:t>ownership remains</w:t>
      </w:r>
      <w:r>
        <w:rPr>
          <w:rFonts w:ascii="Noto Sans Arabic" w:hAnsi="Noto Sans Arabic" w:cs="Noto Sans Arabic"/>
          <w:b w:val="0"/>
          <w:color w:val="22262D"/>
          <w:sz w:val="20"/>
        </w:rPr>
        <w:t xml:space="preserve"> </w:t>
      </w:r>
      <w:r>
        <w:rPr>
          <w:rFonts w:ascii="Noto Sans Arabic" w:hAnsi="Noto Sans Arabic" w:cs="Noto Sans Arabic"/>
          <w:b/>
          <w:color w:val="22262D"/>
          <w:sz w:val="20"/>
        </w:rPr>
        <w:t>`TBD — requires technical freeze evidence`</w:t>
      </w:r>
      <w:r>
        <w:rPr>
          <w:rFonts w:ascii="Noto Sans Arabic" w:hAnsi="Noto Sans Arabic" w:cs="Noto Sans Arabic"/>
          <w:b w:val="0"/>
          <w:color w:val="22262D"/>
          <w:sz w:val="20"/>
        </w:rPr>
        <w:t>. The boundary exists; internal business logic and final state ownership remain unresolved.</w:t>
      </w:r>
    </w:p>
    <w:p>
      <w:pPr>
        <w:pStyle w:val="ListBullet"/>
        <w:spacing w:after="80" w:before="0" w:line="276" w:lineRule="auto"/>
        <w:jc w:val="left"/>
      </w:pPr>
      <w:r>
        <w:rPr>
          <w:rFonts w:ascii="Noto Sans Arabic" w:hAnsi="Noto Sans Arabic" w:cs="Noto Sans Arabic"/>
          <w:b/>
          <w:color w:val="22262D"/>
          <w:sz w:val="20"/>
        </w:rPr>
        <w:t>Capabilities →</w:t>
      </w:r>
      <w:r>
        <w:rPr>
          <w:rFonts w:ascii="Noto Sans Arabic" w:hAnsi="Noto Sans Arabic" w:cs="Noto Sans Arabic"/>
          <w:b w:val="0"/>
          <w:color w:val="22262D"/>
          <w:sz w:val="20"/>
        </w:rPr>
        <w:t xml:space="preserve"> </w:t>
      </w:r>
      <w:r>
        <w:rPr>
          <w:rFonts w:ascii="Noto Sans Arabic" w:hAnsi="Noto Sans Arabic" w:cs="Noto Sans Arabic"/>
          <w:b/>
          <w:color w:val="22262D"/>
          <w:sz w:val="20"/>
        </w:rPr>
        <w:t>`database/platform/capabilities/`</w:t>
      </w:r>
      <w:r>
        <w:rPr>
          <w:rFonts w:ascii="Noto Sans Arabic" w:hAnsi="Noto Sans Arabic" w:cs="Noto Sans Arabic"/>
          <w:b/>
          <w:color w:val="22262D"/>
          <w:sz w:val="20"/>
        </w:rPr>
        <w:t>\*\*\*\*,</w:t>
      </w:r>
      <w:r>
        <w:rPr>
          <w:rFonts w:ascii="Noto Sans Arabic" w:hAnsi="Noto Sans Arabic" w:cs="Noto Sans Arabic"/>
          <w:b w:val="0"/>
          <w:color w:val="22262D"/>
          <w:sz w:val="20"/>
        </w:rPr>
        <w:t xml:space="preserve"> </w:t>
      </w:r>
      <w:r>
        <w:rPr>
          <w:rFonts w:ascii="Noto Sans Arabic" w:hAnsi="Noto Sans Arabic" w:cs="Noto Sans Arabic"/>
          <w:b/>
          <w:color w:val="22262D"/>
          <w:sz w:val="20"/>
        </w:rPr>
        <w:t>`runtime_state/`</w:t>
      </w:r>
      <w:r>
        <w:rPr>
          <w:rFonts w:ascii="Noto Sans Arabic" w:hAnsi="Noto Sans Arabic" w:cs="Noto Sans Arabic"/>
          <w:b/>
          <w:color w:val="22262D"/>
          <w:sz w:val="20"/>
        </w:rPr>
        <w:t>\*\*\*\*,</w:t>
      </w:r>
      <w:r>
        <w:rPr>
          <w:rFonts w:ascii="Noto Sans Arabic" w:hAnsi="Noto Sans Arabic" w:cs="Noto Sans Arabic"/>
          <w:b w:val="0"/>
          <w:color w:val="22262D"/>
          <w:sz w:val="20"/>
        </w:rPr>
        <w:t xml:space="preserve"> </w:t>
      </w:r>
      <w:r>
        <w:rPr>
          <w:rFonts w:ascii="Noto Sans Arabic" w:hAnsi="Noto Sans Arabic" w:cs="Noto Sans Arabic"/>
          <w:b/>
          <w:color w:val="22262D"/>
          <w:sz w:val="20"/>
        </w:rPr>
        <w:t>`health/`</w:t>
      </w:r>
      <w:r>
        <w:rPr>
          <w:rFonts w:ascii="Noto Sans Arabic" w:hAnsi="Noto Sans Arabic" w:cs="Noto Sans Arabic"/>
          <w:b w:val="0"/>
          <w:color w:val="22262D"/>
          <w:sz w:val="20"/>
        </w:rPr>
        <w:t xml:space="preserve">. All </w:t>
      </w:r>
      <w:r>
        <w:rPr>
          <w:rFonts w:ascii="Noto Sans Arabic" w:hAnsi="Noto Sans Arabic" w:cs="Noto Sans Arabic"/>
          <w:b/>
          <w:color w:val="22262D"/>
          <w:sz w:val="20"/>
        </w:rPr>
        <w:t>28 logical Capabilities</w:t>
      </w:r>
      <w:r>
        <w:rPr>
          <w:rFonts w:ascii="Noto Sans Arabic" w:hAnsi="Noto Sans Arabic" w:cs="Noto Sans Arabic"/>
          <w:b w:val="0"/>
          <w:color w:val="22262D"/>
          <w:sz w:val="20"/>
        </w:rPr>
        <w:t xml:space="preserve"> remain within capability architecture; there is no automatic database or service per capability.</w:t>
      </w:r>
    </w:p>
    <w:p>
      <w:pPr>
        <w:pStyle w:val="ListBullet"/>
        <w:spacing w:after="80" w:before="0" w:line="276" w:lineRule="auto"/>
        <w:jc w:val="left"/>
      </w:pPr>
      <w:r>
        <w:rPr>
          <w:rFonts w:ascii="Noto Sans Arabic" w:hAnsi="Noto Sans Arabic" w:cs="Noto Sans Arabic"/>
          <w:b/>
          <w:color w:val="22262D"/>
          <w:sz w:val="20"/>
        </w:rPr>
        <w:t>Explainability / Evidence →</w:t>
      </w:r>
      <w:r>
        <w:rPr>
          <w:rFonts w:ascii="Noto Sans Arabic" w:hAnsi="Noto Sans Arabic" w:cs="Noto Sans Arabic"/>
          <w:b w:val="0"/>
          <w:color w:val="22262D"/>
          <w:sz w:val="20"/>
        </w:rPr>
        <w:t xml:space="preserve"> </w:t>
      </w:r>
      <w:r>
        <w:rPr>
          <w:rFonts w:ascii="Noto Sans Arabic" w:hAnsi="Noto Sans Arabic" w:cs="Noto Sans Arabic"/>
          <w:b/>
          <w:color w:val="22262D"/>
          <w:sz w:val="20"/>
        </w:rPr>
        <w:t>`database/explainability/`</w:t>
      </w:r>
      <w:r>
        <w:rPr>
          <w:rFonts w:ascii="Noto Sans Arabic" w:hAnsi="Noto Sans Arabic" w:cs="Noto Sans Arabic"/>
          <w:b w:val="0"/>
          <w:color w:val="22262D"/>
          <w:sz w:val="20"/>
        </w:rPr>
        <w:t>. Cross-domain relationships remain traceable as Result → Why → Evidence → Source without moving authoritative business state into Explainability.</w:t>
      </w:r>
    </w:p>
    <w:p>
      <w:pPr>
        <w:pStyle w:val="ListBullet"/>
        <w:spacing w:after="80" w:before="0" w:line="276" w:lineRule="auto"/>
        <w:jc w:val="left"/>
      </w:pPr>
      <w:r>
        <w:rPr>
          <w:rFonts w:ascii="Noto Sans Arabic" w:hAnsi="Noto Sans Arabic" w:cs="Noto Sans Arabic"/>
          <w:b/>
          <w:color w:val="22262D"/>
          <w:sz w:val="20"/>
        </w:rPr>
        <w:t>Audit →</w:t>
      </w:r>
      <w:r>
        <w:rPr>
          <w:rFonts w:ascii="Noto Sans Arabic" w:hAnsi="Noto Sans Arabic" w:cs="Noto Sans Arabic"/>
          <w:b w:val="0"/>
          <w:color w:val="22262D"/>
          <w:sz w:val="20"/>
        </w:rPr>
        <w:t xml:space="preserve"> </w:t>
      </w:r>
      <w:r>
        <w:rPr>
          <w:rFonts w:ascii="Noto Sans Arabic" w:hAnsi="Noto Sans Arabic" w:cs="Noto Sans Arabic"/>
          <w:b/>
          <w:color w:val="22262D"/>
          <w:sz w:val="20"/>
        </w:rPr>
        <w:t>`database/audit/`</w:t>
      </w:r>
      <w:r>
        <w:rPr>
          <w:rFonts w:ascii="Noto Sans Arabic" w:hAnsi="Noto Sans Arabic" w:cs="Noto Sans Arabic"/>
          <w:b w:val="0"/>
          <w:color w:val="22262D"/>
          <w:sz w:val="20"/>
        </w:rPr>
        <w:t xml:space="preserve">, </w:t>
      </w:r>
      <w:r>
        <w:rPr>
          <w:rFonts w:ascii="Noto Sans Arabic" w:hAnsi="Noto Sans Arabic" w:cs="Noto Sans Arabic"/>
          <w:b/>
          <w:color w:val="22262D"/>
          <w:sz w:val="20"/>
        </w:rPr>
        <w:t>Lineage →</w:t>
      </w:r>
      <w:r>
        <w:rPr>
          <w:rFonts w:ascii="Noto Sans Arabic" w:hAnsi="Noto Sans Arabic" w:cs="Noto Sans Arabic"/>
          <w:b w:val="0"/>
          <w:color w:val="22262D"/>
          <w:sz w:val="20"/>
        </w:rPr>
        <w:t xml:space="preserve"> </w:t>
      </w:r>
      <w:r>
        <w:rPr>
          <w:rFonts w:ascii="Noto Sans Arabic" w:hAnsi="Noto Sans Arabic" w:cs="Noto Sans Arabic"/>
          <w:b/>
          <w:color w:val="22262D"/>
          <w:sz w:val="20"/>
        </w:rPr>
        <w:t>`database/lineage/`</w:t>
      </w:r>
      <w:r>
        <w:rPr>
          <w:rFonts w:ascii="Noto Sans Arabic" w:hAnsi="Noto Sans Arabic" w:cs="Noto Sans Arabic"/>
          <w:b w:val="0"/>
          <w:color w:val="22262D"/>
          <w:sz w:val="20"/>
        </w:rPr>
        <w:t xml:space="preserve">, </w:t>
      </w:r>
      <w:r>
        <w:rPr>
          <w:rFonts w:ascii="Noto Sans Arabic" w:hAnsi="Noto Sans Arabic" w:cs="Noto Sans Arabic"/>
          <w:b/>
          <w:color w:val="22262D"/>
          <w:sz w:val="20"/>
        </w:rPr>
        <w:t>History →</w:t>
      </w:r>
      <w:r>
        <w:rPr>
          <w:rFonts w:ascii="Noto Sans Arabic" w:hAnsi="Noto Sans Arabic" w:cs="Noto Sans Arabic"/>
          <w:b w:val="0"/>
          <w:color w:val="22262D"/>
          <w:sz w:val="20"/>
        </w:rPr>
        <w:t xml:space="preserve"> </w:t>
      </w:r>
      <w:r>
        <w:rPr>
          <w:rFonts w:ascii="Noto Sans Arabic" w:hAnsi="Noto Sans Arabic" w:cs="Noto Sans Arabic"/>
          <w:b/>
          <w:color w:val="22262D"/>
          <w:sz w:val="20"/>
        </w:rPr>
        <w:t>`database/history/`</w:t>
      </w:r>
      <w:r>
        <w:rPr>
          <w:rFonts w:ascii="Noto Sans Arabic" w:hAnsi="Noto Sans Arabic" w:cs="Noto Sans Arabic"/>
          <w:b w:val="0"/>
          <w:color w:val="22262D"/>
          <w:sz w:val="20"/>
        </w:rPr>
        <w:t xml:space="preserve">, </w:t>
      </w:r>
      <w:r>
        <w:rPr>
          <w:rFonts w:ascii="Noto Sans Arabic" w:hAnsi="Noto Sans Arabic" w:cs="Noto Sans Arabic"/>
          <w:b/>
          <w:color w:val="22262D"/>
          <w:sz w:val="20"/>
        </w:rPr>
        <w:t>Cache →</w:t>
      </w:r>
      <w:r>
        <w:rPr>
          <w:rFonts w:ascii="Noto Sans Arabic" w:hAnsi="Noto Sans Arabic" w:cs="Noto Sans Arabic"/>
          <w:b w:val="0"/>
          <w:color w:val="22262D"/>
          <w:sz w:val="20"/>
        </w:rPr>
        <w:t xml:space="preserve"> </w:t>
      </w:r>
      <w:r>
        <w:rPr>
          <w:rFonts w:ascii="Noto Sans Arabic" w:hAnsi="Noto Sans Arabic" w:cs="Noto Sans Arabic"/>
          <w:b/>
          <w:color w:val="22262D"/>
          <w:sz w:val="20"/>
        </w:rPr>
        <w:t>`database/cache/`</w:t>
      </w:r>
      <w:r>
        <w:rPr>
          <w:rFonts w:ascii="Noto Sans Arabic" w:hAnsi="Noto Sans Arabic" w:cs="Noto Sans Arabic"/>
          <w:b w:val="0"/>
          <w:color w:val="22262D"/>
          <w:sz w:val="20"/>
        </w:rPr>
        <w:t xml:space="preserve">, </w:t>
      </w:r>
      <w:r>
        <w:rPr>
          <w:rFonts w:ascii="Noto Sans Arabic" w:hAnsi="Noto Sans Arabic" w:cs="Noto Sans Arabic"/>
          <w:b/>
          <w:color w:val="22262D"/>
          <w:sz w:val="20"/>
        </w:rPr>
        <w:t>Archive →</w:t>
      </w:r>
      <w:r>
        <w:rPr>
          <w:rFonts w:ascii="Noto Sans Arabic" w:hAnsi="Noto Sans Arabic" w:cs="Noto Sans Arabic"/>
          <w:b w:val="0"/>
          <w:color w:val="22262D"/>
          <w:sz w:val="20"/>
        </w:rPr>
        <w:t xml:space="preserve"> </w:t>
      </w:r>
      <w:r>
        <w:rPr>
          <w:rFonts w:ascii="Noto Sans Arabic" w:hAnsi="Noto Sans Arabic" w:cs="Noto Sans Arabic"/>
          <w:b/>
          <w:color w:val="22262D"/>
          <w:sz w:val="20"/>
        </w:rPr>
        <w:t>`database/archive/`</w:t>
      </w:r>
      <w:r>
        <w:rPr>
          <w:rFonts w:ascii="Noto Sans Arabic" w:hAnsi="Noto Sans Arabic" w:cs="Noto Sans Arabic"/>
          <w:b w:val="0"/>
          <w:color w:val="22262D"/>
          <w:sz w:val="20"/>
        </w:rPr>
        <w:t xml:space="preserve"> preserve their prior roles. Cache remains read acceleration, never source of truth.</w:t>
      </w:r>
    </w:p>
    <w:p>
      <w:pPr>
        <w:pStyle w:val="ListBullet"/>
        <w:spacing w:after="80" w:before="0" w:line="276" w:lineRule="auto"/>
        <w:jc w:val="left"/>
      </w:pPr>
      <w:r>
        <w:rPr>
          <w:rFonts w:ascii="Noto Sans Arabic" w:hAnsi="Noto Sans Arabic" w:cs="Noto Sans Arabic"/>
          <w:b/>
          <w:color w:val="22262D"/>
          <w:sz w:val="20"/>
        </w:rPr>
        <w:t>Frontend has zero direct database ownership or read path.</w:t>
      </w:r>
      <w:r>
        <w:rPr>
          <w:rFonts w:ascii="Noto Sans Arabic" w:hAnsi="Noto Sans Arabic" w:cs="Noto Sans Arabic"/>
          <w:b w:val="0"/>
          <w:color w:val="22262D"/>
          <w:sz w:val="20"/>
        </w:rPr>
        <w:t xml:space="preserve"> Both Public and Admin/Review frontends consume backend API/projection boundaries only. Direct frontend → internal intelligence database access remains prohibited.</w:t>
      </w:r>
    </w:p>
    <w:p>
      <w:pPr>
        <w:pStyle w:val="Heading1"/>
        <w:keepNext/>
        <w:spacing w:before="240" w:after="100"/>
        <w:jc w:val="left"/>
      </w:pPr>
      <w:r>
        <w:rPr>
          <w:rFonts w:ascii="Noto Kufi Arabic" w:hAnsi="Noto Kufi Arabic" w:cs="Noto Kufi Arabic"/>
          <w:b/>
          <w:color w:val="8E6D27"/>
          <w:sz w:val="36"/>
        </w:rPr>
        <w:t>Public vs Admin/Review Exposure Diagram</w:t>
      </w:r>
    </w:p>
    <w:tbl>
      <w:tblPr>
        <w:tblW w:type="auto" w:w="0"/>
        <w:jc w:val="center"/>
        <w:tblLayout w:type="fixed"/>
        <w:tblLook w:firstColumn="1" w:firstRow="1" w:lastColumn="0" w:lastRow="0" w:noHBand="0" w:noVBand="1" w:val="04A0"/>
      </w:tblPr>
      <w:tblGrid>
        <w:gridCol w:w="9866"/>
      </w:tblGrid>
      <w:tr>
        <w:tc>
          <w:tcPr>
            <w:tcW w:type="dxa" w:w="9866"/>
            <w:shd w:fill="F1F3F5"/>
            <w:tcMar>
              <w:top w:w="90" w:type="dxa"/>
              <w:start w:w="100" w:type="dxa"/>
              <w:bottom w:w="90" w:type="dxa"/>
              <w:end w:w="100" w:type="dxa"/>
            </w:tcMar>
          </w:tcPr>
          <w:p>
            <w:pPr>
              <w:spacing w:after="0" w:line="228" w:lineRule="auto"/>
              <w:jc w:val="left"/>
            </w:pPr>
            <w:r>
              <w:rPr>
                <w:rFonts w:ascii="DejaVu Sans Mono" w:hAnsi="DejaVu Sans Mono" w:cs="DejaVu Sans Mono"/>
                <w:b w:val="0"/>
                <w:color w:val="30343B"/>
                <w:sz w:val="12"/>
              </w:rPr>
              <w:t xml:space="preserve">                         RBAC / AUTHORIZATION</w:t>
              <w:br/>
              <w:t xml:space="preserve">                         /                  \</w:t>
              <w:br/>
              <w:t xml:space="preserve">                        /                    \</w:t>
              <w:br/>
              <w:t xml:space="preserve">                       ▼                      ▼</w:t>
              <w:br/>
              <w:br/>
              <w:t xml:space="preserve">                PUBLIC EXPOSURE        ADMIN / REVIEW EXPOSURE</w:t>
              <w:br/>
              <w:t xml:space="preserve">                ───────────────        ───────────────────────</w:t>
              <w:br/>
              <w:br/>
              <w:t>CORE Official Direction               TDL</w:t>
              <w:br/>
              <w:t>Authority Boundary                    ├─ Investment Mode</w:t>
              <w:br/>
              <w:t xml:space="preserve">        │                              └─ Speculation Mode</w:t>
              <w:br/>
              <w:t xml:space="preserve">        ▼</w:t>
              <w:br/>
              <w:t xml:space="preserve">    Governance                        NMP</w:t>
              <w:br/>
              <w:t xml:space="preserve">        │                             ├─ FROZEN</w:t>
              <w:br/>
              <w:t xml:space="preserve">        │                             └─ Experimental / Review</w:t>
              <w:br/>
              <w:t xml:space="preserve">        ▼</w:t>
              <w:br/>
              <w:t>Governance-authorized                 Shadow</w:t>
              <w:br/>
              <w:t>CORE Public Projection                └─ Internal logic TBD</w:t>
              <w:br/>
              <w:t xml:space="preserve">        │</w:t>
              <w:br/>
              <w:t xml:space="preserve">        ▼                             Review</w:t>
              <w:br/>
              <w:t xml:space="preserve">    Public API                        └─ Internal logic TBD</w:t>
              <w:br/>
              <w:t xml:space="preserve">        │</w:t>
              <w:br/>
              <w:t xml:space="preserve">        ▼                                  │</w:t>
              <w:br/>
              <w:t xml:space="preserve"> Public Frontend                           ▼</w:t>
              <w:br/>
              <w:t xml:space="preserve">                                          Admin / Review</w:t>
              <w:br/>
              <w:t xml:space="preserve"> ONLY CORE public                          Projection</w:t>
              <w:br/>
              <w:t xml:space="preserve"> projection may                           │</w:t>
              <w:br/>
              <w:t xml:space="preserve"> reach this path.                         ▼</w:t>
              <w:br/>
              <w:t xml:space="preserve">                                     Admin / Review API</w:t>
              <w:br/>
              <w:t xml:space="preserve">                                          │</w:t>
              <w:br/>
              <w:t xml:space="preserve">                                          ▼</w:t>
              <w:br/>
              <w:t xml:space="preserve">                                     Admin / Review</w:t>
              <w:br/>
              <w:t xml:space="preserve">                                        Frontend</w:t>
              <w:br/>
              <w:br/>
              <w:br/>
              <w:t>PROHIBITED PUBLIC FLOWS</w:t>
              <w:br/>
              <w:t>───────────────────────</w:t>
              <w:br/>
              <w:t>TDL ──────────────X──► CORE Public Projection</w:t>
              <w:br/>
              <w:t>NMP ──────────────X──► CORE Public Projection</w:t>
              <w:br/>
              <w:t>Shadow ───────────X──► CORE Public Projection</w:t>
              <w:br/>
              <w:t>Review ───────────X──► CORE Public Projection</w:t>
              <w:br/>
              <w:br/>
              <w:t>NMP ──────────────X──► Public API</w:t>
              <w:br/>
              <w:t>Internal DB ──────X──► Public Frontend</w:t>
              <w:br/>
              <w:t>Internal DB ──────X──► Admin/Review Frontend</w:t>
              <w:br/>
              <w:br/>
              <w:t>AUTHORIZED INTERNAL FLOW</w:t>
              <w:br/>
              <w:t>────────────────────────</w:t>
              <w:br/>
              <w:t>TDL / NMP / Shadow / Review</w:t>
              <w:br/>
              <w:t xml:space="preserve">        │</w:t>
              <w:br/>
              <w:t xml:space="preserve">        ▼</w:t>
              <w:br/>
              <w:t>authorization + governance controls</w:t>
              <w:br/>
              <w:t xml:space="preserve">        │</w:t>
              <w:br/>
              <w:t xml:space="preserve">        ▼</w:t>
              <w:br/>
              <w:t>Admin / Review Projection</w:t>
              <w:br/>
              <w:t xml:space="preserve">        │</w:t>
              <w:br/>
              <w:t xml:space="preserve">        ▼</w:t>
              <w:br/>
              <w:t>Admin / Review API</w:t>
              <w:br/>
              <w:t xml:space="preserve">        │</w:t>
              <w:br/>
              <w:t xml:space="preserve">        ▼</w:t>
              <w:br/>
              <w:t>Admin / Review Frontend</w:t>
            </w:r>
          </w:p>
        </w:tc>
      </w:tr>
    </w:tbl>
    <w:p>
      <w:pPr>
        <w:pStyle w:val="Heading1"/>
        <w:keepNext/>
        <w:spacing w:before="240" w:after="100"/>
        <w:jc w:val="left"/>
      </w:pPr>
      <w:r>
        <w:rPr>
          <w:rFonts w:ascii="Noto Kufi Arabic" w:hAnsi="Noto Kufi Arabic" w:cs="Noto Kufi Arabic"/>
          <w:b/>
          <w:color w:val="8E6D27"/>
          <w:sz w:val="36"/>
        </w:rPr>
        <w:t>TBD items requiring technical freeze verification</w:t>
      </w:r>
    </w:p>
    <w:p>
      <w:pPr>
        <w:pStyle w:val="ListBullet"/>
        <w:spacing w:after="80" w:before="0" w:line="276" w:lineRule="auto"/>
        <w:jc w:val="left"/>
      </w:pPr>
      <w:r>
        <w:rPr>
          <w:rFonts w:ascii="Noto Sans Arabic" w:hAnsi="Noto Sans Arabic" w:cs="Noto Sans Arabic"/>
          <w:b/>
          <w:color w:val="22262D"/>
          <w:sz w:val="20"/>
        </w:rPr>
        <w:t>CORE Official Direction authoritative producer</w:t>
      </w:r>
      <w:r>
        <w:rPr>
          <w:rFonts w:ascii="Noto Sans Arabic" w:hAnsi="Noto Sans Arabic" w:cs="Noto Sans Arabic"/>
          <w:b w:val="0"/>
          <w:color w:val="22262D"/>
          <w:sz w:val="20"/>
        </w:rPr>
        <w:t xml:space="preserve"> — </w:t>
      </w:r>
      <w:r>
        <w:rPr>
          <w:rFonts w:ascii="DejaVu Sans Mono" w:hAnsi="DejaVu Sans Mono" w:cs="DejaVu Sans Mono"/>
          <w:b w:val="0"/>
          <w:color w:val="8E6D27"/>
          <w:sz w:val="18"/>
        </w:rPr>
        <w:t>TBD — requires technical freeze evidence</w:t>
      </w:r>
      <w:r>
        <w:rPr>
          <w:rFonts w:ascii="Noto Sans Arabic" w:hAnsi="Noto Sans Arabic" w:cs="Noto Sans Arabic"/>
          <w:b w:val="0"/>
          <w:color w:val="22262D"/>
          <w:sz w:val="20"/>
        </w:rPr>
        <w:t>.</w:t>
      </w:r>
    </w:p>
    <w:p>
      <w:pPr>
        <w:pStyle w:val="ListBullet"/>
        <w:spacing w:after="80" w:before="0" w:line="276" w:lineRule="auto"/>
        <w:jc w:val="left"/>
      </w:pPr>
      <w:r>
        <w:rPr>
          <w:rFonts w:ascii="Noto Sans Arabic" w:hAnsi="Noto Sans Arabic" w:cs="Noto Sans Arabic"/>
          <w:b/>
          <w:color w:val="22262D"/>
          <w:sz w:val="20"/>
        </w:rPr>
        <w:t>CORE Official Direction authoritative source and ownership/storage location</w:t>
      </w:r>
      <w:r>
        <w:rPr>
          <w:rFonts w:ascii="Noto Sans Arabic" w:hAnsi="Noto Sans Arabic" w:cs="Noto Sans Arabic"/>
          <w:b w:val="0"/>
          <w:color w:val="22262D"/>
          <w:sz w:val="20"/>
        </w:rPr>
        <w:t xml:space="preserve"> — </w:t>
      </w:r>
      <w:r>
        <w:rPr>
          <w:rFonts w:ascii="DejaVu Sans Mono" w:hAnsi="DejaVu Sans Mono" w:cs="DejaVu Sans Mono"/>
          <w:b w:val="0"/>
          <w:color w:val="8E6D27"/>
          <w:sz w:val="18"/>
        </w:rPr>
        <w:t>TBD — requires technical freeze evidence</w:t>
      </w:r>
      <w:r>
        <w:rPr>
          <w:rFonts w:ascii="Noto Sans Arabic" w:hAnsi="Noto Sans Arabic" w:cs="Noto Sans Arabic"/>
          <w:b w:val="0"/>
          <w:color w:val="22262D"/>
          <w:sz w:val="20"/>
        </w:rPr>
        <w:t>.</w:t>
      </w:r>
    </w:p>
    <w:p>
      <w:pPr>
        <w:pStyle w:val="ListBullet"/>
        <w:spacing w:after="80" w:before="0" w:line="276" w:lineRule="auto"/>
        <w:jc w:val="left"/>
      </w:pPr>
      <w:r>
        <w:rPr>
          <w:rFonts w:ascii="Noto Sans Arabic" w:hAnsi="Noto Sans Arabic" w:cs="Noto Sans Arabic"/>
          <w:b/>
          <w:color w:val="22262D"/>
          <w:sz w:val="20"/>
        </w:rPr>
        <w:t>CORE Official Direction internal/authoritative contract</w:t>
      </w:r>
      <w:r>
        <w:rPr>
          <w:rFonts w:ascii="Noto Sans Arabic" w:hAnsi="Noto Sans Arabic" w:cs="Noto Sans Arabic"/>
          <w:b w:val="0"/>
          <w:color w:val="22262D"/>
          <w:sz w:val="20"/>
        </w:rPr>
        <w:t xml:space="preserve"> — </w:t>
      </w:r>
      <w:r>
        <w:rPr>
          <w:rFonts w:ascii="DejaVu Sans Mono" w:hAnsi="DejaVu Sans Mono" w:cs="DejaVu Sans Mono"/>
          <w:b w:val="0"/>
          <w:color w:val="8E6D27"/>
          <w:sz w:val="18"/>
        </w:rPr>
        <w:t>TBD — requires technical freeze evidence</w:t>
      </w:r>
      <w:r>
        <w:rPr>
          <w:rFonts w:ascii="Noto Sans Arabic" w:hAnsi="Noto Sans Arabic" w:cs="Noto Sans Arabic"/>
          <w:b w:val="0"/>
          <w:color w:val="22262D"/>
          <w:sz w:val="20"/>
        </w:rPr>
        <w:t>.</w:t>
      </w:r>
    </w:p>
    <w:p>
      <w:pPr>
        <w:pStyle w:val="ListBullet"/>
        <w:spacing w:after="80" w:before="0" w:line="276" w:lineRule="auto"/>
        <w:jc w:val="left"/>
      </w:pPr>
      <w:r>
        <w:rPr>
          <w:rFonts w:ascii="Noto Sans Arabic" w:hAnsi="Noto Sans Arabic" w:cs="Noto Sans Arabic"/>
          <w:b/>
          <w:color w:val="22262D"/>
          <w:sz w:val="20"/>
        </w:rPr>
        <w:t>Exact TDL Investment Mode behavior, formulas, activation rules and contract</w:t>
      </w:r>
      <w:r>
        <w:rPr>
          <w:rFonts w:ascii="Noto Sans Arabic" w:hAnsi="Noto Sans Arabic" w:cs="Noto Sans Arabic"/>
          <w:b w:val="0"/>
          <w:color w:val="22262D"/>
          <w:sz w:val="20"/>
        </w:rPr>
        <w:t xml:space="preserve"> — </w:t>
      </w:r>
      <w:r>
        <w:rPr>
          <w:rFonts w:ascii="DejaVu Sans Mono" w:hAnsi="DejaVu Sans Mono" w:cs="DejaVu Sans Mono"/>
          <w:b w:val="0"/>
          <w:color w:val="8E6D27"/>
          <w:sz w:val="18"/>
        </w:rPr>
        <w:t>TBD — requires technical freeze evidence</w:t>
      </w:r>
      <w:r>
        <w:rPr>
          <w:rFonts w:ascii="Noto Sans Arabic" w:hAnsi="Noto Sans Arabic" w:cs="Noto Sans Arabic"/>
          <w:b w:val="0"/>
          <w:color w:val="22262D"/>
          <w:sz w:val="20"/>
        </w:rPr>
        <w:t>.</w:t>
      </w:r>
    </w:p>
    <w:p>
      <w:pPr>
        <w:pStyle w:val="ListBullet"/>
        <w:spacing w:after="80" w:before="0" w:line="276" w:lineRule="auto"/>
        <w:jc w:val="left"/>
      </w:pPr>
      <w:r>
        <w:rPr>
          <w:rFonts w:ascii="Noto Sans Arabic" w:hAnsi="Noto Sans Arabic" w:cs="Noto Sans Arabic"/>
          <w:b/>
          <w:color w:val="22262D"/>
          <w:sz w:val="20"/>
        </w:rPr>
        <w:t>Exact TDL Speculation Mode behavior, formulas, activation rules and contract</w:t>
      </w:r>
      <w:r>
        <w:rPr>
          <w:rFonts w:ascii="Noto Sans Arabic" w:hAnsi="Noto Sans Arabic" w:cs="Noto Sans Arabic"/>
          <w:b w:val="0"/>
          <w:color w:val="22262D"/>
          <w:sz w:val="20"/>
        </w:rPr>
        <w:t xml:space="preserve"> — </w:t>
      </w:r>
      <w:r>
        <w:rPr>
          <w:rFonts w:ascii="DejaVu Sans Mono" w:hAnsi="DejaVu Sans Mono" w:cs="DejaVu Sans Mono"/>
          <w:b w:val="0"/>
          <w:color w:val="8E6D27"/>
          <w:sz w:val="18"/>
        </w:rPr>
        <w:t>TBD — requires technical freeze evidence</w:t>
      </w:r>
      <w:r>
        <w:rPr>
          <w:rFonts w:ascii="Noto Sans Arabic" w:hAnsi="Noto Sans Arabic" w:cs="Noto Sans Arabic"/>
          <w:b w:val="0"/>
          <w:color w:val="22262D"/>
          <w:sz w:val="20"/>
        </w:rPr>
        <w:t>.</w:t>
      </w:r>
    </w:p>
    <w:p>
      <w:pPr>
        <w:pStyle w:val="ListBullet"/>
        <w:spacing w:after="80" w:before="0" w:line="276" w:lineRule="auto"/>
        <w:jc w:val="left"/>
      </w:pPr>
      <w:r>
        <w:rPr>
          <w:rFonts w:ascii="Noto Sans Arabic" w:hAnsi="Noto Sans Arabic" w:cs="Noto Sans Arabic"/>
          <w:b/>
          <w:color w:val="22262D"/>
          <w:sz w:val="20"/>
        </w:rPr>
        <w:t>Exact Shadow internal business logic, producer, contract and data ownership</w:t>
      </w:r>
      <w:r>
        <w:rPr>
          <w:rFonts w:ascii="Noto Sans Arabic" w:hAnsi="Noto Sans Arabic" w:cs="Noto Sans Arabic"/>
          <w:b w:val="0"/>
          <w:color w:val="22262D"/>
          <w:sz w:val="20"/>
        </w:rPr>
        <w:t xml:space="preserve"> — </w:t>
      </w:r>
      <w:r>
        <w:rPr>
          <w:rFonts w:ascii="DejaVu Sans Mono" w:hAnsi="DejaVu Sans Mono" w:cs="DejaVu Sans Mono"/>
          <w:b w:val="0"/>
          <w:color w:val="8E6D27"/>
          <w:sz w:val="18"/>
        </w:rPr>
        <w:t>TBD — requires technical freeze evidence</w:t>
      </w:r>
      <w:r>
        <w:rPr>
          <w:rFonts w:ascii="Noto Sans Arabic" w:hAnsi="Noto Sans Arabic" w:cs="Noto Sans Arabic"/>
          <w:b w:val="0"/>
          <w:color w:val="22262D"/>
          <w:sz w:val="20"/>
        </w:rPr>
        <w:t>.</w:t>
      </w:r>
    </w:p>
    <w:p>
      <w:pPr>
        <w:pStyle w:val="ListBullet"/>
        <w:spacing w:after="80" w:before="0" w:line="276" w:lineRule="auto"/>
        <w:jc w:val="left"/>
      </w:pPr>
      <w:r>
        <w:rPr>
          <w:rFonts w:ascii="Noto Sans Arabic" w:hAnsi="Noto Sans Arabic" w:cs="Noto Sans Arabic"/>
          <w:b/>
          <w:color w:val="22262D"/>
          <w:sz w:val="20"/>
        </w:rPr>
        <w:t>Exact Review internal business logic, producer, contract and data ownership</w:t>
      </w:r>
      <w:r>
        <w:rPr>
          <w:rFonts w:ascii="Noto Sans Arabic" w:hAnsi="Noto Sans Arabic" w:cs="Noto Sans Arabic"/>
          <w:b w:val="0"/>
          <w:color w:val="22262D"/>
          <w:sz w:val="20"/>
        </w:rPr>
        <w:t xml:space="preserve"> — </w:t>
      </w:r>
      <w:r>
        <w:rPr>
          <w:rFonts w:ascii="DejaVu Sans Mono" w:hAnsi="DejaVu Sans Mono" w:cs="DejaVu Sans Mono"/>
          <w:b w:val="0"/>
          <w:color w:val="8E6D27"/>
          <w:sz w:val="18"/>
        </w:rPr>
        <w:t>TBD — requires technical freeze evidence</w:t>
      </w:r>
      <w:r>
        <w:rPr>
          <w:rFonts w:ascii="Noto Sans Arabic" w:hAnsi="Noto Sans Arabic" w:cs="Noto Sans Arabic"/>
          <w:b w:val="0"/>
          <w:color w:val="22262D"/>
          <w:sz w:val="20"/>
        </w:rPr>
        <w:t>.</w:t>
      </w:r>
    </w:p>
    <w:p>
      <w:pPr>
        <w:pStyle w:val="ListBullet"/>
        <w:spacing w:after="80" w:before="0" w:line="276" w:lineRule="auto"/>
        <w:jc w:val="left"/>
      </w:pPr>
      <w:r>
        <w:rPr>
          <w:rFonts w:ascii="Noto Sans Arabic" w:hAnsi="Noto Sans Arabic" w:cs="Noto Sans Arabic"/>
          <w:b/>
          <w:color w:val="22262D"/>
          <w:sz w:val="20"/>
        </w:rPr>
        <w:t>Detailed RBAC role/permission matrix for Public vs Admin vs Review identities</w:t>
      </w:r>
      <w:r>
        <w:rPr>
          <w:rFonts w:ascii="Noto Sans Arabic" w:hAnsi="Noto Sans Arabic" w:cs="Noto Sans Arabic"/>
          <w:b w:val="0"/>
          <w:color w:val="22262D"/>
          <w:sz w:val="20"/>
        </w:rPr>
        <w:t xml:space="preserve"> — </w:t>
      </w:r>
      <w:r>
        <w:rPr>
          <w:rFonts w:ascii="DejaVu Sans Mono" w:hAnsi="DejaVu Sans Mono" w:cs="DejaVu Sans Mono"/>
          <w:b w:val="0"/>
          <w:color w:val="8E6D27"/>
          <w:sz w:val="18"/>
        </w:rPr>
        <w:t>TBD — requires technical freeze evidence</w:t>
      </w:r>
      <w:r>
        <w:rPr>
          <w:rFonts w:ascii="Noto Sans Arabic" w:hAnsi="Noto Sans Arabic" w:cs="Noto Sans Arabic"/>
          <w:b w:val="0"/>
          <w:color w:val="22262D"/>
          <w:sz w:val="20"/>
        </w:rPr>
        <w:t>; only the architectural separation and authorization requirement are frozen at this level.</w:t>
      </w:r>
    </w:p>
    <w:p>
      <w:pPr>
        <w:pStyle w:val="ListBullet"/>
        <w:spacing w:after="80" w:before="0" w:line="276" w:lineRule="auto"/>
        <w:jc w:val="left"/>
      </w:pPr>
      <w:r>
        <w:rPr>
          <w:rFonts w:ascii="Noto Sans Arabic" w:hAnsi="Noto Sans Arabic" w:cs="Noto Sans Arabic"/>
          <w:b/>
          <w:color w:val="22262D"/>
          <w:sz w:val="20"/>
        </w:rPr>
        <w:t>Exact Admin/Review projection contract contents beyond the mandated inclusion class of authorized TDL, Experimental/Review NMP, Shadow and Review information</w:t>
      </w:r>
      <w:r>
        <w:rPr>
          <w:rFonts w:ascii="Noto Sans Arabic" w:hAnsi="Noto Sans Arabic" w:cs="Noto Sans Arabic"/>
          <w:b w:val="0"/>
          <w:color w:val="22262D"/>
          <w:sz w:val="20"/>
        </w:rPr>
        <w:t xml:space="preserve"> — </w:t>
      </w:r>
      <w:r>
        <w:rPr>
          <w:rFonts w:ascii="DejaVu Sans Mono" w:hAnsi="DejaVu Sans Mono" w:cs="DejaVu Sans Mono"/>
          <w:b w:val="0"/>
          <w:color w:val="8E6D27"/>
          <w:sz w:val="18"/>
        </w:rPr>
        <w:t>TBD — requires technical freeze evidence</w:t>
      </w:r>
      <w:r>
        <w:rPr>
          <w:rFonts w:ascii="Noto Sans Arabic" w:hAnsi="Noto Sans Arabic" w:cs="Noto Sans Arabic"/>
          <w:b w:val="0"/>
          <w:color w:val="22262D"/>
          <w:sz w:val="20"/>
        </w:rPr>
        <w:t>.</w:t>
      </w:r>
    </w:p>
    <w:p>
      <w:r>
        <w:br w:type="page"/>
      </w:r>
    </w:p>
    <w:p>
      <w:pPr>
        <w:pStyle w:val="Heading1"/>
        <w:keepNext/>
        <w:spacing w:before="240" w:after="100"/>
        <w:jc w:val="left"/>
      </w:pPr>
      <w:r>
        <w:rPr>
          <w:rFonts w:ascii="Noto Kufi Arabic" w:hAnsi="Noto Kufi Arabic" w:cs="Noto Kufi Arabic"/>
          <w:b/>
          <w:color w:val="8E6D27"/>
          <w:sz w:val="36"/>
        </w:rPr>
        <w:t>PART II — UI/UX + Visual Design Governance (Final Integrated Design Reference)</w:t>
      </w:r>
    </w:p>
    <w:p>
      <w:pPr>
        <w:pStyle w:val="Heading1"/>
        <w:keepNext/>
        <w:bidi w:val="1"/>
        <w:spacing w:before="240" w:after="100"/>
        <w:jc w:val="right"/>
      </w:pPr>
      <w:r>
        <w:rPr>
          <w:rFonts w:ascii="Noto Kufi Arabic" w:hAnsi="Noto Kufi Arabic" w:cs="Noto Kufi Arabic"/>
          <w:b/>
          <w:color w:val="8E6D27"/>
          <w:sz w:val="36"/>
        </w:rPr>
        <w:t>NDSP — حوكمة معمارية تجربة المستخدم والتصميم البصري وتصميم الصفحات</w:t>
      </w:r>
    </w:p>
    <w:p>
      <w:pPr>
        <w:bidi w:val="1"/>
        <w:spacing w:after="80" w:before="0" w:line="276" w:lineRule="auto"/>
        <w:jc w:val="right"/>
      </w:pPr>
      <w:r>
        <w:rPr>
          <w:rFonts w:ascii="Noto Sans Arabic" w:hAnsi="Noto Sans Arabic" w:cs="Noto Sans Arabic"/>
          <w:b/>
          <w:color w:val="22262D"/>
          <w:sz w:val="20"/>
        </w:rPr>
        <w:t>الحالة:</w:t>
      </w:r>
      <w:r>
        <w:rPr>
          <w:rFonts w:ascii="Noto Sans Arabic" w:hAnsi="Noto Sans Arabic" w:cs="Noto Sans Arabic"/>
          <w:b w:val="0"/>
          <w:color w:val="22262D"/>
          <w:sz w:val="20"/>
        </w:rPr>
        <w:t xml:space="preserve"> مرجع حوكمة معتمد للتصميم</w:t>
      </w:r>
    </w:p>
    <w:p>
      <w:pPr>
        <w:bidi w:val="1"/>
        <w:spacing w:after="80" w:before="0" w:line="276" w:lineRule="auto"/>
        <w:jc w:val="right"/>
      </w:pPr>
      <w:r>
        <w:rPr>
          <w:rFonts w:ascii="Noto Sans Arabic" w:hAnsi="Noto Sans Arabic" w:cs="Noto Sans Arabic"/>
          <w:b/>
          <w:color w:val="22262D"/>
          <w:sz w:val="20"/>
        </w:rPr>
        <w:t>النطاق:</w:t>
      </w:r>
      <w:r>
        <w:rPr>
          <w:rFonts w:ascii="Noto Sans Arabic" w:hAnsi="Noto Sans Arabic" w:cs="Noto Sans Arabic"/>
          <w:b w:val="0"/>
          <w:color w:val="22262D"/>
          <w:sz w:val="20"/>
        </w:rPr>
        <w:t xml:space="preserve"> UI/UX، Information Architecture، Page Design، Visual Design System، Navigation، Exposure Boundaries</w:t>
      </w:r>
    </w:p>
    <w:p>
      <w:pPr>
        <w:bidi w:val="1"/>
        <w:spacing w:after="80" w:before="0" w:line="276" w:lineRule="auto"/>
        <w:jc w:val="right"/>
      </w:pPr>
      <w:r>
        <w:rPr>
          <w:rFonts w:ascii="Noto Sans Arabic" w:hAnsi="Noto Sans Arabic" w:cs="Noto Sans Arabic"/>
          <w:b/>
          <w:color w:val="22262D"/>
          <w:sz w:val="20"/>
        </w:rPr>
        <w:t>التطبيق:</w:t>
      </w:r>
      <w:r>
        <w:rPr>
          <w:rFonts w:ascii="Noto Sans Arabic" w:hAnsi="Noto Sans Arabic" w:cs="Noto Sans Arabic"/>
          <w:b w:val="0"/>
          <w:color w:val="22262D"/>
          <w:sz w:val="20"/>
        </w:rPr>
        <w:t xml:space="preserve"> Public Experience + Public User Workspace + Admin / Review Experience</w:t>
      </w:r>
    </w:p>
    <w:p>
      <w:pPr>
        <w:bidi w:val="1"/>
        <w:spacing w:after="80" w:before="0" w:line="276" w:lineRule="auto"/>
        <w:jc w:val="right"/>
      </w:pPr>
      <w:r>
        <w:rPr>
          <w:rFonts w:ascii="Noto Sans Arabic" w:hAnsi="Noto Sans Arabic" w:cs="Noto Sans Arabic"/>
          <w:b/>
          <w:color w:val="22262D"/>
          <w:sz w:val="20"/>
        </w:rPr>
        <w:t>القاعدة:</w:t>
      </w:r>
      <w:r>
        <w:rPr>
          <w:rFonts w:ascii="Noto Sans Arabic" w:hAnsi="Noto Sans Arabic" w:cs="Noto Sans Arabic"/>
          <w:b w:val="0"/>
          <w:color w:val="22262D"/>
          <w:sz w:val="20"/>
        </w:rPr>
        <w:t xml:space="preserve"> لا تعدّل هذه الوثيقة العقود التقنية أو منطق الأعمال أو ملكية البيانات المثبتة في التقرير الرئيسي.</w:t>
      </w:r>
    </w:p>
    <w:p>
      <w:pPr>
        <w:pBdr>
          <w:bottom w:val="single" w:sz="8" w:space="1" w:color="B8953F"/>
        </w:pBdr>
        <w:spacing w:after="100"/>
      </w:pPr>
    </w:p>
    <w:p>
      <w:pPr>
        <w:pStyle w:val="Heading1"/>
        <w:keepNext/>
        <w:bidi w:val="1"/>
        <w:spacing w:before="240" w:after="100"/>
        <w:jc w:val="right"/>
      </w:pPr>
      <w:r>
        <w:rPr>
          <w:rFonts w:ascii="Noto Kufi Arabic" w:hAnsi="Noto Kufi Arabic" w:cs="Noto Kufi Arabic"/>
          <w:b/>
          <w:color w:val="8E6D27"/>
          <w:sz w:val="36"/>
        </w:rPr>
        <w:t>1. قاعدة الدمج مع التقرير الرئيسي</w:t>
      </w:r>
    </w:p>
    <w:p>
      <w:pPr>
        <w:bidi w:val="1"/>
        <w:spacing w:after="80" w:before="0" w:line="276" w:lineRule="auto"/>
        <w:jc w:val="right"/>
      </w:pPr>
      <w:r>
        <w:rPr>
          <w:rFonts w:ascii="Noto Sans Arabic" w:hAnsi="Noto Sans Arabic" w:cs="Noto Sans Arabic"/>
          <w:b w:val="0"/>
          <w:color w:val="22262D"/>
          <w:sz w:val="20"/>
        </w:rPr>
        <w:t>هذا القسم يضاف إلى التقرير الاستراتيجي الشامل دون حذف محتوياته.</w:t>
      </w:r>
    </w:p>
    <w:p>
      <w:pPr>
        <w:bidi w:val="1"/>
        <w:spacing w:after="80" w:before="0" w:line="276" w:lineRule="auto"/>
        <w:jc w:val="right"/>
      </w:pPr>
      <w:r>
        <w:rPr>
          <w:rFonts w:ascii="Noto Sans Arabic" w:hAnsi="Noto Sans Arabic" w:cs="Noto Sans Arabic"/>
          <w:b w:val="0"/>
          <w:color w:val="22262D"/>
          <w:sz w:val="20"/>
        </w:rPr>
        <w:t xml:space="preserve">عند وجود تعارض بين تصميم UI/UX قديم في التقرير وبين هذا المرجع، يعتمد هذا المرجع في </w:t>
      </w:r>
      <w:r>
        <w:rPr>
          <w:rFonts w:ascii="Noto Sans Arabic" w:hAnsi="Noto Sans Arabic" w:cs="Noto Sans Arabic"/>
          <w:b/>
          <w:color w:val="22262D"/>
          <w:sz w:val="20"/>
        </w:rPr>
        <w:t>موضوع التصميم فقط</w:t>
      </w:r>
      <w:r>
        <w:rPr>
          <w:rFonts w:ascii="Noto Sans Arabic" w:hAnsi="Noto Sans Arabic" w:cs="Noto Sans Arabic"/>
          <w:b w:val="0"/>
          <w:color w:val="22262D"/>
          <w:sz w:val="20"/>
        </w:rPr>
        <w:t>.</w:t>
      </w:r>
    </w:p>
    <w:p>
      <w:pPr>
        <w:bidi w:val="1"/>
        <w:spacing w:after="80" w:before="0" w:line="276" w:lineRule="auto"/>
        <w:jc w:val="right"/>
      </w:pPr>
      <w:r>
        <w:rPr>
          <w:rFonts w:ascii="Noto Sans Arabic" w:hAnsi="Noto Sans Arabic" w:cs="Noto Sans Arabic"/>
          <w:b w:val="0"/>
          <w:color w:val="22262D"/>
          <w:sz w:val="20"/>
        </w:rPr>
        <w:t>لا يغيّر هذا المرجع:</w:t>
      </w:r>
    </w:p>
    <w:p>
      <w:pPr>
        <w:pStyle w:val="ListBullet"/>
        <w:spacing w:after="80" w:before="0" w:line="276" w:lineRule="auto"/>
        <w:jc w:val="left"/>
      </w:pPr>
      <w:r>
        <w:rPr>
          <w:rFonts w:ascii="Noto Sans Arabic" w:hAnsi="Noto Sans Arabic" w:cs="Noto Sans Arabic"/>
          <w:b w:val="0"/>
          <w:color w:val="22262D"/>
          <w:sz w:val="20"/>
        </w:rPr>
        <w:t>Backend Architecture</w:t>
      </w:r>
    </w:p>
    <w:p>
      <w:pPr>
        <w:pStyle w:val="ListBullet"/>
        <w:spacing w:after="80" w:before="0" w:line="276" w:lineRule="auto"/>
        <w:jc w:val="left"/>
      </w:pPr>
      <w:r>
        <w:rPr>
          <w:rFonts w:ascii="Noto Sans Arabic" w:hAnsi="Noto Sans Arabic" w:cs="Noto Sans Arabic"/>
          <w:b w:val="0"/>
          <w:color w:val="22262D"/>
          <w:sz w:val="20"/>
        </w:rPr>
        <w:t>Database Ownership</w:t>
      </w:r>
    </w:p>
    <w:p>
      <w:pPr>
        <w:pStyle w:val="ListBullet"/>
        <w:spacing w:after="80" w:before="0" w:line="276" w:lineRule="auto"/>
        <w:jc w:val="left"/>
      </w:pPr>
      <w:r>
        <w:rPr>
          <w:rFonts w:ascii="Noto Sans Arabic" w:hAnsi="Noto Sans Arabic" w:cs="Noto Sans Arabic"/>
          <w:b w:val="0"/>
          <w:color w:val="22262D"/>
          <w:sz w:val="20"/>
        </w:rPr>
        <w:t>Service Boundaries</w:t>
      </w:r>
    </w:p>
    <w:p>
      <w:pPr>
        <w:pStyle w:val="ListBullet"/>
        <w:spacing w:after="80" w:before="0" w:line="276" w:lineRule="auto"/>
        <w:jc w:val="left"/>
      </w:pPr>
      <w:r>
        <w:rPr>
          <w:rFonts w:ascii="Noto Sans Arabic" w:hAnsi="Noto Sans Arabic" w:cs="Noto Sans Arabic"/>
          <w:b w:val="0"/>
          <w:color w:val="22262D"/>
          <w:sz w:val="20"/>
        </w:rPr>
        <w:t>ONE Canonical COT Dataset</w:t>
      </w:r>
    </w:p>
    <w:p>
      <w:pPr>
        <w:pStyle w:val="ListBullet"/>
        <w:spacing w:after="80" w:before="0" w:line="276" w:lineRule="auto"/>
        <w:jc w:val="left"/>
      </w:pPr>
      <w:r>
        <w:rPr>
          <w:rFonts w:ascii="Noto Sans Arabic" w:hAnsi="Noto Sans Arabic" w:cs="Noto Sans Arabic"/>
          <w:b w:val="0"/>
          <w:color w:val="22262D"/>
          <w:sz w:val="20"/>
        </w:rPr>
        <w:t>Decision Layers 01–16</w:t>
      </w:r>
    </w:p>
    <w:p>
      <w:pPr>
        <w:pStyle w:val="ListBullet"/>
        <w:spacing w:after="80" w:before="0" w:line="276" w:lineRule="auto"/>
        <w:jc w:val="left"/>
      </w:pPr>
      <w:r>
        <w:rPr>
          <w:rFonts w:ascii="Noto Sans Arabic" w:hAnsi="Noto Sans Arabic" w:cs="Noto Sans Arabic"/>
          <w:b w:val="0"/>
          <w:color w:val="22262D"/>
          <w:sz w:val="20"/>
        </w:rPr>
        <w:t>Capabilities 01–28</w:t>
      </w:r>
    </w:p>
    <w:p>
      <w:pPr>
        <w:pStyle w:val="ListBullet"/>
        <w:spacing w:after="80" w:before="0" w:line="276" w:lineRule="auto"/>
        <w:jc w:val="left"/>
      </w:pPr>
      <w:r>
        <w:rPr>
          <w:rFonts w:ascii="Noto Sans Arabic" w:hAnsi="Noto Sans Arabic" w:cs="Noto Sans Arabic"/>
          <w:b w:val="0"/>
          <w:color w:val="22262D"/>
          <w:sz w:val="20"/>
        </w:rPr>
        <w:t>Governance Authority</w:t>
      </w:r>
    </w:p>
    <w:p>
      <w:pPr>
        <w:pStyle w:val="ListBullet"/>
        <w:spacing w:after="80" w:before="0" w:line="276" w:lineRule="auto"/>
        <w:jc w:val="left"/>
      </w:pPr>
      <w:r>
        <w:rPr>
          <w:rFonts w:ascii="Noto Sans Arabic" w:hAnsi="Noto Sans Arabic" w:cs="Noto Sans Arabic"/>
          <w:b w:val="0"/>
          <w:color w:val="22262D"/>
          <w:sz w:val="20"/>
        </w:rPr>
        <w:t>Existing Contracts</w:t>
      </w:r>
    </w:p>
    <w:p>
      <w:pPr>
        <w:pStyle w:val="ListBullet"/>
        <w:spacing w:after="80" w:before="0" w:line="276" w:lineRule="auto"/>
        <w:jc w:val="left"/>
      </w:pPr>
      <w:r>
        <w:rPr>
          <w:rFonts w:ascii="Noto Sans Arabic" w:hAnsi="Noto Sans Arabic" w:cs="Noto Sans Arabic"/>
          <w:b w:val="0"/>
          <w:color w:val="22262D"/>
          <w:sz w:val="20"/>
        </w:rPr>
        <w:t>Runtime Evidence</w:t>
      </w:r>
    </w:p>
    <w:p>
      <w:pPr>
        <w:pStyle w:val="ListBullet"/>
        <w:spacing w:after="80" w:before="0" w:line="276" w:lineRule="auto"/>
        <w:jc w:val="left"/>
      </w:pPr>
      <w:r>
        <w:rPr>
          <w:rFonts w:ascii="Noto Sans Arabic" w:hAnsi="Noto Sans Arabic" w:cs="Noto Sans Arabic"/>
          <w:b w:val="0"/>
          <w:color w:val="22262D"/>
          <w:sz w:val="20"/>
        </w:rPr>
        <w:t>Security Contracts</w:t>
      </w:r>
    </w:p>
    <w:p>
      <w:pPr>
        <w:pStyle w:val="ListBullet"/>
        <w:spacing w:after="80" w:before="0" w:line="276" w:lineRule="auto"/>
        <w:jc w:val="left"/>
      </w:pPr>
      <w:r>
        <w:rPr>
          <w:rFonts w:ascii="Noto Sans Arabic" w:hAnsi="Noto Sans Arabic" w:cs="Noto Sans Arabic"/>
          <w:b w:val="0"/>
          <w:color w:val="22262D"/>
          <w:sz w:val="20"/>
        </w:rPr>
        <w:t>Deployment Architecture</w:t>
      </w:r>
    </w:p>
    <w:p>
      <w:pPr>
        <w:bidi w:val="1"/>
        <w:spacing w:after="80" w:before="0" w:line="276" w:lineRule="auto"/>
        <w:jc w:val="right"/>
      </w:pPr>
      <w:r>
        <w:rPr>
          <w:rFonts w:ascii="Noto Sans Arabic" w:hAnsi="Noto Sans Arabic" w:cs="Noto Sans Arabic"/>
          <w:b w:val="0"/>
          <w:color w:val="22262D"/>
          <w:sz w:val="20"/>
        </w:rPr>
        <w:t>أي معلومة تقنية غير مثبتة تبقى:</w:t>
      </w:r>
    </w:p>
    <w:p>
      <w:pPr>
        <w:spacing w:after="80" w:before="0" w:line="276" w:lineRule="auto"/>
        <w:jc w:val="left"/>
      </w:pPr>
      <w:r>
        <w:rPr>
          <w:rFonts w:ascii="DejaVu Sans Mono" w:hAnsi="DejaVu Sans Mono" w:cs="DejaVu Sans Mono"/>
          <w:b w:val="0"/>
          <w:color w:val="8E6D27"/>
          <w:sz w:val="18"/>
        </w:rPr>
        <w:t>TBD — requires technical freeze evidence</w:t>
      </w:r>
    </w:p>
    <w:p>
      <w:pPr>
        <w:pBdr>
          <w:bottom w:val="single" w:sz="8" w:space="1" w:color="B8953F"/>
        </w:pBdr>
        <w:spacing w:after="100"/>
      </w:pPr>
    </w:p>
    <w:p>
      <w:pPr>
        <w:pStyle w:val="Heading1"/>
        <w:keepNext/>
        <w:bidi w:val="1"/>
        <w:spacing w:before="240" w:after="100"/>
        <w:jc w:val="right"/>
      </w:pPr>
      <w:r>
        <w:rPr>
          <w:rFonts w:ascii="Noto Kufi Arabic" w:hAnsi="Noto Kufi Arabic" w:cs="Noto Kufi Arabic"/>
          <w:b/>
          <w:color w:val="8E6D27"/>
          <w:sz w:val="36"/>
        </w:rPr>
        <w:t>2. الرؤية البصرية العليا</w:t>
      </w:r>
    </w:p>
    <w:p>
      <w:pPr>
        <w:bidi w:val="1"/>
        <w:spacing w:after="80" w:before="0" w:line="276" w:lineRule="auto"/>
        <w:jc w:val="right"/>
      </w:pPr>
      <w:r>
        <w:rPr>
          <w:rFonts w:ascii="Noto Sans Arabic" w:hAnsi="Noto Sans Arabic" w:cs="Noto Sans Arabic"/>
          <w:b w:val="0"/>
          <w:color w:val="22262D"/>
          <w:sz w:val="20"/>
        </w:rPr>
        <w:t>يجب ألا يبدو NDSP كلوحة تداول تقليدية.</w:t>
      </w:r>
    </w:p>
    <w:p>
      <w:pPr>
        <w:bidi w:val="1"/>
        <w:spacing w:after="80" w:before="0" w:line="276" w:lineRule="auto"/>
        <w:jc w:val="right"/>
      </w:pPr>
      <w:r>
        <w:rPr>
          <w:rFonts w:ascii="Noto Sans Arabic" w:hAnsi="Noto Sans Arabic" w:cs="Noto Sans Arabic"/>
          <w:b w:val="0"/>
          <w:color w:val="22262D"/>
          <w:sz w:val="20"/>
        </w:rPr>
        <w:t>الهوية المستهدفة هي:</w:t>
      </w:r>
    </w:p>
    <w:p>
      <w:pPr>
        <w:spacing w:after="80" w:before="0" w:line="276" w:lineRule="auto"/>
        <w:jc w:val="left"/>
      </w:pPr>
      <w:r>
        <w:rPr>
          <w:rFonts w:ascii="Noto Sans Arabic" w:hAnsi="Noto Sans Arabic" w:cs="Noto Sans Arabic"/>
          <w:b/>
          <w:color w:val="22262D"/>
          <w:sz w:val="20"/>
        </w:rPr>
        <w:t>Institutional Decision Intelligence Platform</w:t>
      </w:r>
    </w:p>
    <w:p>
      <w:pPr>
        <w:bidi w:val="1"/>
        <w:spacing w:after="80" w:before="0" w:line="276" w:lineRule="auto"/>
        <w:jc w:val="right"/>
      </w:pPr>
      <w:r>
        <w:rPr>
          <w:rFonts w:ascii="Noto Sans Arabic" w:hAnsi="Noto Sans Arabic" w:cs="Noto Sans Arabic"/>
          <w:b w:val="0"/>
          <w:color w:val="22262D"/>
          <w:sz w:val="20"/>
        </w:rPr>
        <w:t>وتجمع بين:</w:t>
      </w:r>
    </w:p>
    <w:p>
      <w:pPr>
        <w:pStyle w:val="ListBullet"/>
        <w:spacing w:after="80" w:before="0" w:line="276" w:lineRule="auto"/>
        <w:jc w:val="left"/>
      </w:pPr>
      <w:r>
        <w:rPr>
          <w:rFonts w:ascii="Noto Sans Arabic" w:hAnsi="Noto Sans Arabic" w:cs="Noto Sans Arabic"/>
          <w:b w:val="0"/>
          <w:color w:val="22262D"/>
          <w:sz w:val="20"/>
        </w:rPr>
        <w:t>Financial Intelligence Terminal</w:t>
      </w:r>
    </w:p>
    <w:p>
      <w:pPr>
        <w:pStyle w:val="ListBullet"/>
        <w:spacing w:after="80" w:before="0" w:line="276" w:lineRule="auto"/>
        <w:jc w:val="left"/>
      </w:pPr>
      <w:r>
        <w:rPr>
          <w:rFonts w:ascii="Noto Sans Arabic" w:hAnsi="Noto Sans Arabic" w:cs="Noto Sans Arabic"/>
          <w:b w:val="0"/>
          <w:color w:val="22262D"/>
          <w:sz w:val="20"/>
        </w:rPr>
        <w:t>Decision Intelligence Platform</w:t>
      </w:r>
    </w:p>
    <w:p>
      <w:pPr>
        <w:pStyle w:val="ListBullet"/>
        <w:spacing w:after="80" w:before="0" w:line="276" w:lineRule="auto"/>
        <w:jc w:val="left"/>
      </w:pPr>
      <w:r>
        <w:rPr>
          <w:rFonts w:ascii="Noto Sans Arabic" w:hAnsi="Noto Sans Arabic" w:cs="Noto Sans Arabic"/>
          <w:b w:val="0"/>
          <w:color w:val="22262D"/>
          <w:sz w:val="20"/>
        </w:rPr>
        <w:t>Research System</w:t>
      </w:r>
    </w:p>
    <w:p>
      <w:pPr>
        <w:pStyle w:val="ListBullet"/>
        <w:spacing w:after="80" w:before="0" w:line="276" w:lineRule="auto"/>
        <w:jc w:val="left"/>
      </w:pPr>
      <w:r>
        <w:rPr>
          <w:rFonts w:ascii="Noto Sans Arabic" w:hAnsi="Noto Sans Arabic" w:cs="Noto Sans Arabic"/>
          <w:b w:val="0"/>
          <w:color w:val="22262D"/>
          <w:sz w:val="20"/>
        </w:rPr>
        <w:t>Governed Analytical Engine</w:t>
      </w:r>
    </w:p>
    <w:p>
      <w:pPr>
        <w:bidi w:val="1"/>
        <w:spacing w:after="80" w:before="0" w:line="276" w:lineRule="auto"/>
        <w:jc w:val="right"/>
      </w:pPr>
      <w:r>
        <w:rPr>
          <w:rFonts w:ascii="Noto Sans Arabic" w:hAnsi="Noto Sans Arabic" w:cs="Noto Sans Arabic"/>
          <w:b w:val="0"/>
          <w:color w:val="22262D"/>
          <w:sz w:val="20"/>
        </w:rPr>
        <w:t>اللغة البصرية يجب أن تكون:</w:t>
      </w:r>
    </w:p>
    <w:p>
      <w:pPr>
        <w:pStyle w:val="ListBullet"/>
        <w:bidi w:val="1"/>
        <w:spacing w:after="80" w:before="0" w:line="276" w:lineRule="auto"/>
        <w:jc w:val="right"/>
      </w:pPr>
      <w:r>
        <w:rPr>
          <w:rFonts w:ascii="Noto Sans Arabic" w:hAnsi="Noto Sans Arabic" w:cs="Noto Sans Arabic"/>
          <w:b w:val="0"/>
          <w:color w:val="22262D"/>
          <w:sz w:val="20"/>
        </w:rPr>
        <w:t>مؤسسية</w:t>
      </w:r>
    </w:p>
    <w:p>
      <w:pPr>
        <w:pStyle w:val="ListBullet"/>
        <w:bidi w:val="1"/>
        <w:spacing w:after="80" w:before="0" w:line="276" w:lineRule="auto"/>
        <w:jc w:val="right"/>
      </w:pPr>
      <w:r>
        <w:rPr>
          <w:rFonts w:ascii="Noto Sans Arabic" w:hAnsi="Noto Sans Arabic" w:cs="Noto Sans Arabic"/>
          <w:b w:val="0"/>
          <w:color w:val="22262D"/>
          <w:sz w:val="20"/>
        </w:rPr>
        <w:t>فاخرة بهدوء</w:t>
      </w:r>
    </w:p>
    <w:p>
      <w:pPr>
        <w:pStyle w:val="ListBullet"/>
        <w:bidi w:val="1"/>
        <w:spacing w:after="80" w:before="0" w:line="276" w:lineRule="auto"/>
        <w:jc w:val="right"/>
      </w:pPr>
      <w:r>
        <w:rPr>
          <w:rFonts w:ascii="Noto Sans Arabic" w:hAnsi="Noto Sans Arabic" w:cs="Noto Sans Arabic"/>
          <w:b w:val="0"/>
          <w:color w:val="22262D"/>
          <w:sz w:val="20"/>
        </w:rPr>
        <w:t>تحليلية</w:t>
      </w:r>
    </w:p>
    <w:p>
      <w:pPr>
        <w:pStyle w:val="ListBullet"/>
        <w:bidi w:val="1"/>
        <w:spacing w:after="80" w:before="0" w:line="276" w:lineRule="auto"/>
        <w:jc w:val="right"/>
      </w:pPr>
      <w:r>
        <w:rPr>
          <w:rFonts w:ascii="Noto Sans Arabic" w:hAnsi="Noto Sans Arabic" w:cs="Noto Sans Arabic"/>
          <w:b w:val="0"/>
          <w:color w:val="22262D"/>
          <w:sz w:val="20"/>
        </w:rPr>
        <w:t>دقيقة</w:t>
      </w:r>
    </w:p>
    <w:p>
      <w:pPr>
        <w:pStyle w:val="ListBullet"/>
        <w:bidi w:val="1"/>
        <w:spacing w:after="80" w:before="0" w:line="276" w:lineRule="auto"/>
        <w:jc w:val="right"/>
      </w:pPr>
      <w:r>
        <w:rPr>
          <w:rFonts w:ascii="Noto Sans Arabic" w:hAnsi="Noto Sans Arabic" w:cs="Noto Sans Arabic"/>
          <w:b w:val="0"/>
          <w:color w:val="22262D"/>
          <w:sz w:val="20"/>
        </w:rPr>
        <w:t>عالية الثقة</w:t>
      </w:r>
    </w:p>
    <w:p>
      <w:pPr>
        <w:pStyle w:val="ListBullet"/>
        <w:bidi w:val="1"/>
        <w:spacing w:after="80" w:before="0" w:line="276" w:lineRule="auto"/>
        <w:jc w:val="right"/>
      </w:pPr>
      <w:r>
        <w:rPr>
          <w:rFonts w:ascii="Noto Sans Arabic" w:hAnsi="Noto Sans Arabic" w:cs="Noto Sans Arabic"/>
          <w:b w:val="0"/>
          <w:color w:val="22262D"/>
          <w:sz w:val="20"/>
        </w:rPr>
        <w:t>غير استعراضية</w:t>
      </w:r>
    </w:p>
    <w:p>
      <w:pPr>
        <w:pStyle w:val="ListBullet"/>
        <w:bidi w:val="1"/>
        <w:spacing w:after="80" w:before="0" w:line="276" w:lineRule="auto"/>
        <w:jc w:val="right"/>
      </w:pPr>
      <w:r>
        <w:rPr>
          <w:rFonts w:ascii="Noto Sans Arabic" w:hAnsi="Noto Sans Arabic" w:cs="Noto Sans Arabic"/>
          <w:b w:val="0"/>
          <w:color w:val="22262D"/>
          <w:sz w:val="20"/>
        </w:rPr>
        <w:t>منظمة حتى عند ارتفاع كثافة المعلومات</w:t>
      </w:r>
    </w:p>
    <w:p>
      <w:pPr>
        <w:bidi w:val="1"/>
        <w:spacing w:after="80" w:before="0" w:line="276" w:lineRule="auto"/>
        <w:jc w:val="right"/>
      </w:pPr>
      <w:r>
        <w:rPr>
          <w:rFonts w:ascii="Noto Sans Arabic" w:hAnsi="Noto Sans Arabic" w:cs="Noto Sans Arabic"/>
          <w:b w:val="0"/>
          <w:color w:val="22262D"/>
          <w:sz w:val="20"/>
        </w:rPr>
        <w:t>السلطة والوضوح أهم من الزخرفة.</w:t>
      </w:r>
    </w:p>
    <w:p>
      <w:pPr>
        <w:pBdr>
          <w:bottom w:val="single" w:sz="8" w:space="1" w:color="B8953F"/>
        </w:pBdr>
        <w:spacing w:after="100"/>
      </w:pPr>
    </w:p>
    <w:p>
      <w:pPr>
        <w:pStyle w:val="Heading1"/>
        <w:keepNext/>
        <w:bidi w:val="1"/>
        <w:spacing w:before="240" w:after="100"/>
        <w:jc w:val="right"/>
      </w:pPr>
      <w:r>
        <w:rPr>
          <w:rFonts w:ascii="Noto Kufi Arabic" w:hAnsi="Noto Kufi Arabic" w:cs="Noto Kufi Arabic"/>
          <w:b/>
          <w:color w:val="8E6D27"/>
          <w:sz w:val="36"/>
        </w:rPr>
        <w:t>3. الفصل الأساسي للتجربة</w:t>
      </w:r>
    </w:p>
    <w:p>
      <w:pPr>
        <w:bidi w:val="1"/>
        <w:spacing w:after="80" w:before="0" w:line="276" w:lineRule="auto"/>
        <w:jc w:val="right"/>
      </w:pPr>
      <w:r>
        <w:rPr>
          <w:rFonts w:ascii="Noto Sans Arabic" w:hAnsi="Noto Sans Arabic" w:cs="Noto Sans Arabic"/>
          <w:b w:val="0"/>
          <w:color w:val="22262D"/>
          <w:sz w:val="20"/>
        </w:rPr>
        <w:t>يتكون NDSP من ثلاثة أسطح:</w:t>
      </w:r>
    </w:p>
    <w:tbl>
      <w:tblPr>
        <w:tblW w:type="auto" w:w="0"/>
        <w:jc w:val="center"/>
        <w:tblLayout w:type="fixed"/>
        <w:tblLook w:firstColumn="1" w:firstRow="1" w:lastColumn="0" w:lastRow="0" w:noHBand="0" w:noVBand="1" w:val="04A0"/>
      </w:tblPr>
      <w:tblGrid>
        <w:gridCol w:w="9866"/>
      </w:tblGrid>
      <w:tr>
        <w:tc>
          <w:tcPr>
            <w:tcW w:type="dxa" w:w="9866"/>
            <w:shd w:fill="F1F3F5"/>
            <w:tcMar>
              <w:top w:w="90" w:type="dxa"/>
              <w:start w:w="100" w:type="dxa"/>
              <w:bottom w:w="90" w:type="dxa"/>
              <w:end w:w="100" w:type="dxa"/>
            </w:tcMar>
          </w:tcPr>
          <w:p>
            <w:pPr>
              <w:spacing w:after="0" w:line="228" w:lineRule="auto"/>
              <w:jc w:val="left"/>
            </w:pPr>
            <w:r>
              <w:rPr>
                <w:rFonts w:ascii="DejaVu Sans Mono" w:hAnsi="DejaVu Sans Mono" w:cs="DejaVu Sans Mono"/>
                <w:b w:val="0"/>
                <w:color w:val="30343B"/>
                <w:sz w:val="12"/>
              </w:rPr>
              <w:t>NDSP</w:t>
              <w:br/>
              <w:t>│</w:t>
              <w:br/>
              <w:t>├── Public Experience</w:t>
              <w:br/>
              <w:t>│</w:t>
              <w:br/>
              <w:t>├── Authenticated Public User Workspace</w:t>
              <w:br/>
              <w:t>│</w:t>
              <w:br/>
              <w:t>└── Admin / Review Experience</w:t>
            </w:r>
          </w:p>
        </w:tc>
      </w:tr>
    </w:tbl>
    <w:p>
      <w:pPr>
        <w:bidi w:val="1"/>
        <w:spacing w:after="80" w:before="0" w:line="276" w:lineRule="auto"/>
        <w:jc w:val="right"/>
      </w:pPr>
      <w:r>
        <w:rPr>
          <w:rFonts w:ascii="Noto Sans Arabic" w:hAnsi="Noto Sans Arabic" w:cs="Noto Sans Arabic"/>
          <w:b w:val="0"/>
          <w:color w:val="22262D"/>
          <w:sz w:val="20"/>
        </w:rPr>
        <w:t>هذا الفصل ليس مجرد Navigation أو CSS.</w:t>
      </w:r>
    </w:p>
    <w:p>
      <w:pPr>
        <w:bidi w:val="1"/>
        <w:spacing w:after="80" w:before="0" w:line="276" w:lineRule="auto"/>
        <w:jc w:val="right"/>
      </w:pPr>
      <w:r>
        <w:rPr>
          <w:rFonts w:ascii="Noto Sans Arabic" w:hAnsi="Noto Sans Arabic" w:cs="Noto Sans Arabic"/>
          <w:b w:val="0"/>
          <w:color w:val="22262D"/>
          <w:sz w:val="20"/>
        </w:rPr>
        <w:t>بل هو:</w:t>
      </w:r>
    </w:p>
    <w:p>
      <w:pPr>
        <w:spacing w:after="80" w:before="0" w:line="276" w:lineRule="auto"/>
        <w:jc w:val="left"/>
      </w:pPr>
      <w:r>
        <w:rPr>
          <w:rFonts w:ascii="Noto Sans Arabic" w:hAnsi="Noto Sans Arabic" w:cs="Noto Sans Arabic"/>
          <w:b/>
          <w:color w:val="22262D"/>
          <w:sz w:val="20"/>
        </w:rPr>
        <w:t>Feature Boundary + Route Boundary + API Boundary + Exposure Boundary + Authorization Boundary</w:t>
      </w:r>
    </w:p>
    <w:p>
      <w:pPr>
        <w:pBdr>
          <w:bottom w:val="single" w:sz="8" w:space="1" w:color="B8953F"/>
        </w:pBdr>
        <w:spacing w:after="100"/>
      </w:pPr>
    </w:p>
    <w:p>
      <w:pPr>
        <w:sectPr>
          <w:headerReference w:type="default" r:id="rId9"/>
          <w:footerReference w:type="default" r:id="rId10"/>
          <w:headerReference w:type="first" r:id="rId11"/>
          <w:footerReference w:type="first" r:id="rId12"/>
          <w:pgSz w:w="11906" w:h="16838"/>
          <w:pgMar w:top="964" w:right="1020" w:bottom="964" w:left="1020" w:header="720" w:footer="720" w:gutter="0"/>
          <w:cols w:space="720"/>
          <w:titlePg/>
          <w:docGrid w:linePitch="360"/>
        </w:sectPr>
      </w:pPr>
    </w:p>
    <w:p>
      <w:pPr>
        <w:spacing w:after="120"/>
        <w:jc w:val="center"/>
      </w:pPr>
      <w:r>
        <w:rPr>
          <w:rFonts w:ascii="Noto Kufi Arabic" w:hAnsi="Noto Kufi Arabic" w:cs="Noto Kufi Arabic"/>
          <w:b/>
          <w:color w:val="8E6D27"/>
          <w:sz w:val="26"/>
        </w:rPr>
        <w:t>Figure UI-02 — NDSP UI/UX Information Architecture Mindmap</w:t>
      </w:r>
    </w:p>
    <w:p>
      <w:pPr>
        <w:jc w:val="center"/>
      </w:pPr>
      <w:r>
        <w:drawing>
          <wp:inline xmlns:a="http://schemas.openxmlformats.org/drawingml/2006/main" xmlns:pic="http://schemas.openxmlformats.org/drawingml/2006/picture">
            <wp:extent cx="8059394" cy="4752168"/>
            <wp:docPr id="1" name="Picture 1" title="Figure UI-02 — NDSP UI/UX Information Architecture Mindmap" descr="مرجع بصري لتقسيم Public Experience وPublic User Workspace وAdmin/Review والـdomain workspaces وحدود الحوكمة."/>
            <wp:cNvGraphicFramePr>
              <a:graphicFrameLocks noChangeAspect="1"/>
            </wp:cNvGraphicFramePr>
            <a:graphic>
              <a:graphicData uri="http://schemas.openxmlformats.org/drawingml/2006/picture">
                <pic:pic>
                  <pic:nvPicPr>
                    <pic:cNvPr id="0" name="111111111111111111111111111111111111111111111111111111111111111111111111111111(3).png"/>
                    <pic:cNvPicPr/>
                  </pic:nvPicPr>
                  <pic:blipFill>
                    <a:blip r:embed="rId13"/>
                    <a:stretch>
                      <a:fillRect/>
                    </a:stretch>
                  </pic:blipFill>
                  <pic:spPr>
                    <a:xfrm>
                      <a:off x="0" y="0"/>
                      <a:ext cx="8059394" cy="4752168"/>
                    </a:xfrm>
                    <a:prstGeom prst="rect"/>
                  </pic:spPr>
                </pic:pic>
              </a:graphicData>
            </a:graphic>
          </wp:inline>
        </w:drawing>
      </w:r>
    </w:p>
    <w:p>
      <w:pPr>
        <w:spacing w:before="80"/>
        <w:jc w:val="right"/>
        <w:bidi w:val="1"/>
      </w:pPr>
      <w:r>
        <w:rPr>
          <w:rFonts w:ascii="Noto Sans Arabic" w:hAnsi="Noto Sans Arabic" w:cs="Noto Sans Arabic"/>
          <w:b w:val="0"/>
          <w:color w:val="5E6673"/>
          <w:sz w:val="17"/>
        </w:rPr>
        <w:t>مرجع بصري لتقسيم Public Experience وPublic User Workspace وAdmin/Review والـdomain workspaces وحدود الحوكمة.</w:t>
      </w:r>
    </w:p>
    <w:p>
      <w:pPr>
        <w:sectPr>
          <w:pgSz w:w="16838" w:h="11906" w:orient="landscape"/>
          <w:pgMar w:top="680" w:right="680" w:bottom="680" w:left="680" w:header="720" w:footer="720" w:gutter="0"/>
          <w:cols w:space="720"/>
          <w:titlePg/>
          <w:docGrid w:linePitch="360"/>
        </w:sectPr>
      </w:pPr>
    </w:p>
    <w:p>
      <w:pPr>
        <w:pStyle w:val="Heading1"/>
        <w:keepNext/>
        <w:bidi w:val="1"/>
        <w:spacing w:before="240" w:after="100"/>
        <w:jc w:val="right"/>
      </w:pPr>
      <w:r>
        <w:rPr>
          <w:rFonts w:ascii="Noto Kufi Arabic" w:hAnsi="Noto Kufi Arabic" w:cs="Noto Kufi Arabic"/>
          <w:b/>
          <w:color w:val="8E6D27"/>
          <w:sz w:val="36"/>
        </w:rPr>
        <w:t>4. مسار Public الحاكم</w:t>
      </w:r>
    </w:p>
    <w:tbl>
      <w:tblPr>
        <w:tblW w:type="auto" w:w="0"/>
        <w:jc w:val="center"/>
        <w:tblLayout w:type="fixed"/>
        <w:tblLook w:firstColumn="1" w:firstRow="1" w:lastColumn="0" w:lastRow="0" w:noHBand="0" w:noVBand="1" w:val="04A0"/>
      </w:tblPr>
      <w:tblGrid>
        <w:gridCol w:w="9866"/>
      </w:tblGrid>
      <w:tr>
        <w:tc>
          <w:tcPr>
            <w:tcW w:type="dxa" w:w="9866"/>
            <w:shd w:fill="F1F3F5"/>
            <w:tcMar>
              <w:top w:w="90" w:type="dxa"/>
              <w:start w:w="100" w:type="dxa"/>
              <w:bottom w:w="90" w:type="dxa"/>
              <w:end w:w="100" w:type="dxa"/>
            </w:tcMar>
          </w:tcPr>
          <w:p>
            <w:pPr>
              <w:spacing w:after="0" w:line="228" w:lineRule="auto"/>
              <w:jc w:val="left"/>
            </w:pPr>
            <w:r>
              <w:rPr>
                <w:rFonts w:ascii="DejaVu Sans Mono" w:hAnsi="DejaVu Sans Mono" w:cs="DejaVu Sans Mono"/>
                <w:b w:val="0"/>
                <w:color w:val="30343B"/>
                <w:sz w:val="12"/>
              </w:rPr>
              <w:t>Internal Intelligence</w:t>
              <w:br/>
              <w:t xml:space="preserve">        ↓</w:t>
              <w:br/>
              <w:t>Decision Intelligence</w:t>
              <w:br/>
              <w:t xml:space="preserve">        ↓</w:t>
              <w:br/>
              <w:t>Scoring</w:t>
              <w:br/>
              <w:t xml:space="preserve">        ↓</w:t>
              <w:br/>
              <w:t>CORE Official Direction Authority</w:t>
              <w:br/>
              <w:t xml:space="preserve">        ↓</w:t>
              <w:br/>
              <w:t>Governance</w:t>
              <w:br/>
              <w:t xml:space="preserve">        ↓</w:t>
              <w:br/>
              <w:t>Authorized Public Output</w:t>
              <w:br/>
              <w:t xml:space="preserve">        ↓</w:t>
              <w:br/>
              <w:t>CORE Public Projection</w:t>
              <w:br/>
              <w:t xml:space="preserve">        ↓</w:t>
              <w:br/>
              <w:t>Public API</w:t>
              <w:br/>
              <w:t xml:space="preserve">        ↓</w:t>
              <w:br/>
              <w:t>Public Frontend</w:t>
            </w:r>
          </w:p>
        </w:tc>
      </w:tr>
    </w:tbl>
    <w:p>
      <w:pPr>
        <w:bidi w:val="1"/>
        <w:spacing w:after="80" w:before="0" w:line="276" w:lineRule="auto"/>
        <w:jc w:val="right"/>
      </w:pPr>
      <w:r>
        <w:rPr>
          <w:rFonts w:ascii="Noto Sans Arabic" w:hAnsi="Noto Sans Arabic" w:cs="Noto Sans Arabic"/>
          <w:b w:val="0"/>
          <w:color w:val="22262D"/>
          <w:sz w:val="20"/>
        </w:rPr>
        <w:t>ولا يجوز:</w:t>
      </w:r>
    </w:p>
    <w:tbl>
      <w:tblPr>
        <w:tblW w:type="auto" w:w="0"/>
        <w:jc w:val="center"/>
        <w:tblLayout w:type="fixed"/>
        <w:tblLook w:firstColumn="1" w:firstRow="1" w:lastColumn="0" w:lastRow="0" w:noHBand="0" w:noVBand="1" w:val="04A0"/>
      </w:tblPr>
      <w:tblGrid>
        <w:gridCol w:w="9866"/>
      </w:tblGrid>
      <w:tr>
        <w:tc>
          <w:tcPr>
            <w:tcW w:type="dxa" w:w="9866"/>
            <w:shd w:fill="F1F3F5"/>
            <w:tcMar>
              <w:top w:w="90" w:type="dxa"/>
              <w:start w:w="100" w:type="dxa"/>
              <w:bottom w:w="90" w:type="dxa"/>
              <w:end w:w="100" w:type="dxa"/>
            </w:tcMar>
          </w:tcPr>
          <w:p>
            <w:pPr>
              <w:spacing w:after="0" w:line="228" w:lineRule="auto"/>
              <w:jc w:val="left"/>
            </w:pPr>
            <w:r>
              <w:rPr>
                <w:rFonts w:ascii="DejaVu Sans Mono" w:hAnsi="DejaVu Sans Mono" w:cs="DejaVu Sans Mono"/>
                <w:b w:val="0"/>
                <w:color w:val="30343B"/>
                <w:sz w:val="12"/>
              </w:rPr>
              <w:t>Public Frontend → Internal Intelligence Database</w:t>
            </w:r>
          </w:p>
        </w:tc>
      </w:tr>
    </w:tbl>
    <w:p>
      <w:pPr>
        <w:bidi w:val="1"/>
        <w:spacing w:after="80" w:before="0" w:line="276" w:lineRule="auto"/>
        <w:jc w:val="right"/>
      </w:pPr>
      <w:r>
        <w:rPr>
          <w:rFonts w:ascii="Noto Sans Arabic" w:hAnsi="Noto Sans Arabic" w:cs="Noto Sans Arabic"/>
          <w:b w:val="0"/>
          <w:color w:val="22262D"/>
          <w:sz w:val="20"/>
        </w:rPr>
        <w:t>ولا:</w:t>
      </w:r>
    </w:p>
    <w:tbl>
      <w:tblPr>
        <w:tblW w:type="auto" w:w="0"/>
        <w:jc w:val="center"/>
        <w:tblLayout w:type="fixed"/>
        <w:tblLook w:firstColumn="1" w:firstRow="1" w:lastColumn="0" w:lastRow="0" w:noHBand="0" w:noVBand="1" w:val="04A0"/>
      </w:tblPr>
      <w:tblGrid>
        <w:gridCol w:w="9866"/>
      </w:tblGrid>
      <w:tr>
        <w:tc>
          <w:tcPr>
            <w:tcW w:type="dxa" w:w="9866"/>
            <w:shd w:fill="F1F3F5"/>
            <w:tcMar>
              <w:top w:w="90" w:type="dxa"/>
              <w:start w:w="100" w:type="dxa"/>
              <w:bottom w:w="90" w:type="dxa"/>
              <w:end w:w="100" w:type="dxa"/>
            </w:tcMar>
          </w:tcPr>
          <w:p>
            <w:pPr>
              <w:spacing w:after="0" w:line="228" w:lineRule="auto"/>
              <w:jc w:val="left"/>
            </w:pPr>
            <w:r>
              <w:rPr>
                <w:rFonts w:ascii="DejaVu Sans Mono" w:hAnsi="DejaVu Sans Mono" w:cs="DejaVu Sans Mono"/>
                <w:b w:val="0"/>
                <w:color w:val="30343B"/>
                <w:sz w:val="12"/>
              </w:rPr>
              <w:t>Decision → Public Projection directly</w:t>
            </w:r>
          </w:p>
        </w:tc>
      </w:tr>
    </w:tbl>
    <w:p>
      <w:pPr>
        <w:bidi w:val="1"/>
        <w:spacing w:after="80" w:before="0" w:line="276" w:lineRule="auto"/>
        <w:jc w:val="right"/>
      </w:pPr>
      <w:r>
        <w:rPr>
          <w:rFonts w:ascii="Noto Sans Arabic" w:hAnsi="Noto Sans Arabic" w:cs="Noto Sans Arabic"/>
          <w:b w:val="0"/>
          <w:color w:val="22262D"/>
          <w:sz w:val="20"/>
        </w:rPr>
        <w:t>ولا:</w:t>
      </w:r>
    </w:p>
    <w:tbl>
      <w:tblPr>
        <w:tblW w:type="auto" w:w="0"/>
        <w:jc w:val="center"/>
        <w:tblLayout w:type="fixed"/>
        <w:tblLook w:firstColumn="1" w:firstRow="1" w:lastColumn="0" w:lastRow="0" w:noHBand="0" w:noVBand="1" w:val="04A0"/>
      </w:tblPr>
      <w:tblGrid>
        <w:gridCol w:w="9866"/>
      </w:tblGrid>
      <w:tr>
        <w:tc>
          <w:tcPr>
            <w:tcW w:type="dxa" w:w="9866"/>
            <w:shd w:fill="F1F3F5"/>
            <w:tcMar>
              <w:top w:w="90" w:type="dxa"/>
              <w:start w:w="100" w:type="dxa"/>
              <w:bottom w:w="90" w:type="dxa"/>
              <w:end w:w="100" w:type="dxa"/>
            </w:tcMar>
          </w:tcPr>
          <w:p>
            <w:pPr>
              <w:spacing w:after="0" w:line="228" w:lineRule="auto"/>
              <w:jc w:val="left"/>
            </w:pPr>
            <w:r>
              <w:rPr>
                <w:rFonts w:ascii="DejaVu Sans Mono" w:hAnsi="DejaVu Sans Mono" w:cs="DejaVu Sans Mono"/>
                <w:b w:val="0"/>
                <w:color w:val="30343B"/>
                <w:sz w:val="12"/>
              </w:rPr>
              <w:t>Scoring → Public Projection directly</w:t>
            </w:r>
          </w:p>
        </w:tc>
      </w:tr>
    </w:tbl>
    <w:p>
      <w:pPr>
        <w:bidi w:val="1"/>
        <w:spacing w:after="80" w:before="0" w:line="276" w:lineRule="auto"/>
        <w:jc w:val="right"/>
      </w:pPr>
      <w:r>
        <w:rPr>
          <w:rFonts w:ascii="Noto Sans Arabic" w:hAnsi="Noto Sans Arabic" w:cs="Noto Sans Arabic"/>
          <w:b w:val="0"/>
          <w:color w:val="22262D"/>
          <w:sz w:val="20"/>
        </w:rPr>
        <w:t>Governance هو حد النشر النهائي.</w:t>
      </w:r>
    </w:p>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5. Public Experience</w:t>
      </w:r>
    </w:p>
    <w:p>
      <w:pPr>
        <w:bidi w:val="1"/>
        <w:spacing w:after="80" w:before="0" w:line="276" w:lineRule="auto"/>
        <w:jc w:val="right"/>
      </w:pPr>
      <w:r>
        <w:rPr>
          <w:rFonts w:ascii="Noto Sans Arabic" w:hAnsi="Noto Sans Arabic" w:cs="Noto Sans Arabic"/>
          <w:b w:val="0"/>
          <w:color w:val="22262D"/>
          <w:sz w:val="20"/>
        </w:rPr>
        <w:t>Public Experience يجب أن يكون:</w:t>
      </w:r>
    </w:p>
    <w:p>
      <w:pPr>
        <w:pStyle w:val="ListBullet"/>
        <w:bidi w:val="1"/>
        <w:spacing w:after="80" w:before="0" w:line="276" w:lineRule="auto"/>
        <w:jc w:val="right"/>
      </w:pPr>
      <w:r>
        <w:rPr>
          <w:rFonts w:ascii="Noto Sans Arabic" w:hAnsi="Noto Sans Arabic" w:cs="Noto Sans Arabic"/>
          <w:b w:val="0"/>
          <w:color w:val="22262D"/>
          <w:sz w:val="20"/>
        </w:rPr>
        <w:t>هادئًا</w:t>
      </w:r>
    </w:p>
    <w:p>
      <w:pPr>
        <w:pStyle w:val="ListBullet"/>
        <w:bidi w:val="1"/>
        <w:spacing w:after="80" w:before="0" w:line="276" w:lineRule="auto"/>
        <w:jc w:val="right"/>
      </w:pPr>
      <w:r>
        <w:rPr>
          <w:rFonts w:ascii="Noto Sans Arabic" w:hAnsi="Noto Sans Arabic" w:cs="Noto Sans Arabic"/>
          <w:b w:val="0"/>
          <w:color w:val="22262D"/>
          <w:sz w:val="20"/>
        </w:rPr>
        <w:t>بسيطًا</w:t>
      </w:r>
    </w:p>
    <w:p>
      <w:pPr>
        <w:pStyle w:val="ListBullet"/>
        <w:spacing w:after="80" w:before="0" w:line="276" w:lineRule="auto"/>
        <w:jc w:val="left"/>
      </w:pPr>
      <w:r>
        <w:rPr>
          <w:rFonts w:ascii="Noto Sans Arabic" w:hAnsi="Noto Sans Arabic" w:cs="Noto Sans Arabic"/>
          <w:b w:val="0"/>
          <w:color w:val="22262D"/>
          <w:sz w:val="20"/>
        </w:rPr>
        <w:t>Executive-oriented</w:t>
      </w:r>
    </w:p>
    <w:p>
      <w:pPr>
        <w:pStyle w:val="ListBullet"/>
        <w:bidi w:val="1"/>
        <w:spacing w:after="80" w:before="0" w:line="276" w:lineRule="auto"/>
        <w:jc w:val="right"/>
      </w:pPr>
      <w:r>
        <w:rPr>
          <w:rFonts w:ascii="Noto Sans Arabic" w:hAnsi="Noto Sans Arabic" w:cs="Noto Sans Arabic"/>
          <w:b w:val="0"/>
          <w:color w:val="22262D"/>
          <w:sz w:val="20"/>
        </w:rPr>
        <w:t>أقل كثافة من Admin</w:t>
      </w:r>
    </w:p>
    <w:p>
      <w:pPr>
        <w:pStyle w:val="ListBullet"/>
        <w:spacing w:after="80" w:before="0" w:line="276" w:lineRule="auto"/>
        <w:jc w:val="left"/>
      </w:pPr>
      <w:r>
        <w:rPr>
          <w:rFonts w:ascii="Noto Sans Arabic" w:hAnsi="Noto Sans Arabic" w:cs="Noto Sans Arabic"/>
          <w:b w:val="0"/>
          <w:color w:val="22262D"/>
          <w:sz w:val="20"/>
        </w:rPr>
        <w:t>Mobile-first / Mobile-friendly</w:t>
      </w:r>
    </w:p>
    <w:p>
      <w:pPr>
        <w:pStyle w:val="ListBullet"/>
        <w:bidi w:val="1"/>
        <w:spacing w:after="80" w:before="0" w:line="276" w:lineRule="auto"/>
        <w:jc w:val="right"/>
      </w:pPr>
      <w:r>
        <w:rPr>
          <w:rFonts w:ascii="Noto Sans Arabic" w:hAnsi="Noto Sans Arabic" w:cs="Noto Sans Arabic"/>
          <w:b w:val="0"/>
          <w:color w:val="22262D"/>
          <w:sz w:val="20"/>
        </w:rPr>
        <w:t>متمحورًا حول CORE</w:t>
      </w:r>
    </w:p>
    <w:p>
      <w:pPr>
        <w:pStyle w:val="ListBullet"/>
        <w:bidi w:val="1"/>
        <w:spacing w:after="80" w:before="0" w:line="276" w:lineRule="auto"/>
        <w:jc w:val="right"/>
      </w:pPr>
      <w:r>
        <w:t>خاليًا من المصطلحات الداخلية المحمية، مع السماح فقط بالأسماء الخمسة المصرح بها في مواضع العميل التي يجيزها Entitlement</w:t>
      </w:r>
    </w:p>
    <w:p>
      <w:pPr>
        <w:bidi w:val="1"/>
        <w:spacing w:after="80" w:before="0" w:line="276" w:lineRule="auto"/>
        <w:jc w:val="right"/>
      </w:pPr>
      <w:r>
        <w:rPr>
          <w:rFonts w:ascii="Noto Sans Arabic" w:hAnsi="Noto Sans Arabic" w:cs="Noto Sans Arabic"/>
          <w:b w:val="0"/>
          <w:color w:val="22262D"/>
          <w:sz w:val="20"/>
        </w:rPr>
        <w:t>ولا يكون نسخة مصغرة من Admin.</w:t>
      </w:r>
    </w:p>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6. Landing Page</w:t>
      </w:r>
    </w:p>
    <w:p>
      <w:pPr>
        <w:bidi w:val="1"/>
        <w:spacing w:after="80" w:before="0" w:line="276" w:lineRule="auto"/>
        <w:jc w:val="right"/>
      </w:pPr>
      <w:r>
        <w:rPr>
          <w:rFonts w:ascii="Noto Sans Arabic" w:hAnsi="Noto Sans Arabic" w:cs="Noto Sans Arabic"/>
          <w:b w:val="0"/>
          <w:color w:val="22262D"/>
          <w:sz w:val="20"/>
        </w:rPr>
        <w:t>الصفحة الأولى تبدأ بـHeader بسيط يحتوي على:</w:t>
      </w:r>
    </w:p>
    <w:p>
      <w:pPr>
        <w:pStyle w:val="ListBullet"/>
        <w:spacing w:after="80" w:before="0" w:line="276" w:lineRule="auto"/>
        <w:jc w:val="left"/>
      </w:pPr>
      <w:r>
        <w:rPr>
          <w:rFonts w:ascii="Noto Sans Arabic" w:hAnsi="Noto Sans Arabic" w:cs="Noto Sans Arabic"/>
          <w:b w:val="0"/>
          <w:color w:val="22262D"/>
          <w:sz w:val="20"/>
        </w:rPr>
        <w:t>NDSP Brand</w:t>
      </w:r>
    </w:p>
    <w:p>
      <w:pPr>
        <w:pStyle w:val="ListBullet"/>
        <w:spacing w:after="80" w:before="0" w:line="276" w:lineRule="auto"/>
        <w:jc w:val="left"/>
      </w:pPr>
      <w:r>
        <w:rPr>
          <w:rFonts w:ascii="Noto Sans Arabic" w:hAnsi="Noto Sans Arabic" w:cs="Noto Sans Arabic"/>
          <w:b w:val="0"/>
          <w:color w:val="22262D"/>
          <w:sz w:val="20"/>
        </w:rPr>
        <w:t>Public Navigation</w:t>
      </w:r>
    </w:p>
    <w:p>
      <w:pPr>
        <w:pStyle w:val="ListBullet"/>
        <w:spacing w:after="80" w:before="0" w:line="276" w:lineRule="auto"/>
        <w:jc w:val="left"/>
      </w:pPr>
      <w:r>
        <w:rPr>
          <w:rFonts w:ascii="Noto Sans Arabic" w:hAnsi="Noto Sans Arabic" w:cs="Noto Sans Arabic"/>
          <w:b w:val="0"/>
          <w:color w:val="22262D"/>
          <w:sz w:val="20"/>
        </w:rPr>
        <w:t>Sign In</w:t>
      </w:r>
    </w:p>
    <w:p>
      <w:pPr>
        <w:pStyle w:val="ListBullet"/>
        <w:spacing w:after="80" w:before="0" w:line="276" w:lineRule="auto"/>
        <w:jc w:val="left"/>
      </w:pPr>
      <w:r>
        <w:rPr>
          <w:rFonts w:ascii="Noto Sans Arabic" w:hAnsi="Noto Sans Arabic" w:cs="Noto Sans Arabic"/>
          <w:b w:val="0"/>
          <w:color w:val="22262D"/>
          <w:sz w:val="20"/>
        </w:rPr>
        <w:t>Language Switcher</w:t>
      </w:r>
    </w:p>
    <w:p>
      <w:pPr>
        <w:pStyle w:val="ListBullet"/>
        <w:bidi w:val="1"/>
        <w:spacing w:after="80" w:before="0" w:line="276" w:lineRule="auto"/>
        <w:jc w:val="right"/>
      </w:pPr>
      <w:r>
        <w:rPr>
          <w:rFonts w:ascii="Noto Sans Arabic" w:hAnsi="Noto Sans Arabic" w:cs="Noto Sans Arabic"/>
          <w:b w:val="0"/>
          <w:color w:val="22262D"/>
          <w:sz w:val="20"/>
        </w:rPr>
        <w:t>Public System Status إذا سمحت Governance</w:t>
      </w:r>
    </w:p>
    <w:p>
      <w:pPr>
        <w:bidi w:val="1"/>
        <w:spacing w:after="80" w:before="0" w:line="276" w:lineRule="auto"/>
        <w:jc w:val="right"/>
      </w:pPr>
      <w:r>
        <w:rPr>
          <w:rFonts w:ascii="Noto Sans Arabic" w:hAnsi="Noto Sans Arabic" w:cs="Noto Sans Arabic"/>
          <w:b w:val="0"/>
          <w:color w:val="22262D"/>
          <w:sz w:val="20"/>
        </w:rPr>
        <w:t>ثم Hero رئيسي.</w:t>
      </w:r>
    </w:p>
    <w:p>
      <w:pPr>
        <w:pStyle w:val="Heading2"/>
        <w:keepNext/>
        <w:spacing w:before="160" w:after="100"/>
        <w:jc w:val="left"/>
      </w:pPr>
      <w:r>
        <w:rPr>
          <w:rFonts w:ascii="Noto Kufi Arabic" w:hAnsi="Noto Kufi Arabic" w:cs="Noto Kufi Arabic"/>
          <w:b/>
          <w:color w:val="22262D"/>
          <w:sz w:val="28"/>
        </w:rPr>
        <w:t>CORE Hero</w:t>
      </w:r>
    </w:p>
    <w:p>
      <w:pPr>
        <w:bidi w:val="1"/>
        <w:spacing w:after="80" w:before="0" w:line="276" w:lineRule="auto"/>
        <w:jc w:val="right"/>
      </w:pPr>
      <w:r>
        <w:rPr>
          <w:rFonts w:ascii="Noto Sans Arabic" w:hAnsi="Noto Sans Arabic" w:cs="Noto Sans Arabic"/>
          <w:b w:val="0"/>
          <w:color w:val="22262D"/>
          <w:sz w:val="20"/>
        </w:rPr>
        <w:t>أعلى عنصر بصري في Public يجب أن يكون:</w:t>
      </w:r>
    </w:p>
    <w:p>
      <w:pPr>
        <w:spacing w:after="80" w:before="0" w:line="276" w:lineRule="auto"/>
        <w:jc w:val="left"/>
      </w:pPr>
      <w:r>
        <w:rPr>
          <w:rFonts w:ascii="Noto Sans Arabic" w:hAnsi="Noto Sans Arabic" w:cs="Noto Sans Arabic"/>
          <w:b/>
          <w:color w:val="22262D"/>
          <w:sz w:val="20"/>
        </w:rPr>
        <w:t>CORE Official Direction</w:t>
      </w:r>
    </w:p>
    <w:p>
      <w:pPr>
        <w:bidi w:val="1"/>
        <w:spacing w:after="80" w:before="0" w:line="276" w:lineRule="auto"/>
        <w:jc w:val="right"/>
      </w:pPr>
      <w:r>
        <w:rPr>
          <w:rFonts w:ascii="Noto Sans Arabic" w:hAnsi="Noto Sans Arabic" w:cs="Noto Sans Arabic"/>
          <w:b w:val="0"/>
          <w:color w:val="22262D"/>
          <w:sz w:val="20"/>
        </w:rPr>
        <w:t>ويمكن أن يحتوي، حسب Public Contract:</w:t>
      </w:r>
    </w:p>
    <w:p>
      <w:pPr>
        <w:pStyle w:val="ListBullet"/>
        <w:spacing w:after="80" w:before="0" w:line="276" w:lineRule="auto"/>
        <w:jc w:val="left"/>
      </w:pPr>
      <w:r>
        <w:rPr>
          <w:rFonts w:ascii="Noto Sans Arabic" w:hAnsi="Noto Sans Arabic" w:cs="Noto Sans Arabic"/>
          <w:b w:val="0"/>
          <w:color w:val="22262D"/>
          <w:sz w:val="20"/>
        </w:rPr>
        <w:t>Asset / Symbol</w:t>
      </w:r>
    </w:p>
    <w:p>
      <w:pPr>
        <w:pStyle w:val="ListBullet"/>
        <w:spacing w:after="80" w:before="0" w:line="276" w:lineRule="auto"/>
        <w:jc w:val="left"/>
      </w:pPr>
      <w:r>
        <w:rPr>
          <w:rFonts w:ascii="Noto Sans Arabic" w:hAnsi="Noto Sans Arabic" w:cs="Noto Sans Arabic"/>
          <w:b w:val="0"/>
          <w:color w:val="22262D"/>
          <w:sz w:val="20"/>
        </w:rPr>
        <w:t>Current Official Direction</w:t>
      </w:r>
    </w:p>
    <w:p>
      <w:pPr>
        <w:pStyle w:val="ListBullet"/>
        <w:spacing w:after="80" w:before="0" w:line="276" w:lineRule="auto"/>
        <w:jc w:val="left"/>
      </w:pPr>
      <w:r>
        <w:rPr>
          <w:rFonts w:ascii="Noto Sans Arabic" w:hAnsi="Noto Sans Arabic" w:cs="Noto Sans Arabic"/>
          <w:b w:val="0"/>
          <w:color w:val="22262D"/>
          <w:sz w:val="20"/>
        </w:rPr>
        <w:t>Timestamp</w:t>
      </w:r>
    </w:p>
    <w:p>
      <w:pPr>
        <w:pStyle w:val="ListBullet"/>
        <w:spacing w:after="80" w:before="0" w:line="276" w:lineRule="auto"/>
        <w:jc w:val="left"/>
      </w:pPr>
      <w:r>
        <w:rPr>
          <w:rFonts w:ascii="Noto Sans Arabic" w:hAnsi="Noto Sans Arabic" w:cs="Noto Sans Arabic"/>
          <w:b w:val="0"/>
          <w:color w:val="22262D"/>
          <w:sz w:val="20"/>
        </w:rPr>
        <w:t>Freshness</w:t>
      </w:r>
    </w:p>
    <w:p>
      <w:pPr>
        <w:pStyle w:val="ListBullet"/>
        <w:spacing w:after="80" w:before="0" w:line="276" w:lineRule="auto"/>
        <w:jc w:val="left"/>
      </w:pPr>
      <w:r>
        <w:rPr>
          <w:rFonts w:ascii="Noto Sans Arabic" w:hAnsi="Noto Sans Arabic" w:cs="Noto Sans Arabic"/>
          <w:b w:val="0"/>
          <w:color w:val="22262D"/>
          <w:sz w:val="20"/>
        </w:rPr>
        <w:t>Governance Status</w:t>
      </w:r>
    </w:p>
    <w:p>
      <w:pPr>
        <w:pStyle w:val="ListBullet"/>
        <w:spacing w:after="80" w:before="0" w:line="276" w:lineRule="auto"/>
        <w:jc w:val="left"/>
      </w:pPr>
      <w:r>
        <w:rPr>
          <w:rFonts w:ascii="Noto Sans Arabic" w:hAnsi="Noto Sans Arabic" w:cs="Noto Sans Arabic"/>
          <w:b w:val="0"/>
          <w:color w:val="22262D"/>
          <w:sz w:val="20"/>
        </w:rPr>
        <w:t>Public Evidence Indicator</w:t>
      </w:r>
    </w:p>
    <w:p>
      <w:pPr>
        <w:pStyle w:val="ListBullet"/>
        <w:spacing w:after="80" w:before="0" w:line="276" w:lineRule="auto"/>
        <w:jc w:val="left"/>
      </w:pPr>
      <w:r>
        <w:rPr>
          <w:rFonts w:ascii="Noto Sans Arabic" w:hAnsi="Noto Sans Arabic" w:cs="Noto Sans Arabic"/>
          <w:b w:val="0"/>
          <w:color w:val="22262D"/>
          <w:sz w:val="20"/>
        </w:rPr>
        <w:t>Public Explainability Summary</w:t>
      </w:r>
    </w:p>
    <w:p>
      <w:pPr>
        <w:bidi w:val="1"/>
        <w:spacing w:after="80" w:before="0" w:line="276" w:lineRule="auto"/>
        <w:jc w:val="right"/>
      </w:pPr>
      <w:r>
        <w:t>ولا يعرض داخل CORE Hero أي منطق أو حالة داخلية للطبقات. الأسماء الخمسة المصرح بها - عند الحاجة - تظهر فقط في مساحات العميل/الباقات المخصصة لذلك، وليس ككشف للبنية الداخلية.</w:t>
      </w:r>
    </w:p>
    <w:p>
      <w:pPr>
        <w:pStyle w:val="ListBullet"/>
        <w:spacing w:after="80" w:before="0" w:line="276" w:lineRule="auto"/>
        <w:jc w:val="right"/>
        <w:bidi w:val="1"/>
      </w:pPr>
      <w:r>
        <w:t>TDL internal data / state / logic</w:t>
      </w:r>
    </w:p>
    <w:p>
      <w:pPr>
        <w:pStyle w:val="ListBullet"/>
        <w:spacing w:after="80" w:before="0" w:line="276" w:lineRule="auto"/>
        <w:jc w:val="right"/>
        <w:bidi w:val="1"/>
      </w:pPr>
      <w:r>
        <w:t>NMP internal data / state / logic</w:t>
      </w:r>
    </w:p>
    <w:p>
      <w:pPr>
        <w:pStyle w:val="ListBullet"/>
        <w:spacing w:after="80" w:before="0" w:line="276" w:lineRule="auto"/>
        <w:jc w:val="left"/>
      </w:pPr>
      <w:r>
        <w:rPr>
          <w:rFonts w:ascii="Noto Sans Arabic" w:hAnsi="Noto Sans Arabic" w:cs="Noto Sans Arabic"/>
          <w:b w:val="0"/>
          <w:color w:val="22262D"/>
          <w:sz w:val="20"/>
        </w:rPr>
        <w:t>Shadow</w:t>
      </w:r>
    </w:p>
    <w:p>
      <w:pPr>
        <w:pStyle w:val="ListBullet"/>
        <w:spacing w:after="80" w:before="0" w:line="276" w:lineRule="auto"/>
        <w:jc w:val="left"/>
      </w:pPr>
      <w:r>
        <w:rPr>
          <w:rFonts w:ascii="Noto Sans Arabic" w:hAnsi="Noto Sans Arabic" w:cs="Noto Sans Arabic"/>
          <w:b w:val="0"/>
          <w:color w:val="22262D"/>
          <w:sz w:val="20"/>
        </w:rPr>
        <w:t>Review</w:t>
      </w:r>
    </w:p>
    <w:p>
      <w:pPr>
        <w:pStyle w:val="ListBullet"/>
        <w:spacing w:after="80" w:before="0" w:line="276" w:lineRule="auto"/>
        <w:jc w:val="right"/>
        <w:bidi w:val="1"/>
      </w:pPr>
      <w:r>
        <w:t>Internal Decision Layer names / state / logic</w:t>
      </w:r>
    </w:p>
    <w:p>
      <w:pPr>
        <w:pStyle w:val="ListBullet"/>
        <w:spacing w:after="80" w:before="0" w:line="276" w:lineRule="auto"/>
        <w:jc w:val="left"/>
      </w:pPr>
      <w:r>
        <w:rPr>
          <w:rFonts w:ascii="Noto Sans Arabic" w:hAnsi="Noto Sans Arabic" w:cs="Noto Sans Arabic"/>
          <w:b w:val="0"/>
          <w:color w:val="22262D"/>
          <w:sz w:val="20"/>
        </w:rPr>
        <w:t>Internal Scoring</w:t>
      </w:r>
    </w:p>
    <w:p>
      <w:pPr>
        <w:pStyle w:val="ListBullet"/>
        <w:spacing w:after="80" w:before="0" w:line="276" w:lineRule="auto"/>
        <w:jc w:val="left"/>
      </w:pPr>
      <w:r>
        <w:rPr>
          <w:rFonts w:ascii="Noto Sans Arabic" w:hAnsi="Noto Sans Arabic" w:cs="Noto Sans Arabic"/>
          <w:b w:val="0"/>
          <w:color w:val="22262D"/>
          <w:sz w:val="20"/>
        </w:rPr>
        <w:t>Theory Lab</w:t>
      </w:r>
    </w:p>
    <w:p>
      <w:pPr>
        <w:pStyle w:val="ListBullet"/>
        <w:spacing w:after="80" w:before="0" w:line="276" w:lineRule="auto"/>
        <w:jc w:val="left"/>
      </w:pPr>
      <w:r>
        <w:rPr>
          <w:rFonts w:ascii="Noto Sans Arabic" w:hAnsi="Noto Sans Arabic" w:cs="Noto Sans Arabic"/>
          <w:b w:val="0"/>
          <w:color w:val="22262D"/>
          <w:sz w:val="20"/>
        </w:rPr>
        <w:t>Raw COT Intelligence</w:t>
      </w:r>
    </w:p>
    <w:p>
      <w:pPr>
        <w:pStyle w:val="ListBullet"/>
        <w:spacing w:after="80" w:before="0" w:line="276" w:lineRule="auto"/>
        <w:jc w:val="left"/>
      </w:pPr>
      <w:r>
        <w:rPr>
          <w:rFonts w:ascii="Noto Sans Arabic" w:hAnsi="Noto Sans Arabic" w:cs="Noto Sans Arabic"/>
          <w:b w:val="0"/>
          <w:color w:val="22262D"/>
          <w:sz w:val="20"/>
        </w:rPr>
        <w:t>Internal Contracts</w:t>
      </w:r>
    </w:p>
    <w:p>
      <w:pPr>
        <w:jc w:val="right"/>
        <w:bidi w:val="1"/>
      </w:pPr>
      <w:r>
        <w:t>ملاحظة حاكمة: منع TDL/NMP هنا يعني منع كشفها داخل CORE Hero كبيانات/حالة/منطق. اسم TDL واسم NMP ضمن قائمة الأسماء الخمسة المسموح بها يمكن ظهورهما NAME-ONLY في Customer Workspace/Plans وفق الصلاحية.</w:t>
      </w:r>
    </w:p>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7. Public Scroll Narrative</w:t>
      </w:r>
    </w:p>
    <w:p>
      <w:pPr>
        <w:bidi w:val="1"/>
        <w:spacing w:after="80" w:before="0" w:line="276" w:lineRule="auto"/>
        <w:jc w:val="right"/>
      </w:pPr>
      <w:r>
        <w:rPr>
          <w:rFonts w:ascii="Noto Sans Arabic" w:hAnsi="Noto Sans Arabic" w:cs="Noto Sans Arabic"/>
          <w:b w:val="0"/>
          <w:color w:val="22262D"/>
          <w:sz w:val="20"/>
        </w:rPr>
        <w:t>بعد CORE Hero يسير المستخدم في تسلسل:</w:t>
      </w:r>
    </w:p>
    <w:tbl>
      <w:tblPr>
        <w:tblW w:type="auto" w:w="0"/>
        <w:jc w:val="center"/>
        <w:tblLayout w:type="fixed"/>
        <w:tblLook w:firstColumn="1" w:firstRow="1" w:lastColumn="0" w:lastRow="0" w:noHBand="0" w:noVBand="1" w:val="04A0"/>
      </w:tblPr>
      <w:tblGrid>
        <w:gridCol w:w="9866"/>
      </w:tblGrid>
      <w:tr>
        <w:tc>
          <w:tcPr>
            <w:tcW w:type="dxa" w:w="9866"/>
            <w:shd w:fill="F1F3F5"/>
            <w:tcMar>
              <w:top w:w="90" w:type="dxa"/>
              <w:start w:w="100" w:type="dxa"/>
              <w:bottom w:w="90" w:type="dxa"/>
              <w:end w:w="100" w:type="dxa"/>
            </w:tcMar>
          </w:tcPr>
          <w:p>
            <w:pPr>
              <w:spacing w:after="0" w:line="228" w:lineRule="auto"/>
              <w:jc w:val="left"/>
            </w:pPr>
            <w:r>
              <w:rPr>
                <w:rFonts w:ascii="DejaVu Sans Mono" w:hAnsi="DejaVu Sans Mono" w:cs="DejaVu Sans Mono"/>
                <w:b w:val="0"/>
                <w:color w:val="30343B"/>
                <w:sz w:val="12"/>
              </w:rPr>
              <w:t>CORE Official Direction</w:t>
              <w:br/>
              <w:t xml:space="preserve">        ↓</w:t>
              <w:br/>
              <w:t>Market Context</w:t>
              <w:br/>
              <w:t xml:space="preserve">        ↓</w:t>
              <w:br/>
              <w:t>Why This Direction?</w:t>
              <w:br/>
              <w:t xml:space="preserve">        ↓</w:t>
              <w:br/>
              <w:t>Evidence</w:t>
              <w:br/>
              <w:t xml:space="preserve">        ↓</w:t>
              <w:br/>
              <w:t>Freshness</w:t>
              <w:br/>
              <w:t xml:space="preserve">        ↓</w:t>
              <w:br/>
              <w:t>Governance Trust</w:t>
              <w:br/>
              <w:t xml:space="preserve">        ↓</w:t>
              <w:br/>
              <w:t>Methodology / Transparency</w:t>
            </w:r>
          </w:p>
        </w:tc>
      </w:tr>
    </w:tbl>
    <w:p>
      <w:pPr>
        <w:bidi w:val="1"/>
        <w:spacing w:after="80" w:before="0" w:line="276" w:lineRule="auto"/>
        <w:jc w:val="right"/>
      </w:pPr>
      <w:r>
        <w:rPr>
          <w:rFonts w:ascii="Noto Sans Arabic" w:hAnsi="Noto Sans Arabic" w:cs="Noto Sans Arabic"/>
          <w:b w:val="0"/>
          <w:color w:val="22262D"/>
          <w:sz w:val="20"/>
        </w:rPr>
        <w:t>Public Experience يجب أن يكون أقرب إلى:</w:t>
      </w:r>
    </w:p>
    <w:p>
      <w:pPr>
        <w:spacing w:after="80" w:before="0" w:line="276" w:lineRule="auto"/>
        <w:jc w:val="left"/>
      </w:pPr>
      <w:r>
        <w:rPr>
          <w:rFonts w:ascii="Noto Sans Arabic" w:hAnsi="Noto Sans Arabic" w:cs="Noto Sans Arabic"/>
          <w:b/>
          <w:color w:val="22262D"/>
          <w:sz w:val="20"/>
        </w:rPr>
        <w:t>Executive Intelligence Product</w:t>
      </w:r>
    </w:p>
    <w:p>
      <w:pPr>
        <w:bidi w:val="1"/>
        <w:spacing w:after="80" w:before="0" w:line="276" w:lineRule="auto"/>
        <w:jc w:val="right"/>
      </w:pPr>
      <w:r>
        <w:rPr>
          <w:rFonts w:ascii="Noto Sans Arabic" w:hAnsi="Noto Sans Arabic" w:cs="Noto Sans Arabic"/>
          <w:b w:val="0"/>
          <w:color w:val="22262D"/>
          <w:sz w:val="20"/>
        </w:rPr>
        <w:t>من Dashboard تقليدية.</w:t>
      </w:r>
    </w:p>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8. Public User Workspace</w:t>
      </w:r>
    </w:p>
    <w:p>
      <w:pPr>
        <w:bidi w:val="1"/>
        <w:spacing w:after="80" w:before="0" w:line="276" w:lineRule="auto"/>
        <w:jc w:val="right"/>
      </w:pPr>
      <w:r>
        <w:rPr>
          <w:rFonts w:ascii="Noto Sans Arabic" w:hAnsi="Noto Sans Arabic" w:cs="Noto Sans Arabic"/>
          <w:b w:val="0"/>
          <w:color w:val="22262D"/>
          <w:sz w:val="20"/>
        </w:rPr>
        <w:t>بعد تسجيل الدخول العام:</w:t>
      </w:r>
    </w:p>
    <w:tbl>
      <w:tblPr>
        <w:tblW w:type="auto" w:w="0"/>
        <w:jc w:val="center"/>
        <w:tblLayout w:type="fixed"/>
        <w:tblLook w:firstColumn="1" w:firstRow="1" w:lastColumn="0" w:lastRow="0" w:noHBand="0" w:noVBand="1" w:val="04A0"/>
      </w:tblPr>
      <w:tblGrid>
        <w:gridCol w:w="9866"/>
      </w:tblGrid>
      <w:tr>
        <w:tc>
          <w:tcPr>
            <w:tcW w:type="dxa" w:w="9866"/>
            <w:shd w:fill="F1F3F5"/>
            <w:tcMar>
              <w:top w:w="90" w:type="dxa"/>
              <w:start w:w="100" w:type="dxa"/>
              <w:bottom w:w="90" w:type="dxa"/>
              <w:end w:w="100" w:type="dxa"/>
            </w:tcMar>
          </w:tcPr>
          <w:p>
            <w:pPr>
              <w:spacing w:after="0" w:line="228" w:lineRule="auto"/>
              <w:jc w:val="left"/>
            </w:pPr>
            <w:r>
              <w:rPr>
                <w:rFonts w:ascii="DejaVu Sans Mono" w:hAnsi="DejaVu Sans Mono" w:cs="DejaVu Sans Mono"/>
                <w:b w:val="0"/>
                <w:color w:val="30343B"/>
                <w:sz w:val="12"/>
              </w:rPr>
              <w:t>Overview</w:t>
              <w:br/>
              <w:t>→ CORE</w:t>
              <w:br/>
              <w:t>→ Market Context</w:t>
              <w:br/>
              <w:t>→ Evidence</w:t>
              <w:br/>
              <w:t>→ Methodology</w:t>
              <w:br/>
              <w:t>→ Account</w:t>
            </w:r>
          </w:p>
        </w:tc>
      </w:tr>
    </w:tbl>
    <w:p>
      <w:pPr>
        <w:bidi w:val="1"/>
        <w:spacing w:after="80" w:before="0" w:line="276" w:lineRule="auto"/>
        <w:jc w:val="right"/>
      </w:pPr>
      <w:r>
        <w:rPr>
          <w:rFonts w:ascii="Noto Sans Arabic" w:hAnsi="Noto Sans Arabic" w:cs="Noto Sans Arabic"/>
          <w:b w:val="0"/>
          <w:color w:val="22262D"/>
          <w:sz w:val="20"/>
        </w:rPr>
        <w:t>الشاشة الرئيسية تتمحور حول:</w:t>
      </w:r>
    </w:p>
    <w:p>
      <w:pPr>
        <w:spacing w:after="80" w:before="0" w:line="276" w:lineRule="auto"/>
        <w:jc w:val="left"/>
      </w:pPr>
      <w:r>
        <w:rPr>
          <w:rFonts w:ascii="Noto Sans Arabic" w:hAnsi="Noto Sans Arabic" w:cs="Noto Sans Arabic"/>
          <w:b/>
          <w:color w:val="22262D"/>
          <w:sz w:val="20"/>
        </w:rPr>
        <w:t>CORE Official Direction Card</w:t>
      </w:r>
    </w:p>
    <w:p>
      <w:pPr>
        <w:bidi w:val="1"/>
        <w:spacing w:after="80" w:before="0" w:line="276" w:lineRule="auto"/>
        <w:jc w:val="right"/>
      </w:pPr>
      <w:r>
        <w:rPr>
          <w:rFonts w:ascii="Noto Sans Arabic" w:hAnsi="Noto Sans Arabic" w:cs="Noto Sans Arabic"/>
          <w:b w:val="0"/>
          <w:color w:val="22262D"/>
          <w:sz w:val="20"/>
        </w:rPr>
        <w:t>ثم:</w:t>
      </w:r>
    </w:p>
    <w:p>
      <w:pPr>
        <w:pStyle w:val="ListBullet"/>
        <w:spacing w:after="80" w:before="0" w:line="276" w:lineRule="auto"/>
        <w:jc w:val="left"/>
      </w:pPr>
      <w:r>
        <w:rPr>
          <w:rFonts w:ascii="Noto Sans Arabic" w:hAnsi="Noto Sans Arabic" w:cs="Noto Sans Arabic"/>
          <w:b w:val="0"/>
          <w:color w:val="22262D"/>
          <w:sz w:val="20"/>
        </w:rPr>
        <w:t>Market Context Summary</w:t>
      </w:r>
    </w:p>
    <w:p>
      <w:pPr>
        <w:pStyle w:val="ListBullet"/>
        <w:spacing w:after="80" w:before="0" w:line="276" w:lineRule="auto"/>
        <w:jc w:val="left"/>
      </w:pPr>
      <w:r>
        <w:rPr>
          <w:rFonts w:ascii="Noto Sans Arabic" w:hAnsi="Noto Sans Arabic" w:cs="Noto Sans Arabic"/>
          <w:b w:val="0"/>
          <w:color w:val="22262D"/>
          <w:sz w:val="20"/>
        </w:rPr>
        <w:t>Evidence Summary</w:t>
      </w:r>
    </w:p>
    <w:p>
      <w:pPr>
        <w:pStyle w:val="ListBullet"/>
        <w:spacing w:after="80" w:before="0" w:line="276" w:lineRule="auto"/>
        <w:jc w:val="left"/>
      </w:pPr>
      <w:r>
        <w:rPr>
          <w:rFonts w:ascii="Noto Sans Arabic" w:hAnsi="Noto Sans Arabic" w:cs="Noto Sans Arabic"/>
          <w:b w:val="0"/>
          <w:color w:val="22262D"/>
          <w:sz w:val="20"/>
        </w:rPr>
        <w:t>Explainability Summary</w:t>
      </w:r>
    </w:p>
    <w:p>
      <w:pPr>
        <w:pStyle w:val="ListBullet"/>
        <w:spacing w:after="80" w:before="0" w:line="276" w:lineRule="auto"/>
        <w:jc w:val="left"/>
      </w:pPr>
      <w:r>
        <w:rPr>
          <w:rFonts w:ascii="Noto Sans Arabic" w:hAnsi="Noto Sans Arabic" w:cs="Noto Sans Arabic"/>
          <w:b w:val="0"/>
          <w:color w:val="22262D"/>
          <w:sz w:val="20"/>
        </w:rPr>
        <w:t>Freshness</w:t>
      </w:r>
    </w:p>
    <w:p>
      <w:pPr>
        <w:pStyle w:val="ListBullet"/>
        <w:spacing w:after="80" w:before="0" w:line="276" w:lineRule="auto"/>
        <w:jc w:val="left"/>
      </w:pPr>
      <w:r>
        <w:rPr>
          <w:rFonts w:ascii="Noto Sans Arabic" w:hAnsi="Noto Sans Arabic" w:cs="Noto Sans Arabic"/>
          <w:b w:val="0"/>
          <w:color w:val="22262D"/>
          <w:sz w:val="20"/>
        </w:rPr>
        <w:t>Governance Publication State</w:t>
      </w:r>
    </w:p>
    <w:p>
      <w:pPr>
        <w:pStyle w:val="ListBullet"/>
        <w:jc w:val="right"/>
        <w:bidi w:val="1"/>
      </w:pPr>
      <w:r>
        <w:t>Decision Intelligence Access - NAME-ONLY حسب الباقة</w:t>
      </w:r>
    </w:p>
    <w:p>
      <w:pPr>
        <w:pStyle w:val="ListBullet"/>
        <w:jc w:val="right"/>
        <w:bidi w:val="1"/>
      </w:pPr>
      <w:r>
        <w:t>Current Plan / Entitlement / Upgrade State</w:t>
      </w:r>
    </w:p>
    <w:p>
      <w:pPr>
        <w:bidi w:val="1"/>
        <w:spacing w:after="80" w:before="0" w:line="276" w:lineRule="auto"/>
        <w:jc w:val="right"/>
      </w:pPr>
      <w:r>
        <w:rPr>
          <w:rFonts w:ascii="Noto Sans Arabic" w:hAnsi="Noto Sans Arabic" w:cs="Noto Sans Arabic"/>
          <w:b w:val="0"/>
          <w:color w:val="22262D"/>
          <w:sz w:val="20"/>
        </w:rPr>
        <w:t>يمكن إضافة Asset Selector أو Timeframe Selector فقط إذا سمح Public Contract بذلك.</w:t>
      </w:r>
    </w:p>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9. Public Guardrails</w:t>
      </w:r>
    </w:p>
    <w:p>
      <w:pPr>
        <w:bidi w:val="1"/>
        <w:spacing w:after="80" w:before="0" w:line="276" w:lineRule="auto"/>
        <w:jc w:val="right"/>
      </w:pPr>
      <w:r>
        <w:t>يحظر في Public / Customer surfaces كشف البيانات والمنطق الداخلي التالي، مع وجود استثناء NAME-ONLY للأسماء الخمسة المصرح بها حسب Entitlement:</w:t>
      </w:r>
    </w:p>
    <w:p>
      <w:pPr>
        <w:pStyle w:val="ListBullet"/>
        <w:spacing w:after="80" w:before="0" w:line="276" w:lineRule="auto"/>
        <w:jc w:val="right"/>
        <w:bidi w:val="1"/>
      </w:pPr>
      <w:r>
        <w:t>TDL internal data / state / logic</w:t>
      </w:r>
    </w:p>
    <w:p>
      <w:pPr>
        <w:pStyle w:val="ListBullet"/>
        <w:spacing w:after="80" w:before="0" w:line="276" w:lineRule="auto"/>
        <w:jc w:val="right"/>
        <w:bidi w:val="1"/>
      </w:pPr>
      <w:r>
        <w:t>NMP internal data / state / logic</w:t>
      </w:r>
    </w:p>
    <w:p>
      <w:pPr>
        <w:pStyle w:val="ListBullet"/>
        <w:spacing w:after="80" w:before="0" w:line="276" w:lineRule="auto"/>
        <w:jc w:val="left"/>
      </w:pPr>
      <w:r>
        <w:rPr>
          <w:rFonts w:ascii="Noto Sans Arabic" w:hAnsi="Noto Sans Arabic" w:cs="Noto Sans Arabic"/>
          <w:b w:val="0"/>
          <w:color w:val="22262D"/>
          <w:sz w:val="20"/>
        </w:rPr>
        <w:t>Shadow</w:t>
      </w:r>
    </w:p>
    <w:p>
      <w:pPr>
        <w:pStyle w:val="ListBullet"/>
        <w:spacing w:after="80" w:before="0" w:line="276" w:lineRule="auto"/>
        <w:jc w:val="left"/>
      </w:pPr>
      <w:r>
        <w:rPr>
          <w:rFonts w:ascii="Noto Sans Arabic" w:hAnsi="Noto Sans Arabic" w:cs="Noto Sans Arabic"/>
          <w:b w:val="0"/>
          <w:color w:val="22262D"/>
          <w:sz w:val="20"/>
        </w:rPr>
        <w:t>Review</w:t>
      </w:r>
    </w:p>
    <w:p>
      <w:pPr>
        <w:pStyle w:val="ListBullet"/>
        <w:spacing w:after="80" w:before="0" w:line="276" w:lineRule="auto"/>
        <w:jc w:val="left"/>
      </w:pPr>
      <w:r>
        <w:rPr>
          <w:rFonts w:ascii="Noto Sans Arabic" w:hAnsi="Noto Sans Arabic" w:cs="Noto Sans Arabic"/>
          <w:b w:val="0"/>
          <w:color w:val="22262D"/>
          <w:sz w:val="20"/>
        </w:rPr>
        <w:t>Decision Intelligence internals</w:t>
      </w:r>
    </w:p>
    <w:p>
      <w:pPr>
        <w:pStyle w:val="ListBullet"/>
        <w:spacing w:after="80" w:before="0" w:line="276" w:lineRule="auto"/>
        <w:jc w:val="right"/>
        <w:bidi w:val="1"/>
      </w:pPr>
      <w:r>
        <w:t>Internal Decision Layers 01–16 names / state / logic</w:t>
      </w:r>
    </w:p>
    <w:p>
      <w:pPr>
        <w:pStyle w:val="ListBullet"/>
        <w:spacing w:after="80" w:before="0" w:line="276" w:lineRule="auto"/>
        <w:jc w:val="left"/>
      </w:pPr>
      <w:r>
        <w:rPr>
          <w:rFonts w:ascii="Noto Sans Arabic" w:hAnsi="Noto Sans Arabic" w:cs="Noto Sans Arabic"/>
          <w:b w:val="0"/>
          <w:color w:val="22262D"/>
          <w:sz w:val="20"/>
        </w:rPr>
        <w:t>Internal Scoring</w:t>
      </w:r>
    </w:p>
    <w:p>
      <w:pPr>
        <w:pStyle w:val="ListBullet"/>
        <w:spacing w:after="80" w:before="0" w:line="276" w:lineRule="auto"/>
        <w:jc w:val="left"/>
      </w:pPr>
      <w:r>
        <w:rPr>
          <w:rFonts w:ascii="Noto Sans Arabic" w:hAnsi="Noto Sans Arabic" w:cs="Noto Sans Arabic"/>
          <w:b w:val="0"/>
          <w:color w:val="22262D"/>
          <w:sz w:val="20"/>
        </w:rPr>
        <w:t>Theory Lab</w:t>
      </w:r>
    </w:p>
    <w:p>
      <w:pPr>
        <w:pStyle w:val="ListBullet"/>
        <w:spacing w:after="80" w:before="0" w:line="276" w:lineRule="auto"/>
        <w:jc w:val="left"/>
      </w:pPr>
      <w:r>
        <w:rPr>
          <w:rFonts w:ascii="Noto Sans Arabic" w:hAnsi="Noto Sans Arabic" w:cs="Noto Sans Arabic"/>
          <w:b w:val="0"/>
          <w:color w:val="22262D"/>
          <w:sz w:val="20"/>
        </w:rPr>
        <w:t>Raw COT Analytics</w:t>
      </w:r>
    </w:p>
    <w:p>
      <w:pPr>
        <w:pStyle w:val="ListBullet"/>
        <w:spacing w:after="80" w:before="0" w:line="276" w:lineRule="auto"/>
        <w:jc w:val="left"/>
      </w:pPr>
      <w:r>
        <w:rPr>
          <w:rFonts w:ascii="Noto Sans Arabic" w:hAnsi="Noto Sans Arabic" w:cs="Noto Sans Arabic"/>
          <w:b w:val="0"/>
          <w:color w:val="22262D"/>
          <w:sz w:val="20"/>
        </w:rPr>
        <w:t>Capability Matrix</w:t>
      </w:r>
    </w:p>
    <w:p>
      <w:pPr>
        <w:pStyle w:val="ListBullet"/>
        <w:spacing w:after="80" w:before="0" w:line="276" w:lineRule="auto"/>
        <w:jc w:val="left"/>
      </w:pPr>
      <w:r>
        <w:rPr>
          <w:rFonts w:ascii="Noto Sans Arabic" w:hAnsi="Noto Sans Arabic" w:cs="Noto Sans Arabic"/>
          <w:b w:val="0"/>
          <w:color w:val="22262D"/>
          <w:sz w:val="20"/>
        </w:rPr>
        <w:t>Internal Evidence</w:t>
      </w:r>
    </w:p>
    <w:p>
      <w:pPr>
        <w:pStyle w:val="ListBullet"/>
        <w:spacing w:after="80" w:before="0" w:line="276" w:lineRule="auto"/>
        <w:jc w:val="left"/>
      </w:pPr>
      <w:r>
        <w:rPr>
          <w:rFonts w:ascii="Noto Sans Arabic" w:hAnsi="Noto Sans Arabic" w:cs="Noto Sans Arabic"/>
          <w:b w:val="0"/>
          <w:color w:val="22262D"/>
          <w:sz w:val="20"/>
        </w:rPr>
        <w:t>Internal Logs</w:t>
      </w:r>
    </w:p>
    <w:p>
      <w:pPr>
        <w:pStyle w:val="ListBullet"/>
        <w:spacing w:after="80" w:before="0" w:line="276" w:lineRule="auto"/>
        <w:jc w:val="left"/>
      </w:pPr>
      <w:r>
        <w:rPr>
          <w:rFonts w:ascii="Noto Sans Arabic" w:hAnsi="Noto Sans Arabic" w:cs="Noto Sans Arabic"/>
          <w:b w:val="0"/>
          <w:color w:val="22262D"/>
          <w:sz w:val="20"/>
        </w:rPr>
        <w:t>Internal Contracts</w:t>
      </w:r>
    </w:p>
    <w:p>
      <w:pPr>
        <w:pStyle w:val="ListBullet"/>
        <w:spacing w:after="80" w:before="0" w:line="276" w:lineRule="auto"/>
        <w:jc w:val="left"/>
      </w:pPr>
      <w:r>
        <w:rPr>
          <w:rFonts w:ascii="Noto Sans Arabic" w:hAnsi="Noto Sans Arabic" w:cs="Noto Sans Arabic"/>
          <w:b w:val="0"/>
          <w:color w:val="22262D"/>
          <w:sz w:val="20"/>
        </w:rPr>
        <w:t>Internal Database Access</w:t>
      </w:r>
    </w:p>
    <w:p>
      <w:pPr>
        <w:jc w:val="right"/>
        <w:bidi w:val="1"/>
      </w:pPr>
      <w:r>
        <w:t>استثناء العرض التجاري المصرح به - NAME-ONLY EXPOSURE:</w:t>
      </w:r>
    </w:p>
    <w:p>
      <w:pPr>
        <w:pStyle w:val="ListBullet"/>
        <w:jc w:val="right"/>
        <w:bidi w:val="1"/>
      </w:pPr>
      <w:r>
        <w:t>يمكن للعميل رؤية خمسة أسماء معتمدة فقط: TDL، NMP، Nawaf Golden Signal، Enhanced Nawaf Golden Signal، Devil’s Advocate.</w:t>
      </w:r>
    </w:p>
    <w:p>
      <w:pPr>
        <w:pStyle w:val="ListBullet"/>
        <w:jc w:val="right"/>
        <w:bidi w:val="1"/>
      </w:pPr>
      <w:r>
        <w:t>هذا الاستثناء لا يسمح بعرض منطق الطبقة أو صيغها أو أوزانها أو Inputs أو قيمها/نتائجها أو حالتها الداخلية أو مصادرها أو Producer أو Contract أو علاقاتها الداخلية.</w:t>
      </w:r>
    </w:p>
    <w:p>
      <w:pPr>
        <w:pStyle w:val="ListBullet"/>
        <w:jc w:val="right"/>
        <w:bidi w:val="1"/>
      </w:pPr>
      <w:r>
        <w:t>أسماء الـ11 طبقة/مكوّنات المحمية المتبقية لا تظهر مطلقًا للمستخدم، ولا في DOM أو API أو routes أو metadata أو logs أو accessibility labels.</w:t>
      </w:r>
    </w:p>
    <w:p>
      <w:pPr>
        <w:pStyle w:val="ListBullet"/>
        <w:jc w:val="right"/>
        <w:bidi w:val="1"/>
      </w:pPr>
      <w:r>
        <w:t>أي Output على مستوى طبقة منفردة يتطلب عقد Public مستقل وموافقة Governance؛ الاسم المسموح لا يعني السماح بالنتيجة.</w:t>
      </w:r>
    </w:p>
    <w:p>
      <w:pPr>
        <w:pStyle w:val="ListBullet"/>
        <w:jc w:val="right"/>
        <w:bidi w:val="1"/>
      </w:pPr>
      <w:r>
        <w:t>Entitlement يجب أن يُفرض Server-side؛ إرسال البيانات السرية للمتصفح ثم إخفاؤها بـCSS ممنوع.</w:t>
      </w:r>
    </w:p>
    <w:p>
      <w:pPr>
        <w:bidi w:val="1"/>
        <w:spacing w:after="80" w:before="0" w:line="276" w:lineRule="auto"/>
        <w:jc w:val="right"/>
      </w:pPr>
      <w:r>
        <w:rPr>
          <w:rFonts w:ascii="Noto Sans Arabic" w:hAnsi="Noto Sans Arabic" w:cs="Noto Sans Arabic"/>
          <w:b w:val="0"/>
          <w:color w:val="22262D"/>
          <w:sz w:val="20"/>
        </w:rPr>
        <w:t>ويجب ألا توجد حتى كـhidden routes تعتمد فقط على إخفاء CSS.</w:t>
      </w:r>
    </w:p>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10. Admin / Review Experience</w:t>
      </w:r>
    </w:p>
    <w:p>
      <w:pPr>
        <w:bidi w:val="1"/>
        <w:spacing w:after="80" w:before="0" w:line="276" w:lineRule="auto"/>
        <w:jc w:val="right"/>
      </w:pPr>
      <w:r>
        <w:rPr>
          <w:rFonts w:ascii="Noto Sans Arabic" w:hAnsi="Noto Sans Arabic" w:cs="Noto Sans Arabic"/>
          <w:b w:val="0"/>
          <w:color w:val="22262D"/>
          <w:sz w:val="20"/>
        </w:rPr>
        <w:t>Admin/Review هو:</w:t>
      </w:r>
    </w:p>
    <w:p>
      <w:pPr>
        <w:spacing w:after="80" w:before="0" w:line="276" w:lineRule="auto"/>
        <w:jc w:val="left"/>
      </w:pPr>
      <w:r>
        <w:rPr>
          <w:rFonts w:ascii="Noto Sans Arabic" w:hAnsi="Noto Sans Arabic" w:cs="Noto Sans Arabic"/>
          <w:b/>
          <w:color w:val="22262D"/>
          <w:sz w:val="20"/>
        </w:rPr>
        <w:t>Mission Control for Decision Intelligence</w:t>
      </w:r>
    </w:p>
    <w:p>
      <w:pPr>
        <w:bidi w:val="1"/>
        <w:spacing w:after="80" w:before="0" w:line="276" w:lineRule="auto"/>
        <w:jc w:val="right"/>
      </w:pPr>
      <w:r>
        <w:rPr>
          <w:rFonts w:ascii="Noto Sans Arabic" w:hAnsi="Noto Sans Arabic" w:cs="Noto Sans Arabic"/>
          <w:b w:val="0"/>
          <w:color w:val="22262D"/>
          <w:sz w:val="20"/>
        </w:rPr>
        <w:t>ويكون:</w:t>
      </w:r>
    </w:p>
    <w:p>
      <w:pPr>
        <w:pStyle w:val="ListBullet"/>
        <w:spacing w:after="80" w:before="0" w:line="276" w:lineRule="auto"/>
        <w:jc w:val="left"/>
      </w:pPr>
      <w:r>
        <w:rPr>
          <w:rFonts w:ascii="Noto Sans Arabic" w:hAnsi="Noto Sans Arabic" w:cs="Noto Sans Arabic"/>
          <w:b w:val="0"/>
          <w:color w:val="22262D"/>
          <w:sz w:val="20"/>
        </w:rPr>
        <w:t>Desktop-first</w:t>
      </w:r>
    </w:p>
    <w:p>
      <w:pPr>
        <w:pStyle w:val="ListBullet"/>
        <w:spacing w:after="80" w:before="0" w:line="276" w:lineRule="auto"/>
        <w:jc w:val="left"/>
      </w:pPr>
      <w:r>
        <w:rPr>
          <w:rFonts w:ascii="Noto Sans Arabic" w:hAnsi="Noto Sans Arabic" w:cs="Noto Sans Arabic"/>
          <w:b w:val="0"/>
          <w:color w:val="22262D"/>
          <w:sz w:val="20"/>
        </w:rPr>
        <w:t>Analytical</w:t>
      </w:r>
    </w:p>
    <w:p>
      <w:pPr>
        <w:pStyle w:val="ListBullet"/>
        <w:spacing w:after="80" w:before="0" w:line="276" w:lineRule="auto"/>
        <w:jc w:val="left"/>
      </w:pPr>
      <w:r>
        <w:rPr>
          <w:rFonts w:ascii="Noto Sans Arabic" w:hAnsi="Noto Sans Arabic" w:cs="Noto Sans Arabic"/>
          <w:b w:val="0"/>
          <w:color w:val="22262D"/>
          <w:sz w:val="20"/>
        </w:rPr>
        <w:t>Information-dense</w:t>
      </w:r>
    </w:p>
    <w:p>
      <w:pPr>
        <w:pStyle w:val="ListBullet"/>
        <w:spacing w:after="80" w:before="0" w:line="276" w:lineRule="auto"/>
        <w:jc w:val="left"/>
      </w:pPr>
      <w:r>
        <w:rPr>
          <w:rFonts w:ascii="Noto Sans Arabic" w:hAnsi="Noto Sans Arabic" w:cs="Noto Sans Arabic"/>
          <w:b w:val="0"/>
          <w:color w:val="22262D"/>
          <w:sz w:val="20"/>
        </w:rPr>
        <w:t>Evidence-driven</w:t>
      </w:r>
    </w:p>
    <w:p>
      <w:pPr>
        <w:pStyle w:val="ListBullet"/>
        <w:spacing w:after="80" w:before="0" w:line="276" w:lineRule="auto"/>
        <w:jc w:val="left"/>
      </w:pPr>
      <w:r>
        <w:rPr>
          <w:rFonts w:ascii="Noto Sans Arabic" w:hAnsi="Noto Sans Arabic" w:cs="Noto Sans Arabic"/>
          <w:b w:val="0"/>
          <w:color w:val="22262D"/>
          <w:sz w:val="20"/>
        </w:rPr>
        <w:t>Governance-aware</w:t>
      </w:r>
    </w:p>
    <w:p>
      <w:pPr>
        <w:pStyle w:val="ListBullet"/>
        <w:spacing w:after="80" w:before="0" w:line="276" w:lineRule="auto"/>
        <w:jc w:val="left"/>
      </w:pPr>
      <w:r>
        <w:rPr>
          <w:rFonts w:ascii="Noto Sans Arabic" w:hAnsi="Noto Sans Arabic" w:cs="Noto Sans Arabic"/>
          <w:b w:val="0"/>
          <w:color w:val="22262D"/>
          <w:sz w:val="20"/>
        </w:rPr>
        <w:t>Keyboard-friendly</w:t>
      </w:r>
    </w:p>
    <w:p>
      <w:pPr>
        <w:pStyle w:val="ListBullet"/>
        <w:spacing w:after="80" w:before="0" w:line="276" w:lineRule="auto"/>
        <w:jc w:val="left"/>
      </w:pPr>
      <w:r>
        <w:rPr>
          <w:rFonts w:ascii="Noto Sans Arabic" w:hAnsi="Noto Sans Arabic" w:cs="Noto Sans Arabic"/>
          <w:b w:val="0"/>
          <w:color w:val="22262D"/>
          <w:sz w:val="20"/>
        </w:rPr>
        <w:t>Role-aware</w:t>
      </w:r>
    </w:p>
    <w:p>
      <w:pPr>
        <w:bidi w:val="1"/>
        <w:spacing w:after="80" w:before="0" w:line="276" w:lineRule="auto"/>
        <w:jc w:val="right"/>
      </w:pPr>
      <w:r>
        <w:rPr>
          <w:rFonts w:ascii="Noto Sans Arabic" w:hAnsi="Noto Sans Arabic" w:cs="Noto Sans Arabic"/>
          <w:b w:val="0"/>
          <w:color w:val="22262D"/>
          <w:sz w:val="20"/>
        </w:rPr>
        <w:t>مع فصل واضح عن Public.</w:t>
      </w:r>
    </w:p>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11. Admin Navigation</w:t>
      </w:r>
    </w:p>
    <w:tbl>
      <w:tblPr>
        <w:tblW w:type="auto" w:w="0"/>
        <w:jc w:val="center"/>
        <w:tblLayout w:type="fixed"/>
        <w:tblLook w:firstColumn="1" w:firstRow="1" w:lastColumn="0" w:lastRow="0" w:noHBand="0" w:noVBand="1" w:val="04A0"/>
      </w:tblPr>
      <w:tblGrid>
        <w:gridCol w:w="9866"/>
      </w:tblGrid>
      <w:tr>
        <w:tc>
          <w:tcPr>
            <w:tcW w:type="dxa" w:w="9866"/>
            <w:shd w:fill="F1F3F5"/>
            <w:tcMar>
              <w:top w:w="90" w:type="dxa"/>
              <w:start w:w="100" w:type="dxa"/>
              <w:bottom w:w="90" w:type="dxa"/>
              <w:end w:w="100" w:type="dxa"/>
            </w:tcMar>
          </w:tcPr>
          <w:p>
            <w:pPr>
              <w:spacing w:after="0" w:line="228" w:lineRule="auto"/>
              <w:jc w:val="left"/>
            </w:pPr>
            <w:r>
              <w:rPr>
                <w:rFonts w:ascii="DejaVu Sans Mono" w:hAnsi="DejaVu Sans Mono" w:cs="DejaVu Sans Mono"/>
                <w:b w:val="0"/>
                <w:color w:val="30343B"/>
                <w:sz w:val="12"/>
              </w:rPr>
              <w:t>Command Center</w:t>
              <w:br/>
              <w:t>→ Data Intelligence</w:t>
              <w:br/>
              <w:t>→ Market Intelligence</w:t>
              <w:br/>
              <w:t>→ Institutional Intelligence</w:t>
              <w:br/>
              <w:t>→ Theory Lab</w:t>
              <w:br/>
              <w:t>→ TDL</w:t>
              <w:br/>
              <w:t>→ Scenarios</w:t>
              <w:br/>
              <w:t>→ NMP Review</w:t>
              <w:br/>
              <w:t>→ Golden</w:t>
              <w:br/>
              <w:t>→ CORE Review</w:t>
              <w:br/>
              <w:t>→ Decision Intelligence</w:t>
              <w:br/>
              <w:t>→ Scoring</w:t>
              <w:br/>
              <w:t>→ Governance</w:t>
              <w:br/>
              <w:t>→ Shadow / Review</w:t>
              <w:br/>
              <w:t>→ Capability Matrix</w:t>
              <w:br/>
              <w:t>→ Explainability</w:t>
              <w:br/>
              <w:t>→ Operations &amp; Security</w:t>
            </w:r>
          </w:p>
        </w:tc>
      </w:tr>
    </w:tbl>
    <w:p>
      <w:pPr>
        <w:bidi w:val="1"/>
        <w:spacing w:after="80" w:before="0" w:line="276" w:lineRule="auto"/>
        <w:jc w:val="right"/>
      </w:pPr>
      <w:r>
        <w:rPr>
          <w:rFonts w:ascii="Noto Sans Arabic" w:hAnsi="Noto Sans Arabic" w:cs="Noto Sans Arabic"/>
          <w:b w:val="0"/>
          <w:color w:val="22262D"/>
          <w:sz w:val="20"/>
        </w:rPr>
        <w:t>هذا Navigation Reference وليس processing pipeline.</w:t>
      </w:r>
    </w:p>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12. Admin Command Center</w:t>
      </w:r>
    </w:p>
    <w:p>
      <w:pPr>
        <w:bidi w:val="1"/>
        <w:spacing w:after="80" w:before="0" w:line="276" w:lineRule="auto"/>
        <w:jc w:val="right"/>
      </w:pPr>
      <w:r>
        <w:rPr>
          <w:rFonts w:ascii="Noto Sans Arabic" w:hAnsi="Noto Sans Arabic" w:cs="Noto Sans Arabic"/>
          <w:b w:val="0"/>
          <w:color w:val="22262D"/>
          <w:sz w:val="20"/>
        </w:rPr>
        <w:t>يعمل كـMission Control.</w:t>
      </w:r>
    </w:p>
    <w:p>
      <w:pPr>
        <w:bidi w:val="1"/>
        <w:spacing w:after="80" w:before="0" w:line="276" w:lineRule="auto"/>
        <w:jc w:val="right"/>
      </w:pPr>
      <w:r>
        <w:rPr>
          <w:rFonts w:ascii="Noto Sans Arabic" w:hAnsi="Noto Sans Arabic" w:cs="Noto Sans Arabic"/>
          <w:b w:val="0"/>
          <w:color w:val="22262D"/>
          <w:sz w:val="20"/>
        </w:rPr>
        <w:t>الصف العلوي يعرض:</w:t>
      </w:r>
    </w:p>
    <w:p>
      <w:pPr>
        <w:pStyle w:val="ListBullet"/>
        <w:spacing w:after="80" w:before="0" w:line="276" w:lineRule="auto"/>
        <w:jc w:val="left"/>
      </w:pPr>
      <w:r>
        <w:rPr>
          <w:rFonts w:ascii="Noto Sans Arabic" w:hAnsi="Noto Sans Arabic" w:cs="Noto Sans Arabic"/>
          <w:b w:val="0"/>
          <w:color w:val="22262D"/>
          <w:sz w:val="20"/>
        </w:rPr>
        <w:t>Platform Health</w:t>
      </w:r>
    </w:p>
    <w:p>
      <w:pPr>
        <w:pStyle w:val="ListBullet"/>
        <w:spacing w:after="80" w:before="0" w:line="276" w:lineRule="auto"/>
        <w:jc w:val="left"/>
      </w:pPr>
      <w:r>
        <w:rPr>
          <w:rFonts w:ascii="Noto Sans Arabic" w:hAnsi="Noto Sans Arabic" w:cs="Noto Sans Arabic"/>
          <w:b w:val="0"/>
          <w:color w:val="22262D"/>
          <w:sz w:val="20"/>
        </w:rPr>
        <w:t>Governance State</w:t>
      </w:r>
    </w:p>
    <w:p>
      <w:pPr>
        <w:pStyle w:val="ListBullet"/>
        <w:spacing w:after="80" w:before="0" w:line="276" w:lineRule="auto"/>
        <w:jc w:val="left"/>
      </w:pPr>
      <w:r>
        <w:rPr>
          <w:rFonts w:ascii="Noto Sans Arabic" w:hAnsi="Noto Sans Arabic" w:cs="Noto Sans Arabic"/>
          <w:b w:val="0"/>
          <w:color w:val="22262D"/>
          <w:sz w:val="20"/>
        </w:rPr>
        <w:t>Data Freshness</w:t>
      </w:r>
    </w:p>
    <w:p>
      <w:pPr>
        <w:pStyle w:val="ListBullet"/>
        <w:spacing w:after="80" w:before="0" w:line="276" w:lineRule="auto"/>
        <w:jc w:val="left"/>
      </w:pPr>
      <w:r>
        <w:rPr>
          <w:rFonts w:ascii="Noto Sans Arabic" w:hAnsi="Noto Sans Arabic" w:cs="Noto Sans Arabic"/>
          <w:b w:val="0"/>
          <w:color w:val="22262D"/>
          <w:sz w:val="20"/>
        </w:rPr>
        <w:t>Provider Health</w:t>
      </w:r>
    </w:p>
    <w:p>
      <w:pPr>
        <w:pStyle w:val="ListBullet"/>
        <w:spacing w:after="80" w:before="0" w:line="276" w:lineRule="auto"/>
        <w:jc w:val="left"/>
      </w:pPr>
      <w:r>
        <w:rPr>
          <w:rFonts w:ascii="Noto Sans Arabic" w:hAnsi="Noto Sans Arabic" w:cs="Noto Sans Arabic"/>
          <w:b w:val="0"/>
          <w:color w:val="22262D"/>
          <w:sz w:val="20"/>
        </w:rPr>
        <w:t>Engine Health</w:t>
      </w:r>
    </w:p>
    <w:p>
      <w:pPr>
        <w:pStyle w:val="ListBullet"/>
        <w:spacing w:after="80" w:before="0" w:line="276" w:lineRule="auto"/>
        <w:jc w:val="left"/>
      </w:pPr>
      <w:r>
        <w:rPr>
          <w:rFonts w:ascii="Noto Sans Arabic" w:hAnsi="Noto Sans Arabic" w:cs="Noto Sans Arabic"/>
          <w:b w:val="0"/>
          <w:color w:val="22262D"/>
          <w:sz w:val="20"/>
        </w:rPr>
        <w:t>Blockers</w:t>
      </w:r>
    </w:p>
    <w:p>
      <w:pPr>
        <w:pStyle w:val="ListBullet"/>
        <w:spacing w:after="80" w:before="0" w:line="276" w:lineRule="auto"/>
        <w:jc w:val="left"/>
      </w:pPr>
      <w:r>
        <w:rPr>
          <w:rFonts w:ascii="Noto Sans Arabic" w:hAnsi="Noto Sans Arabic" w:cs="Noto Sans Arabic"/>
          <w:b w:val="0"/>
          <w:color w:val="22262D"/>
          <w:sz w:val="20"/>
        </w:rPr>
        <w:t>Alerts</w:t>
      </w:r>
    </w:p>
    <w:p>
      <w:pPr>
        <w:bidi w:val="1"/>
        <w:spacing w:after="80" w:before="0" w:line="276" w:lineRule="auto"/>
        <w:jc w:val="right"/>
      </w:pPr>
      <w:r>
        <w:rPr>
          <w:rFonts w:ascii="Noto Sans Arabic" w:hAnsi="Noto Sans Arabic" w:cs="Noto Sans Arabic"/>
          <w:b w:val="0"/>
          <w:color w:val="22262D"/>
          <w:sz w:val="20"/>
        </w:rPr>
        <w:t>ثم المجالات الرئيسية:</w:t>
      </w:r>
    </w:p>
    <w:p>
      <w:pPr>
        <w:pStyle w:val="ListBullet"/>
        <w:spacing w:after="80" w:before="0" w:line="276" w:lineRule="auto"/>
        <w:jc w:val="left"/>
      </w:pPr>
      <w:r>
        <w:rPr>
          <w:rFonts w:ascii="Noto Sans Arabic" w:hAnsi="Noto Sans Arabic" w:cs="Noto Sans Arabic"/>
          <w:b w:val="0"/>
          <w:color w:val="22262D"/>
          <w:sz w:val="20"/>
        </w:rPr>
        <w:t>CORE</w:t>
      </w:r>
    </w:p>
    <w:p>
      <w:pPr>
        <w:pStyle w:val="ListBullet"/>
        <w:spacing w:after="80" w:before="0" w:line="276" w:lineRule="auto"/>
        <w:jc w:val="left"/>
      </w:pPr>
      <w:r>
        <w:rPr>
          <w:rFonts w:ascii="Noto Sans Arabic" w:hAnsi="Noto Sans Arabic" w:cs="Noto Sans Arabic"/>
          <w:b w:val="0"/>
          <w:color w:val="22262D"/>
          <w:sz w:val="20"/>
        </w:rPr>
        <w:t>Governance</w:t>
      </w:r>
    </w:p>
    <w:p>
      <w:pPr>
        <w:pStyle w:val="ListBullet"/>
        <w:spacing w:after="80" w:before="0" w:line="276" w:lineRule="auto"/>
        <w:jc w:val="left"/>
      </w:pPr>
      <w:r>
        <w:rPr>
          <w:rFonts w:ascii="Noto Sans Arabic" w:hAnsi="Noto Sans Arabic" w:cs="Noto Sans Arabic"/>
          <w:b w:val="0"/>
          <w:color w:val="22262D"/>
          <w:sz w:val="20"/>
        </w:rPr>
        <w:t>Scoring</w:t>
      </w:r>
    </w:p>
    <w:p>
      <w:pPr>
        <w:pStyle w:val="ListBullet"/>
        <w:spacing w:after="80" w:before="0" w:line="276" w:lineRule="auto"/>
        <w:jc w:val="left"/>
      </w:pPr>
      <w:r>
        <w:rPr>
          <w:rFonts w:ascii="Noto Sans Arabic" w:hAnsi="Noto Sans Arabic" w:cs="Noto Sans Arabic"/>
          <w:b w:val="0"/>
          <w:color w:val="22262D"/>
          <w:sz w:val="20"/>
        </w:rPr>
        <w:t>Market Intelligence</w:t>
      </w:r>
    </w:p>
    <w:p>
      <w:pPr>
        <w:pStyle w:val="ListBullet"/>
        <w:spacing w:after="80" w:before="0" w:line="276" w:lineRule="auto"/>
        <w:jc w:val="left"/>
      </w:pPr>
      <w:r>
        <w:rPr>
          <w:rFonts w:ascii="Noto Sans Arabic" w:hAnsi="Noto Sans Arabic" w:cs="Noto Sans Arabic"/>
          <w:b w:val="0"/>
          <w:color w:val="22262D"/>
          <w:sz w:val="20"/>
        </w:rPr>
        <w:t>Institutional Intelligence</w:t>
      </w:r>
    </w:p>
    <w:p>
      <w:pPr>
        <w:pStyle w:val="ListBullet"/>
        <w:spacing w:after="80" w:before="0" w:line="276" w:lineRule="auto"/>
        <w:jc w:val="left"/>
      </w:pPr>
      <w:r>
        <w:rPr>
          <w:rFonts w:ascii="Noto Sans Arabic" w:hAnsi="Noto Sans Arabic" w:cs="Noto Sans Arabic"/>
          <w:b w:val="0"/>
          <w:color w:val="22262D"/>
          <w:sz w:val="20"/>
        </w:rPr>
        <w:t>TDL</w:t>
      </w:r>
    </w:p>
    <w:p>
      <w:pPr>
        <w:pStyle w:val="ListBullet"/>
        <w:spacing w:after="80" w:before="0" w:line="276" w:lineRule="auto"/>
        <w:jc w:val="left"/>
      </w:pPr>
      <w:r>
        <w:rPr>
          <w:rFonts w:ascii="Noto Sans Arabic" w:hAnsi="Noto Sans Arabic" w:cs="Noto Sans Arabic"/>
          <w:b w:val="0"/>
          <w:color w:val="22262D"/>
          <w:sz w:val="20"/>
        </w:rPr>
        <w:t>Scenarios</w:t>
      </w:r>
    </w:p>
    <w:p>
      <w:pPr>
        <w:pStyle w:val="ListBullet"/>
        <w:spacing w:after="80" w:before="0" w:line="276" w:lineRule="auto"/>
        <w:jc w:val="left"/>
      </w:pPr>
      <w:r>
        <w:rPr>
          <w:rFonts w:ascii="Noto Sans Arabic" w:hAnsi="Noto Sans Arabic" w:cs="Noto Sans Arabic"/>
          <w:b w:val="0"/>
          <w:color w:val="22262D"/>
          <w:sz w:val="20"/>
        </w:rPr>
        <w:t>Golden</w:t>
      </w:r>
    </w:p>
    <w:p>
      <w:pPr>
        <w:pStyle w:val="ListBullet"/>
        <w:spacing w:after="80" w:before="0" w:line="276" w:lineRule="auto"/>
        <w:jc w:val="left"/>
      </w:pPr>
      <w:r>
        <w:rPr>
          <w:rFonts w:ascii="Noto Sans Arabic" w:hAnsi="Noto Sans Arabic" w:cs="Noto Sans Arabic"/>
          <w:b w:val="0"/>
          <w:color w:val="22262D"/>
          <w:sz w:val="20"/>
        </w:rPr>
        <w:t>Decision Intelligence</w:t>
      </w:r>
    </w:p>
    <w:p>
      <w:pPr>
        <w:bidi w:val="1"/>
        <w:spacing w:after="80" w:before="0" w:line="276" w:lineRule="auto"/>
        <w:jc w:val="right"/>
      </w:pPr>
      <w:r>
        <w:rPr>
          <w:rFonts w:ascii="Noto Sans Arabic" w:hAnsi="Noto Sans Arabic" w:cs="Noto Sans Arabic"/>
          <w:b w:val="0"/>
          <w:color w:val="22262D"/>
          <w:sz w:val="20"/>
        </w:rPr>
        <w:t>لا تتحول الصفحة إلى عشرات البطاقات المتساوية بصريًا.</w:t>
      </w:r>
    </w:p>
    <w:p>
      <w:pPr>
        <w:bidi w:val="1"/>
        <w:spacing w:after="80" w:before="0" w:line="276" w:lineRule="auto"/>
        <w:jc w:val="right"/>
      </w:pPr>
      <w:r>
        <w:rPr>
          <w:rFonts w:ascii="Noto Sans Arabic" w:hAnsi="Noto Sans Arabic" w:cs="Noto Sans Arabic"/>
          <w:b w:val="0"/>
          <w:color w:val="22262D"/>
          <w:sz w:val="20"/>
        </w:rPr>
        <w:t>الأولوية:</w:t>
      </w:r>
    </w:p>
    <w:tbl>
      <w:tblPr>
        <w:tblW w:type="auto" w:w="0"/>
        <w:jc w:val="center"/>
        <w:tblLayout w:type="fixed"/>
        <w:tblLook w:firstColumn="1" w:firstRow="1" w:lastColumn="0" w:lastRow="0" w:noHBand="0" w:noVBand="1" w:val="04A0"/>
      </w:tblPr>
      <w:tblGrid>
        <w:gridCol w:w="9866"/>
      </w:tblGrid>
      <w:tr>
        <w:tc>
          <w:tcPr>
            <w:tcW w:type="dxa" w:w="9866"/>
            <w:shd w:fill="F1F3F5"/>
            <w:tcMar>
              <w:top w:w="90" w:type="dxa"/>
              <w:start w:w="100" w:type="dxa"/>
              <w:bottom w:w="90" w:type="dxa"/>
              <w:end w:w="100" w:type="dxa"/>
            </w:tcMar>
          </w:tcPr>
          <w:p>
            <w:pPr>
              <w:spacing w:after="0" w:line="228" w:lineRule="auto"/>
              <w:jc w:val="left"/>
            </w:pPr>
            <w:r>
              <w:rPr>
                <w:rFonts w:ascii="DejaVu Sans Mono" w:hAnsi="DejaVu Sans Mono" w:cs="DejaVu Sans Mono"/>
                <w:b w:val="0"/>
                <w:color w:val="30343B"/>
                <w:sz w:val="12"/>
              </w:rPr>
              <w:t>Primary Decision State</w:t>
              <w:br/>
              <w:t>→ Governance</w:t>
              <w:br/>
              <w:t>→ Supporting Intelligence</w:t>
              <w:br/>
              <w:t>→ Evidence</w:t>
              <w:br/>
              <w:t>→ Operational Context</w:t>
            </w:r>
          </w:p>
        </w:tc>
      </w:tr>
    </w:tbl>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13. Data Intelligence</w:t>
      </w:r>
    </w:p>
    <w:p>
      <w:pPr>
        <w:bidi w:val="1"/>
        <w:spacing w:after="80" w:before="0" w:line="276" w:lineRule="auto"/>
        <w:jc w:val="right"/>
      </w:pPr>
      <w:r>
        <w:rPr>
          <w:rFonts w:ascii="Noto Sans Arabic" w:hAnsi="Noto Sans Arabic" w:cs="Noto Sans Arabic"/>
          <w:b w:val="0"/>
          <w:color w:val="22262D"/>
          <w:sz w:val="20"/>
        </w:rPr>
        <w:t>تعرض:</w:t>
      </w:r>
    </w:p>
    <w:p>
      <w:pPr>
        <w:pStyle w:val="ListBullet"/>
        <w:spacing w:after="80" w:before="0" w:line="276" w:lineRule="auto"/>
        <w:jc w:val="left"/>
      </w:pPr>
      <w:r>
        <w:rPr>
          <w:rFonts w:ascii="Noto Sans Arabic" w:hAnsi="Noto Sans Arabic" w:cs="Noto Sans Arabic"/>
          <w:b w:val="0"/>
          <w:color w:val="22262D"/>
          <w:sz w:val="20"/>
        </w:rPr>
        <w:t>External Providers</w:t>
      </w:r>
    </w:p>
    <w:p>
      <w:pPr>
        <w:pStyle w:val="ListBullet"/>
        <w:spacing w:after="80" w:before="0" w:line="276" w:lineRule="auto"/>
        <w:jc w:val="left"/>
      </w:pPr>
      <w:r>
        <w:rPr>
          <w:rFonts w:ascii="Noto Sans Arabic" w:hAnsi="Noto Sans Arabic" w:cs="Noto Sans Arabic"/>
          <w:b w:val="0"/>
          <w:color w:val="22262D"/>
          <w:sz w:val="20"/>
        </w:rPr>
        <w:t>Ingestion</w:t>
      </w:r>
    </w:p>
    <w:p>
      <w:pPr>
        <w:pStyle w:val="ListBullet"/>
        <w:spacing w:after="80" w:before="0" w:line="276" w:lineRule="auto"/>
        <w:jc w:val="left"/>
      </w:pPr>
      <w:r>
        <w:rPr>
          <w:rFonts w:ascii="Noto Sans Arabic" w:hAnsi="Noto Sans Arabic" w:cs="Noto Sans Arabic"/>
          <w:b w:val="0"/>
          <w:color w:val="22262D"/>
          <w:sz w:val="20"/>
        </w:rPr>
        <w:t>Canonicalization</w:t>
      </w:r>
    </w:p>
    <w:p>
      <w:pPr>
        <w:pStyle w:val="ListBullet"/>
        <w:spacing w:after="80" w:before="0" w:line="276" w:lineRule="auto"/>
        <w:jc w:val="left"/>
      </w:pPr>
      <w:r>
        <w:rPr>
          <w:rFonts w:ascii="Noto Sans Arabic" w:hAnsi="Noto Sans Arabic" w:cs="Noto Sans Arabic"/>
          <w:b w:val="0"/>
          <w:color w:val="22262D"/>
          <w:sz w:val="20"/>
        </w:rPr>
        <w:t>Freshness</w:t>
      </w:r>
    </w:p>
    <w:p>
      <w:pPr>
        <w:pStyle w:val="ListBullet"/>
        <w:spacing w:after="80" w:before="0" w:line="276" w:lineRule="auto"/>
        <w:jc w:val="left"/>
      </w:pPr>
      <w:r>
        <w:rPr>
          <w:rFonts w:ascii="Noto Sans Arabic" w:hAnsi="Noto Sans Arabic" w:cs="Noto Sans Arabic"/>
          <w:b w:val="0"/>
          <w:color w:val="22262D"/>
          <w:sz w:val="20"/>
        </w:rPr>
        <w:t>Quality</w:t>
      </w:r>
    </w:p>
    <w:p>
      <w:pPr>
        <w:pStyle w:val="ListBullet"/>
        <w:spacing w:after="80" w:before="0" w:line="276" w:lineRule="auto"/>
        <w:jc w:val="left"/>
      </w:pPr>
      <w:r>
        <w:rPr>
          <w:rFonts w:ascii="Noto Sans Arabic" w:hAnsi="Noto Sans Arabic" w:cs="Noto Sans Arabic"/>
          <w:b w:val="0"/>
          <w:color w:val="22262D"/>
          <w:sz w:val="20"/>
        </w:rPr>
        <w:t>Lineage</w:t>
      </w:r>
    </w:p>
    <w:p>
      <w:pPr>
        <w:pStyle w:val="ListBullet"/>
        <w:spacing w:after="80" w:before="0" w:line="276" w:lineRule="auto"/>
        <w:jc w:val="left"/>
      </w:pPr>
      <w:r>
        <w:rPr>
          <w:rFonts w:ascii="Noto Sans Arabic" w:hAnsi="Noto Sans Arabic" w:cs="Noto Sans Arabic"/>
          <w:b w:val="0"/>
          <w:color w:val="22262D"/>
          <w:sz w:val="20"/>
        </w:rPr>
        <w:t>Provider Health</w:t>
      </w:r>
    </w:p>
    <w:p>
      <w:pPr>
        <w:pStyle w:val="ListBullet"/>
        <w:spacing w:after="80" w:before="0" w:line="276" w:lineRule="auto"/>
        <w:jc w:val="left"/>
      </w:pPr>
      <w:r>
        <w:rPr>
          <w:rFonts w:ascii="Noto Sans Arabic" w:hAnsi="Noto Sans Arabic" w:cs="Noto Sans Arabic"/>
          <w:b w:val="0"/>
          <w:color w:val="22262D"/>
          <w:sz w:val="20"/>
        </w:rPr>
        <w:t>Evidence</w:t>
      </w:r>
    </w:p>
    <w:p>
      <w:pPr>
        <w:bidi w:val="1"/>
        <w:spacing w:after="80" w:before="0" w:line="276" w:lineRule="auto"/>
        <w:jc w:val="right"/>
      </w:pPr>
      <w:r>
        <w:rPr>
          <w:rFonts w:ascii="Noto Sans Arabic" w:hAnsi="Noto Sans Arabic" w:cs="Noto Sans Arabic"/>
          <w:b w:val="0"/>
          <w:color w:val="22262D"/>
          <w:sz w:val="20"/>
        </w:rPr>
        <w:t>ويظهر:</w:t>
      </w:r>
    </w:p>
    <w:p>
      <w:pPr>
        <w:spacing w:after="80" w:before="0" w:line="276" w:lineRule="auto"/>
        <w:jc w:val="left"/>
      </w:pPr>
      <w:r>
        <w:rPr>
          <w:rFonts w:ascii="Noto Sans Arabic" w:hAnsi="Noto Sans Arabic" w:cs="Noto Sans Arabic"/>
          <w:b/>
          <w:color w:val="22262D"/>
          <w:sz w:val="20"/>
        </w:rPr>
        <w:t>ONE Canonical COT Dataset</w:t>
      </w:r>
    </w:p>
    <w:p>
      <w:pPr>
        <w:bidi w:val="1"/>
        <w:spacing w:after="80" w:before="0" w:line="276" w:lineRule="auto"/>
        <w:jc w:val="right"/>
      </w:pPr>
      <w:r>
        <w:rPr>
          <w:rFonts w:ascii="Noto Sans Arabic" w:hAnsi="Noto Sans Arabic" w:cs="Noto Sans Arabic"/>
          <w:b w:val="0"/>
          <w:color w:val="22262D"/>
          <w:sz w:val="20"/>
        </w:rPr>
        <w:t>كمصدر canonical موحد.</w:t>
      </w:r>
    </w:p>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14. Market Intelligence</w:t>
      </w:r>
    </w:p>
    <w:p>
      <w:pPr>
        <w:bidi w:val="1"/>
        <w:spacing w:after="80" w:before="0" w:line="276" w:lineRule="auto"/>
        <w:jc w:val="right"/>
      </w:pPr>
      <w:r>
        <w:rPr>
          <w:rFonts w:ascii="Noto Sans Arabic" w:hAnsi="Noto Sans Arabic" w:cs="Noto Sans Arabic"/>
          <w:b w:val="0"/>
          <w:color w:val="22262D"/>
          <w:sz w:val="20"/>
        </w:rPr>
        <w:t>تستخدم مناطق تحليلية مرتبة:</w:t>
      </w:r>
    </w:p>
    <w:tbl>
      <w:tblPr>
        <w:tblW w:type="auto" w:w="0"/>
        <w:jc w:val="center"/>
        <w:tblLayout w:type="fixed"/>
        <w:tblLook w:firstColumn="1" w:firstRow="1" w:lastColumn="0" w:lastRow="0" w:noHBand="0" w:noVBand="1" w:val="04A0"/>
      </w:tblPr>
      <w:tblGrid>
        <w:gridCol w:w="9866"/>
      </w:tblGrid>
      <w:tr>
        <w:tc>
          <w:tcPr>
            <w:tcW w:type="dxa" w:w="9866"/>
            <w:shd w:fill="F1F3F5"/>
            <w:tcMar>
              <w:top w:w="90" w:type="dxa"/>
              <w:start w:w="100" w:type="dxa"/>
              <w:bottom w:w="90" w:type="dxa"/>
              <w:end w:w="100" w:type="dxa"/>
            </w:tcMar>
          </w:tcPr>
          <w:p>
            <w:pPr>
              <w:spacing w:after="0" w:line="228" w:lineRule="auto"/>
              <w:jc w:val="left"/>
            </w:pPr>
            <w:r>
              <w:rPr>
                <w:rFonts w:ascii="DejaVu Sans Mono" w:hAnsi="DejaVu Sans Mono" w:cs="DejaVu Sans Mono"/>
                <w:b w:val="0"/>
                <w:color w:val="30343B"/>
                <w:sz w:val="12"/>
              </w:rPr>
              <w:t>Market State</w:t>
              <w:br/>
              <w:t>Price Structure</w:t>
              <w:br/>
              <w:t>Trend</w:t>
              <w:br/>
              <w:t>Momentum</w:t>
              <w:br/>
              <w:t>Volatility</w:t>
              <w:br/>
              <w:t>Correction</w:t>
              <w:br/>
              <w:t>Regime</w:t>
              <w:br/>
              <w:t>Liquidity</w:t>
              <w:br/>
              <w:t>Macro / USD Pressure</w:t>
              <w:br/>
              <w:t>Evidence</w:t>
              <w:br/>
              <w:t>History</w:t>
            </w:r>
          </w:p>
        </w:tc>
      </w:tr>
    </w:tbl>
    <w:p>
      <w:pPr>
        <w:bidi w:val="1"/>
        <w:spacing w:after="80" w:before="0" w:line="276" w:lineRule="auto"/>
        <w:jc w:val="right"/>
      </w:pPr>
      <w:r>
        <w:rPr>
          <w:rFonts w:ascii="Noto Sans Arabic" w:hAnsi="Noto Sans Arabic" w:cs="Noto Sans Arabic"/>
          <w:b w:val="0"/>
          <w:color w:val="22262D"/>
          <w:sz w:val="20"/>
        </w:rPr>
        <w:t>ويكون drill-down:</w:t>
      </w:r>
    </w:p>
    <w:p>
      <w:pPr>
        <w:spacing w:after="80" w:before="0" w:line="276" w:lineRule="auto"/>
        <w:jc w:val="left"/>
      </w:pPr>
      <w:r>
        <w:rPr>
          <w:rFonts w:ascii="Noto Sans Arabic" w:hAnsi="Noto Sans Arabic" w:cs="Noto Sans Arabic"/>
          <w:b/>
          <w:color w:val="22262D"/>
          <w:sz w:val="20"/>
        </w:rPr>
        <w:t>RESULT → WHY → EVIDENCE → SOURCE</w:t>
      </w:r>
    </w:p>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15. Institutional Intelligence</w:t>
      </w:r>
    </w:p>
    <w:p>
      <w:pPr>
        <w:bidi w:val="1"/>
        <w:spacing w:after="80" w:before="0" w:line="276" w:lineRule="auto"/>
        <w:jc w:val="right"/>
      </w:pPr>
      <w:r>
        <w:rPr>
          <w:rFonts w:ascii="Noto Sans Arabic" w:hAnsi="Noto Sans Arabic" w:cs="Noto Sans Arabic"/>
          <w:b w:val="0"/>
          <w:color w:val="22262D"/>
          <w:sz w:val="20"/>
        </w:rPr>
        <w:t>تتمحور حول:</w:t>
      </w:r>
    </w:p>
    <w:p>
      <w:pPr>
        <w:pStyle w:val="ListBullet"/>
        <w:spacing w:after="80" w:before="0" w:line="276" w:lineRule="auto"/>
        <w:jc w:val="left"/>
      </w:pPr>
      <w:r>
        <w:rPr>
          <w:rFonts w:ascii="Noto Sans Arabic" w:hAnsi="Noto Sans Arabic" w:cs="Noto Sans Arabic"/>
          <w:b w:val="0"/>
          <w:color w:val="22262D"/>
          <w:sz w:val="20"/>
        </w:rPr>
        <w:t>CFTC</w:t>
      </w:r>
    </w:p>
    <w:p>
      <w:pPr>
        <w:pStyle w:val="ListBullet"/>
        <w:spacing w:after="80" w:before="0" w:line="276" w:lineRule="auto"/>
        <w:jc w:val="left"/>
      </w:pPr>
      <w:r>
        <w:rPr>
          <w:rFonts w:ascii="Noto Sans Arabic" w:hAnsi="Noto Sans Arabic" w:cs="Noto Sans Arabic"/>
          <w:b w:val="0"/>
          <w:color w:val="22262D"/>
          <w:sz w:val="20"/>
        </w:rPr>
        <w:t>COT</w:t>
      </w:r>
    </w:p>
    <w:p>
      <w:pPr>
        <w:pStyle w:val="ListBullet"/>
        <w:spacing w:after="80" w:before="0" w:line="276" w:lineRule="auto"/>
        <w:jc w:val="left"/>
      </w:pPr>
      <w:r>
        <w:rPr>
          <w:rFonts w:ascii="Noto Sans Arabic" w:hAnsi="Noto Sans Arabic" w:cs="Noto Sans Arabic"/>
          <w:b w:val="0"/>
          <w:color w:val="22262D"/>
          <w:sz w:val="20"/>
        </w:rPr>
        <w:t>TFF</w:t>
      </w:r>
    </w:p>
    <w:p>
      <w:pPr>
        <w:pStyle w:val="ListBullet"/>
        <w:spacing w:after="80" w:before="0" w:line="276" w:lineRule="auto"/>
        <w:jc w:val="left"/>
      </w:pPr>
      <w:r>
        <w:rPr>
          <w:rFonts w:ascii="Noto Sans Arabic" w:hAnsi="Noto Sans Arabic" w:cs="Noto Sans Arabic"/>
          <w:b w:val="0"/>
          <w:color w:val="22262D"/>
          <w:sz w:val="20"/>
        </w:rPr>
        <w:t>Current Report</w:t>
      </w:r>
    </w:p>
    <w:p>
      <w:pPr>
        <w:pStyle w:val="ListBullet"/>
        <w:spacing w:after="80" w:before="0" w:line="276" w:lineRule="auto"/>
        <w:jc w:val="left"/>
      </w:pPr>
      <w:r>
        <w:rPr>
          <w:rFonts w:ascii="Noto Sans Arabic" w:hAnsi="Noto Sans Arabic" w:cs="Noto Sans Arabic"/>
          <w:b w:val="0"/>
          <w:color w:val="22262D"/>
          <w:sz w:val="20"/>
        </w:rPr>
        <w:t>Previous Report</w:t>
      </w:r>
    </w:p>
    <w:p>
      <w:pPr>
        <w:pStyle w:val="ListBullet"/>
        <w:spacing w:after="80" w:before="0" w:line="276" w:lineRule="auto"/>
        <w:jc w:val="left"/>
      </w:pPr>
      <w:r>
        <w:rPr>
          <w:rFonts w:ascii="Noto Sans Arabic" w:hAnsi="Noto Sans Arabic" w:cs="Noto Sans Arabic"/>
          <w:b w:val="0"/>
          <w:color w:val="22262D"/>
          <w:sz w:val="20"/>
        </w:rPr>
        <w:t>Weekly History</w:t>
      </w:r>
    </w:p>
    <w:p>
      <w:pPr>
        <w:pStyle w:val="ListBullet"/>
        <w:spacing w:after="80" w:before="0" w:line="276" w:lineRule="auto"/>
        <w:jc w:val="left"/>
      </w:pPr>
      <w:r>
        <w:rPr>
          <w:rFonts w:ascii="Noto Sans Arabic" w:hAnsi="Noto Sans Arabic" w:cs="Noto Sans Arabic"/>
          <w:b w:val="0"/>
          <w:color w:val="22262D"/>
          <w:sz w:val="20"/>
        </w:rPr>
        <w:t>Asset Managers</w:t>
      </w:r>
    </w:p>
    <w:p>
      <w:pPr>
        <w:pStyle w:val="ListBullet"/>
        <w:spacing w:after="80" w:before="0" w:line="276" w:lineRule="auto"/>
        <w:jc w:val="left"/>
      </w:pPr>
      <w:r>
        <w:rPr>
          <w:rFonts w:ascii="Noto Sans Arabic" w:hAnsi="Noto Sans Arabic" w:cs="Noto Sans Arabic"/>
          <w:b w:val="0"/>
          <w:color w:val="22262D"/>
          <w:sz w:val="20"/>
        </w:rPr>
        <w:t>Leveraged Funds</w:t>
      </w:r>
    </w:p>
    <w:p>
      <w:pPr>
        <w:pStyle w:val="ListBullet"/>
        <w:spacing w:after="80" w:before="0" w:line="276" w:lineRule="auto"/>
        <w:jc w:val="left"/>
      </w:pPr>
      <w:r>
        <w:rPr>
          <w:rFonts w:ascii="Noto Sans Arabic" w:hAnsi="Noto Sans Arabic" w:cs="Noto Sans Arabic"/>
          <w:b w:val="0"/>
          <w:color w:val="22262D"/>
          <w:sz w:val="20"/>
        </w:rPr>
        <w:t>Evidence</w:t>
      </w:r>
    </w:p>
    <w:p>
      <w:pPr>
        <w:pStyle w:val="ListBullet"/>
        <w:spacing w:after="80" w:before="0" w:line="276" w:lineRule="auto"/>
        <w:jc w:val="left"/>
      </w:pPr>
      <w:r>
        <w:rPr>
          <w:rFonts w:ascii="Noto Sans Arabic" w:hAnsi="Noto Sans Arabic" w:cs="Noto Sans Arabic"/>
          <w:b w:val="0"/>
          <w:color w:val="22262D"/>
          <w:sz w:val="20"/>
        </w:rPr>
        <w:t>History</w:t>
      </w:r>
    </w:p>
    <w:p>
      <w:pPr>
        <w:bidi w:val="1"/>
        <w:spacing w:after="80" w:before="0" w:line="276" w:lineRule="auto"/>
        <w:jc w:val="right"/>
      </w:pPr>
      <w:r>
        <w:rPr>
          <w:rFonts w:ascii="Noto Sans Arabic" w:hAnsi="Noto Sans Arabic" w:cs="Noto Sans Arabic"/>
          <w:b w:val="0"/>
          <w:color w:val="22262D"/>
          <w:sz w:val="20"/>
        </w:rPr>
        <w:t>مع إظهار أن upstream هو:</w:t>
      </w:r>
    </w:p>
    <w:p>
      <w:pPr>
        <w:spacing w:after="80" w:before="0" w:line="276" w:lineRule="auto"/>
        <w:jc w:val="left"/>
      </w:pPr>
      <w:r>
        <w:rPr>
          <w:rFonts w:ascii="Noto Sans Arabic" w:hAnsi="Noto Sans Arabic" w:cs="Noto Sans Arabic"/>
          <w:b/>
          <w:color w:val="22262D"/>
          <w:sz w:val="20"/>
        </w:rPr>
        <w:t>ONE Canonical COT Dataset</w:t>
      </w:r>
    </w:p>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16. Theory Lab</w:t>
      </w:r>
    </w:p>
    <w:p>
      <w:pPr>
        <w:bidi w:val="1"/>
        <w:spacing w:after="80" w:before="0" w:line="276" w:lineRule="auto"/>
        <w:jc w:val="right"/>
      </w:pPr>
      <w:r>
        <w:rPr>
          <w:rFonts w:ascii="Noto Sans Arabic" w:hAnsi="Noto Sans Arabic" w:cs="Noto Sans Arabic"/>
          <w:b w:val="0"/>
          <w:color w:val="22262D"/>
          <w:sz w:val="20"/>
        </w:rPr>
        <w:t>يعرض المحركات المثبتة فقط.</w:t>
      </w:r>
    </w:p>
    <w:p>
      <w:pPr>
        <w:bidi w:val="1"/>
        <w:spacing w:after="80" w:before="0" w:line="276" w:lineRule="auto"/>
        <w:jc w:val="right"/>
      </w:pPr>
      <w:r>
        <w:rPr>
          <w:rFonts w:ascii="Noto Sans Arabic" w:hAnsi="Noto Sans Arabic" w:cs="Noto Sans Arabic"/>
          <w:b w:val="0"/>
          <w:color w:val="22262D"/>
          <w:sz w:val="20"/>
        </w:rPr>
        <w:t>مثل:</w:t>
      </w:r>
    </w:p>
    <w:p>
      <w:pPr>
        <w:pStyle w:val="ListBullet"/>
        <w:spacing w:after="80" w:before="0" w:line="276" w:lineRule="auto"/>
        <w:jc w:val="left"/>
      </w:pPr>
      <w:r>
        <w:rPr>
          <w:rFonts w:ascii="Noto Sans Arabic" w:hAnsi="Noto Sans Arabic" w:cs="Noto Sans Arabic"/>
          <w:b w:val="0"/>
          <w:color w:val="22262D"/>
          <w:sz w:val="20"/>
        </w:rPr>
        <w:t>Correction</w:t>
      </w:r>
    </w:p>
    <w:p>
      <w:pPr>
        <w:pStyle w:val="ListBullet"/>
        <w:spacing w:after="80" w:before="0" w:line="276" w:lineRule="auto"/>
        <w:jc w:val="left"/>
      </w:pPr>
      <w:r>
        <w:rPr>
          <w:rFonts w:ascii="Noto Sans Arabic" w:hAnsi="Noto Sans Arabic" w:cs="Noto Sans Arabic"/>
          <w:b w:val="0"/>
          <w:color w:val="22262D"/>
          <w:sz w:val="20"/>
        </w:rPr>
        <w:t>Momentum</w:t>
      </w:r>
    </w:p>
    <w:p>
      <w:pPr>
        <w:pStyle w:val="ListBullet"/>
        <w:spacing w:after="80" w:before="0" w:line="276" w:lineRule="auto"/>
        <w:jc w:val="left"/>
      </w:pPr>
      <w:r>
        <w:rPr>
          <w:rFonts w:ascii="Noto Sans Arabic" w:hAnsi="Noto Sans Arabic" w:cs="Noto Sans Arabic"/>
          <w:b w:val="0"/>
          <w:color w:val="22262D"/>
          <w:sz w:val="20"/>
        </w:rPr>
        <w:t>Macro</w:t>
      </w:r>
    </w:p>
    <w:p>
      <w:pPr>
        <w:pStyle w:val="ListBullet"/>
        <w:spacing w:after="80" w:before="0" w:line="276" w:lineRule="auto"/>
        <w:jc w:val="left"/>
      </w:pPr>
      <w:r>
        <w:rPr>
          <w:rFonts w:ascii="Noto Sans Arabic" w:hAnsi="Noto Sans Arabic" w:cs="Noto Sans Arabic"/>
          <w:b w:val="0"/>
          <w:color w:val="22262D"/>
          <w:sz w:val="20"/>
        </w:rPr>
        <w:t>Other Verified Theories</w:t>
      </w:r>
    </w:p>
    <w:p>
      <w:pPr>
        <w:bidi w:val="1"/>
        <w:spacing w:after="80" w:before="0" w:line="276" w:lineRule="auto"/>
        <w:jc w:val="right"/>
      </w:pPr>
      <w:r>
        <w:rPr>
          <w:rFonts w:ascii="Noto Sans Arabic" w:hAnsi="Noto Sans Arabic" w:cs="Noto Sans Arabic"/>
          <w:b w:val="0"/>
          <w:color w:val="22262D"/>
          <w:sz w:val="20"/>
        </w:rPr>
        <w:t>النمط الموحد:</w:t>
      </w:r>
    </w:p>
    <w:tbl>
      <w:tblPr>
        <w:tblW w:type="auto" w:w="0"/>
        <w:jc w:val="center"/>
        <w:tblLayout w:type="fixed"/>
        <w:tblLook w:firstColumn="1" w:firstRow="1" w:lastColumn="0" w:lastRow="0" w:noHBand="0" w:noVBand="1" w:val="04A0"/>
      </w:tblPr>
      <w:tblGrid>
        <w:gridCol w:w="9866"/>
      </w:tblGrid>
      <w:tr>
        <w:tc>
          <w:tcPr>
            <w:tcW w:type="dxa" w:w="9866"/>
            <w:shd w:fill="F1F3F5"/>
            <w:tcMar>
              <w:top w:w="90" w:type="dxa"/>
              <w:start w:w="100" w:type="dxa"/>
              <w:bottom w:w="90" w:type="dxa"/>
              <w:end w:w="100" w:type="dxa"/>
            </w:tcMar>
          </w:tcPr>
          <w:p>
            <w:pPr>
              <w:spacing w:after="0" w:line="228" w:lineRule="auto"/>
              <w:jc w:val="left"/>
            </w:pPr>
            <w:r>
              <w:rPr>
                <w:rFonts w:ascii="DejaVu Sans Mono" w:hAnsi="DejaVu Sans Mono" w:cs="DejaVu Sans Mono"/>
                <w:b w:val="0"/>
                <w:color w:val="30343B"/>
                <w:sz w:val="12"/>
              </w:rPr>
              <w:t>Inputs</w:t>
              <w:br/>
              <w:t>→ Current State</w:t>
              <w:br/>
              <w:t>→ Output</w:t>
              <w:br/>
              <w:t>→ Evidence</w:t>
              <w:br/>
              <w:t>→ Health</w:t>
              <w:br/>
              <w:t>→ Explainability</w:t>
            </w:r>
          </w:p>
        </w:tc>
      </w:tr>
    </w:tbl>
    <w:p>
      <w:pPr>
        <w:bidi w:val="1"/>
        <w:spacing w:after="80" w:before="0" w:line="276" w:lineRule="auto"/>
        <w:jc w:val="right"/>
      </w:pPr>
      <w:r>
        <w:rPr>
          <w:rFonts w:ascii="Noto Sans Arabic" w:hAnsi="Noto Sans Arabic" w:cs="Noto Sans Arabic"/>
          <w:b w:val="0"/>
          <w:color w:val="22262D"/>
          <w:sz w:val="20"/>
        </w:rPr>
        <w:t>لا يعني ظهور Theory أنها microservice مستقلة.</w:t>
      </w:r>
    </w:p>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17. TDL</w:t>
      </w:r>
    </w:p>
    <w:p>
      <w:pPr>
        <w:spacing w:after="80" w:before="0" w:line="276" w:lineRule="auto"/>
        <w:jc w:val="left"/>
      </w:pPr>
      <w:r>
        <w:rPr>
          <w:rFonts w:ascii="Noto Sans Arabic" w:hAnsi="Noto Sans Arabic" w:cs="Noto Sans Arabic"/>
          <w:b w:val="0"/>
          <w:color w:val="22262D"/>
          <w:sz w:val="20"/>
        </w:rPr>
        <w:t>TDL:</w:t>
      </w:r>
    </w:p>
    <w:p>
      <w:pPr>
        <w:spacing w:after="80" w:before="0" w:line="276" w:lineRule="auto"/>
        <w:jc w:val="left"/>
      </w:pPr>
      <w:r>
        <w:rPr>
          <w:rFonts w:ascii="Noto Sans Arabic" w:hAnsi="Noto Sans Arabic" w:cs="Noto Sans Arabic"/>
          <w:b/>
          <w:color w:val="22262D"/>
          <w:sz w:val="20"/>
        </w:rPr>
        <w:t>Admin / Review Only</w:t>
      </w:r>
    </w:p>
    <w:p>
      <w:pPr>
        <w:bidi w:val="1"/>
        <w:spacing w:after="80" w:before="0" w:line="276" w:lineRule="auto"/>
        <w:jc w:val="right"/>
      </w:pPr>
      <w:r>
        <w:rPr>
          <w:rFonts w:ascii="Noto Sans Arabic" w:hAnsi="Noto Sans Arabic" w:cs="Noto Sans Arabic"/>
          <w:b w:val="0"/>
          <w:color w:val="22262D"/>
          <w:sz w:val="20"/>
        </w:rPr>
        <w:t>يحتوي على:</w:t>
      </w:r>
    </w:p>
    <w:tbl>
      <w:tblPr>
        <w:tblW w:type="auto" w:w="0"/>
        <w:jc w:val="center"/>
        <w:tblLayout w:type="fixed"/>
        <w:tblLook w:firstColumn="1" w:firstRow="1" w:lastColumn="0" w:lastRow="0" w:noHBand="0" w:noVBand="1" w:val="04A0"/>
      </w:tblPr>
      <w:tblGrid>
        <w:gridCol w:w="9866"/>
      </w:tblGrid>
      <w:tr>
        <w:tc>
          <w:tcPr>
            <w:tcW w:type="dxa" w:w="9866"/>
            <w:shd w:fill="F1F3F5"/>
            <w:tcMar>
              <w:top w:w="90" w:type="dxa"/>
              <w:start w:w="100" w:type="dxa"/>
              <w:bottom w:w="90" w:type="dxa"/>
              <w:end w:w="100" w:type="dxa"/>
            </w:tcMar>
          </w:tcPr>
          <w:p>
            <w:pPr>
              <w:spacing w:after="0" w:line="228" w:lineRule="auto"/>
              <w:jc w:val="left"/>
            </w:pPr>
            <w:r>
              <w:rPr>
                <w:rFonts w:ascii="DejaVu Sans Mono" w:hAnsi="DejaVu Sans Mono" w:cs="DejaVu Sans Mono"/>
                <w:b w:val="0"/>
                <w:color w:val="30343B"/>
                <w:sz w:val="12"/>
              </w:rPr>
              <w:t>Investment Mode | Speculation Mode</w:t>
            </w:r>
          </w:p>
        </w:tc>
      </w:tr>
    </w:tbl>
    <w:p>
      <w:pPr>
        <w:bidi w:val="1"/>
        <w:spacing w:after="80" w:before="0" w:line="276" w:lineRule="auto"/>
        <w:jc w:val="right"/>
      </w:pPr>
      <w:r>
        <w:rPr>
          <w:rFonts w:ascii="Noto Sans Arabic" w:hAnsi="Noto Sans Arabic" w:cs="Noto Sans Arabic"/>
          <w:b w:val="0"/>
          <w:color w:val="22262D"/>
          <w:sz w:val="20"/>
        </w:rPr>
        <w:t>لكن behavior/formulas/contracts تبقى:</w:t>
      </w:r>
    </w:p>
    <w:p>
      <w:pPr>
        <w:spacing w:after="80" w:before="0" w:line="276" w:lineRule="auto"/>
        <w:jc w:val="left"/>
      </w:pPr>
      <w:r>
        <w:rPr>
          <w:rFonts w:ascii="DejaVu Sans Mono" w:hAnsi="DejaVu Sans Mono" w:cs="DejaVu Sans Mono"/>
          <w:b w:val="0"/>
          <w:color w:val="8E6D27"/>
          <w:sz w:val="18"/>
        </w:rPr>
        <w:t>TBD — requires technical freeze evidence</w:t>
      </w:r>
    </w:p>
    <w:p>
      <w:pPr>
        <w:bidi w:val="1"/>
        <w:spacing w:after="80" w:before="0" w:line="276" w:lineRule="auto"/>
        <w:jc w:val="right"/>
      </w:pPr>
      <w:r>
        <w:rPr>
          <w:rFonts w:ascii="Noto Sans Arabic" w:hAnsi="Noto Sans Arabic" w:cs="Noto Sans Arabic"/>
          <w:b w:val="0"/>
          <w:color w:val="22262D"/>
          <w:sz w:val="20"/>
        </w:rPr>
        <w:t>ويمكن عرض:</w:t>
      </w:r>
    </w:p>
    <w:p>
      <w:pPr>
        <w:pStyle w:val="ListBullet"/>
        <w:spacing w:after="80" w:before="0" w:line="276" w:lineRule="auto"/>
        <w:jc w:val="left"/>
      </w:pPr>
      <w:r>
        <w:rPr>
          <w:rFonts w:ascii="Noto Sans Arabic" w:hAnsi="Noto Sans Arabic" w:cs="Noto Sans Arabic"/>
          <w:b w:val="0"/>
          <w:color w:val="22262D"/>
          <w:sz w:val="20"/>
        </w:rPr>
        <w:t>Temporal State</w:t>
      </w:r>
    </w:p>
    <w:p>
      <w:pPr>
        <w:pStyle w:val="ListBullet"/>
        <w:spacing w:after="80" w:before="0" w:line="276" w:lineRule="auto"/>
        <w:jc w:val="left"/>
      </w:pPr>
      <w:r>
        <w:rPr>
          <w:rFonts w:ascii="Noto Sans Arabic" w:hAnsi="Noto Sans Arabic" w:cs="Noto Sans Arabic"/>
          <w:b w:val="0"/>
          <w:color w:val="22262D"/>
          <w:sz w:val="20"/>
        </w:rPr>
        <w:t>Alignment</w:t>
      </w:r>
    </w:p>
    <w:p>
      <w:pPr>
        <w:pStyle w:val="ListBullet"/>
        <w:spacing w:after="80" w:before="0" w:line="276" w:lineRule="auto"/>
        <w:jc w:val="left"/>
      </w:pPr>
      <w:r>
        <w:rPr>
          <w:rFonts w:ascii="Noto Sans Arabic" w:hAnsi="Noto Sans Arabic" w:cs="Noto Sans Arabic"/>
          <w:b w:val="0"/>
          <w:color w:val="22262D"/>
          <w:sz w:val="20"/>
        </w:rPr>
        <w:t>Timeframe Integrity</w:t>
      </w:r>
    </w:p>
    <w:p>
      <w:pPr>
        <w:pStyle w:val="ListBullet"/>
        <w:spacing w:after="80" w:before="0" w:line="276" w:lineRule="auto"/>
        <w:jc w:val="left"/>
      </w:pPr>
      <w:r>
        <w:rPr>
          <w:rFonts w:ascii="Noto Sans Arabic" w:hAnsi="Noto Sans Arabic" w:cs="Noto Sans Arabic"/>
          <w:b w:val="0"/>
          <w:color w:val="22262D"/>
          <w:sz w:val="20"/>
        </w:rPr>
        <w:t>Conflict</w:t>
      </w:r>
    </w:p>
    <w:p>
      <w:pPr>
        <w:pStyle w:val="ListBullet"/>
        <w:spacing w:after="80" w:before="0" w:line="276" w:lineRule="auto"/>
        <w:jc w:val="left"/>
      </w:pPr>
      <w:r>
        <w:rPr>
          <w:rFonts w:ascii="Noto Sans Arabic" w:hAnsi="Noto Sans Arabic" w:cs="Noto Sans Arabic"/>
          <w:b w:val="0"/>
          <w:color w:val="22262D"/>
          <w:sz w:val="20"/>
        </w:rPr>
        <w:t>Confirmation</w:t>
      </w:r>
    </w:p>
    <w:p>
      <w:pPr>
        <w:pStyle w:val="ListBullet"/>
        <w:spacing w:after="80" w:before="0" w:line="276" w:lineRule="auto"/>
        <w:jc w:val="left"/>
      </w:pPr>
      <w:r>
        <w:rPr>
          <w:rFonts w:ascii="Noto Sans Arabic" w:hAnsi="Noto Sans Arabic" w:cs="Noto Sans Arabic"/>
          <w:b w:val="0"/>
          <w:color w:val="22262D"/>
          <w:sz w:val="20"/>
        </w:rPr>
        <w:t>Evidence</w:t>
      </w:r>
    </w:p>
    <w:p>
      <w:pPr>
        <w:pStyle w:val="ListBullet"/>
        <w:spacing w:after="80" w:before="0" w:line="276" w:lineRule="auto"/>
        <w:jc w:val="left"/>
      </w:pPr>
      <w:r>
        <w:rPr>
          <w:rFonts w:ascii="Noto Sans Arabic" w:hAnsi="Noto Sans Arabic" w:cs="Noto Sans Arabic"/>
          <w:b w:val="0"/>
          <w:color w:val="22262D"/>
          <w:sz w:val="20"/>
        </w:rPr>
        <w:t>History</w:t>
      </w:r>
    </w:p>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18. Scenario Intelligence</w:t>
      </w:r>
    </w:p>
    <w:p>
      <w:pPr>
        <w:bidi w:val="1"/>
        <w:spacing w:after="80" w:before="0" w:line="276" w:lineRule="auto"/>
        <w:jc w:val="right"/>
      </w:pPr>
      <w:r>
        <w:rPr>
          <w:rFonts w:ascii="Noto Sans Arabic" w:hAnsi="Noto Sans Arabic" w:cs="Noto Sans Arabic"/>
          <w:b w:val="0"/>
          <w:color w:val="22262D"/>
          <w:sz w:val="20"/>
        </w:rPr>
        <w:t>تعرض السيناريوهات ككيانات مقارنة:</w:t>
      </w:r>
    </w:p>
    <w:p>
      <w:pPr>
        <w:pStyle w:val="ListBullet"/>
        <w:spacing w:after="80" w:before="0" w:line="276" w:lineRule="auto"/>
        <w:jc w:val="left"/>
      </w:pPr>
      <w:r>
        <w:rPr>
          <w:rFonts w:ascii="Noto Sans Arabic" w:hAnsi="Noto Sans Arabic" w:cs="Noto Sans Arabic"/>
          <w:b w:val="0"/>
          <w:color w:val="22262D"/>
          <w:sz w:val="20"/>
        </w:rPr>
        <w:t>Positive Scenario</w:t>
      </w:r>
    </w:p>
    <w:p>
      <w:pPr>
        <w:pStyle w:val="ListBullet"/>
        <w:spacing w:after="80" w:before="0" w:line="276" w:lineRule="auto"/>
        <w:jc w:val="left"/>
      </w:pPr>
      <w:r>
        <w:rPr>
          <w:rFonts w:ascii="Noto Sans Arabic" w:hAnsi="Noto Sans Arabic" w:cs="Noto Sans Arabic"/>
          <w:b w:val="0"/>
          <w:color w:val="22262D"/>
          <w:sz w:val="20"/>
        </w:rPr>
        <w:t>Negative Scenario</w:t>
      </w:r>
    </w:p>
    <w:p>
      <w:pPr>
        <w:pStyle w:val="ListBullet"/>
        <w:spacing w:after="80" w:before="0" w:line="276" w:lineRule="auto"/>
        <w:jc w:val="left"/>
      </w:pPr>
      <w:r>
        <w:rPr>
          <w:rFonts w:ascii="Noto Sans Arabic" w:hAnsi="Noto Sans Arabic" w:cs="Noto Sans Arabic"/>
          <w:b w:val="0"/>
          <w:color w:val="22262D"/>
          <w:sz w:val="20"/>
        </w:rPr>
        <w:t>Preferred Scenario</w:t>
      </w:r>
    </w:p>
    <w:p>
      <w:pPr>
        <w:bidi w:val="1"/>
        <w:spacing w:after="80" w:before="0" w:line="276" w:lineRule="auto"/>
        <w:jc w:val="right"/>
      </w:pPr>
      <w:r>
        <w:rPr>
          <w:rFonts w:ascii="Noto Sans Arabic" w:hAnsi="Noto Sans Arabic" w:cs="Noto Sans Arabic"/>
          <w:b w:val="0"/>
          <w:color w:val="22262D"/>
          <w:sz w:val="20"/>
        </w:rPr>
        <w:t>مع:</w:t>
      </w:r>
    </w:p>
    <w:p>
      <w:pPr>
        <w:pStyle w:val="ListBullet"/>
        <w:spacing w:after="80" w:before="0" w:line="276" w:lineRule="auto"/>
        <w:jc w:val="left"/>
      </w:pPr>
      <w:r>
        <w:rPr>
          <w:rFonts w:ascii="Noto Sans Arabic" w:hAnsi="Noto Sans Arabic" w:cs="Noto Sans Arabic"/>
          <w:b w:val="0"/>
          <w:color w:val="22262D"/>
          <w:sz w:val="20"/>
        </w:rPr>
        <w:t>Conflict</w:t>
      </w:r>
    </w:p>
    <w:p>
      <w:pPr>
        <w:pStyle w:val="ListBullet"/>
        <w:spacing w:after="80" w:before="0" w:line="276" w:lineRule="auto"/>
        <w:jc w:val="left"/>
      </w:pPr>
      <w:r>
        <w:rPr>
          <w:rFonts w:ascii="Noto Sans Arabic" w:hAnsi="Noto Sans Arabic" w:cs="Noto Sans Arabic"/>
          <w:b w:val="0"/>
          <w:color w:val="22262D"/>
          <w:sz w:val="20"/>
        </w:rPr>
        <w:t>Strength</w:t>
      </w:r>
    </w:p>
    <w:p>
      <w:pPr>
        <w:pStyle w:val="ListBullet"/>
        <w:spacing w:after="80" w:before="0" w:line="276" w:lineRule="auto"/>
        <w:jc w:val="left"/>
      </w:pPr>
      <w:r>
        <w:rPr>
          <w:rFonts w:ascii="Noto Sans Arabic" w:hAnsi="Noto Sans Arabic" w:cs="Noto Sans Arabic"/>
          <w:b w:val="0"/>
          <w:color w:val="22262D"/>
          <w:sz w:val="20"/>
        </w:rPr>
        <w:t>Levels</w:t>
      </w:r>
    </w:p>
    <w:p>
      <w:pPr>
        <w:pStyle w:val="ListBullet"/>
        <w:spacing w:after="80" w:before="0" w:line="276" w:lineRule="auto"/>
        <w:jc w:val="left"/>
      </w:pPr>
      <w:r>
        <w:rPr>
          <w:rFonts w:ascii="Noto Sans Arabic" w:hAnsi="Noto Sans Arabic" w:cs="Noto Sans Arabic"/>
          <w:b w:val="0"/>
          <w:color w:val="22262D"/>
          <w:sz w:val="20"/>
        </w:rPr>
        <w:t>Drivers</w:t>
      </w:r>
    </w:p>
    <w:p>
      <w:pPr>
        <w:pStyle w:val="ListBullet"/>
        <w:spacing w:after="80" w:before="0" w:line="276" w:lineRule="auto"/>
        <w:jc w:val="left"/>
      </w:pPr>
      <w:r>
        <w:rPr>
          <w:rFonts w:ascii="Noto Sans Arabic" w:hAnsi="Noto Sans Arabic" w:cs="Noto Sans Arabic"/>
          <w:b w:val="0"/>
          <w:color w:val="22262D"/>
          <w:sz w:val="20"/>
        </w:rPr>
        <w:t>Evidence</w:t>
      </w:r>
    </w:p>
    <w:p>
      <w:pPr>
        <w:pStyle w:val="ListBullet"/>
        <w:spacing w:after="80" w:before="0" w:line="276" w:lineRule="auto"/>
        <w:jc w:val="left"/>
      </w:pPr>
      <w:r>
        <w:rPr>
          <w:rFonts w:ascii="Noto Sans Arabic" w:hAnsi="Noto Sans Arabic" w:cs="Noto Sans Arabic"/>
          <w:b w:val="0"/>
          <w:color w:val="22262D"/>
          <w:sz w:val="20"/>
        </w:rPr>
        <w:t>Invalidation</w:t>
      </w:r>
    </w:p>
    <w:p>
      <w:pPr>
        <w:pStyle w:val="ListBullet"/>
        <w:spacing w:after="80" w:before="0" w:line="276" w:lineRule="auto"/>
        <w:jc w:val="left"/>
      </w:pPr>
      <w:r>
        <w:rPr>
          <w:rFonts w:ascii="Noto Sans Arabic" w:hAnsi="Noto Sans Arabic" w:cs="Noto Sans Arabic"/>
          <w:b w:val="0"/>
          <w:color w:val="22262D"/>
          <w:sz w:val="20"/>
        </w:rPr>
        <w:t>Evolution</w:t>
      </w:r>
    </w:p>
    <w:p>
      <w:pPr>
        <w:bidi w:val="1"/>
        <w:spacing w:after="80" w:before="0" w:line="276" w:lineRule="auto"/>
        <w:jc w:val="right"/>
      </w:pPr>
      <w:r>
        <w:rPr>
          <w:rFonts w:ascii="Noto Sans Arabic" w:hAnsi="Noto Sans Arabic" w:cs="Noto Sans Arabic"/>
          <w:b w:val="0"/>
          <w:color w:val="22262D"/>
          <w:sz w:val="20"/>
        </w:rPr>
        <w:t>ويفضل:</w:t>
      </w:r>
    </w:p>
    <w:p>
      <w:pPr>
        <w:spacing w:after="80" w:before="0" w:line="276" w:lineRule="auto"/>
        <w:jc w:val="left"/>
      </w:pPr>
      <w:r>
        <w:rPr>
          <w:rFonts w:ascii="Noto Sans Arabic" w:hAnsi="Noto Sans Arabic" w:cs="Noto Sans Arabic"/>
          <w:b/>
          <w:color w:val="22262D"/>
          <w:sz w:val="20"/>
        </w:rPr>
        <w:t>Scenario Comparison + Evolution Timeline</w:t>
      </w:r>
    </w:p>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19. NMP Review</w:t>
      </w:r>
    </w:p>
    <w:p>
      <w:pPr>
        <w:bidi w:val="1"/>
        <w:spacing w:after="80" w:before="0" w:line="276" w:lineRule="auto"/>
        <w:jc w:val="right"/>
      </w:pPr>
      <w:r>
        <w:rPr>
          <w:rFonts w:ascii="Noto Sans Arabic" w:hAnsi="Noto Sans Arabic" w:cs="Noto Sans Arabic"/>
          <w:b w:val="0"/>
          <w:color w:val="22262D"/>
          <w:sz w:val="20"/>
        </w:rPr>
        <w:t>يظهر دائمًا:</w:t>
      </w:r>
    </w:p>
    <w:p>
      <w:pPr>
        <w:spacing w:after="80" w:before="0" w:line="276" w:lineRule="auto"/>
        <w:jc w:val="left"/>
      </w:pPr>
      <w:r>
        <w:rPr>
          <w:rFonts w:ascii="Noto Sans Arabic" w:hAnsi="Noto Sans Arabic" w:cs="Noto Sans Arabic"/>
          <w:b/>
          <w:color w:val="22262D"/>
          <w:sz w:val="20"/>
        </w:rPr>
        <w:t>NMP — FROZEN / NO NEW DEVELOPMENT</w:t>
      </w:r>
    </w:p>
    <w:p>
      <w:pPr>
        <w:bidi w:val="1"/>
        <w:spacing w:after="80" w:before="0" w:line="276" w:lineRule="auto"/>
        <w:jc w:val="right"/>
      </w:pPr>
      <w:r>
        <w:rPr>
          <w:rFonts w:ascii="Noto Sans Arabic" w:hAnsi="Noto Sans Arabic" w:cs="Noto Sans Arabic"/>
          <w:b w:val="0"/>
          <w:color w:val="22262D"/>
          <w:sz w:val="20"/>
        </w:rPr>
        <w:t>و:</w:t>
      </w:r>
    </w:p>
    <w:p>
      <w:pPr>
        <w:spacing w:after="80" w:before="0" w:line="276" w:lineRule="auto"/>
        <w:jc w:val="left"/>
      </w:pPr>
      <w:r>
        <w:rPr>
          <w:rFonts w:ascii="Noto Sans Arabic" w:hAnsi="Noto Sans Arabic" w:cs="Noto Sans Arabic"/>
          <w:b/>
          <w:color w:val="22262D"/>
          <w:sz w:val="20"/>
        </w:rPr>
        <w:t>Experimental / Review</w:t>
      </w:r>
    </w:p>
    <w:p>
      <w:pPr>
        <w:bidi w:val="1"/>
        <w:spacing w:after="80" w:before="0" w:line="276" w:lineRule="auto"/>
        <w:jc w:val="right"/>
      </w:pPr>
      <w:r>
        <w:rPr>
          <w:rFonts w:ascii="Noto Sans Arabic" w:hAnsi="Noto Sans Arabic" w:cs="Noto Sans Arabic"/>
          <w:b w:val="0"/>
          <w:color w:val="22262D"/>
          <w:sz w:val="20"/>
        </w:rPr>
        <w:t>وهو Admin/Review only.</w:t>
      </w:r>
    </w:p>
    <w:p>
      <w:pPr>
        <w:bidi w:val="1"/>
        <w:spacing w:after="80" w:before="0" w:line="276" w:lineRule="auto"/>
        <w:jc w:val="right"/>
      </w:pPr>
      <w:r>
        <w:rPr>
          <w:rFonts w:ascii="Noto Sans Arabic" w:hAnsi="Noto Sans Arabic" w:cs="Noto Sans Arabic"/>
          <w:b w:val="0"/>
          <w:color w:val="22262D"/>
          <w:sz w:val="20"/>
        </w:rPr>
        <w:t>يمكن عرض الموجود فقط:</w:t>
      </w:r>
    </w:p>
    <w:p>
      <w:pPr>
        <w:pStyle w:val="ListBullet"/>
        <w:spacing w:after="80" w:before="0" w:line="276" w:lineRule="auto"/>
        <w:jc w:val="left"/>
      </w:pPr>
      <w:r>
        <w:rPr>
          <w:rFonts w:ascii="Noto Sans Arabic" w:hAnsi="Noto Sans Arabic" w:cs="Noto Sans Arabic"/>
          <w:b w:val="0"/>
          <w:color w:val="22262D"/>
          <w:sz w:val="20"/>
        </w:rPr>
        <w:t>State</w:t>
      </w:r>
    </w:p>
    <w:p>
      <w:pPr>
        <w:pStyle w:val="ListBullet"/>
        <w:spacing w:after="80" w:before="0" w:line="276" w:lineRule="auto"/>
        <w:jc w:val="left"/>
      </w:pPr>
      <w:r>
        <w:rPr>
          <w:rFonts w:ascii="Noto Sans Arabic" w:hAnsi="Noto Sans Arabic" w:cs="Noto Sans Arabic"/>
          <w:b w:val="0"/>
          <w:color w:val="22262D"/>
          <w:sz w:val="20"/>
        </w:rPr>
        <w:t>Value</w:t>
      </w:r>
    </w:p>
    <w:p>
      <w:pPr>
        <w:pStyle w:val="ListBullet"/>
        <w:spacing w:after="80" w:before="0" w:line="276" w:lineRule="auto"/>
        <w:jc w:val="left"/>
      </w:pPr>
      <w:r>
        <w:rPr>
          <w:rFonts w:ascii="Noto Sans Arabic" w:hAnsi="Noto Sans Arabic" w:cs="Noto Sans Arabic"/>
          <w:b w:val="0"/>
          <w:color w:val="22262D"/>
          <w:sz w:val="20"/>
        </w:rPr>
        <w:t>Level</w:t>
      </w:r>
    </w:p>
    <w:p>
      <w:pPr>
        <w:pStyle w:val="ListBullet"/>
        <w:spacing w:after="80" w:before="0" w:line="276" w:lineRule="auto"/>
        <w:jc w:val="left"/>
      </w:pPr>
      <w:r>
        <w:rPr>
          <w:rFonts w:ascii="Noto Sans Arabic" w:hAnsi="Noto Sans Arabic" w:cs="Noto Sans Arabic"/>
          <w:b w:val="0"/>
          <w:color w:val="22262D"/>
          <w:sz w:val="20"/>
        </w:rPr>
        <w:t>Timeframe</w:t>
      </w:r>
    </w:p>
    <w:p>
      <w:pPr>
        <w:pStyle w:val="ListBullet"/>
        <w:spacing w:after="80" w:before="0" w:line="276" w:lineRule="auto"/>
        <w:jc w:val="left"/>
      </w:pPr>
      <w:r>
        <w:rPr>
          <w:rFonts w:ascii="Noto Sans Arabic" w:hAnsi="Noto Sans Arabic" w:cs="Noto Sans Arabic"/>
          <w:b w:val="0"/>
          <w:color w:val="22262D"/>
          <w:sz w:val="20"/>
        </w:rPr>
        <w:t>Source</w:t>
      </w:r>
    </w:p>
    <w:p>
      <w:pPr>
        <w:pStyle w:val="ListBullet"/>
        <w:spacing w:after="80" w:before="0" w:line="276" w:lineRule="auto"/>
        <w:jc w:val="left"/>
      </w:pPr>
      <w:r>
        <w:rPr>
          <w:rFonts w:ascii="Noto Sans Arabic" w:hAnsi="Noto Sans Arabic" w:cs="Noto Sans Arabic"/>
          <w:b w:val="0"/>
          <w:color w:val="22262D"/>
          <w:sz w:val="20"/>
        </w:rPr>
        <w:t>Status</w:t>
      </w:r>
    </w:p>
    <w:p>
      <w:pPr>
        <w:pStyle w:val="ListBullet"/>
        <w:spacing w:after="80" w:before="0" w:line="276" w:lineRule="auto"/>
        <w:jc w:val="left"/>
      </w:pPr>
      <w:r>
        <w:rPr>
          <w:rFonts w:ascii="Noto Sans Arabic" w:hAnsi="Noto Sans Arabic" w:cs="Noto Sans Arabic"/>
          <w:b w:val="0"/>
          <w:color w:val="22262D"/>
          <w:sz w:val="20"/>
        </w:rPr>
        <w:t>Evidence</w:t>
      </w:r>
    </w:p>
    <w:p>
      <w:pPr>
        <w:pStyle w:val="ListBullet"/>
        <w:spacing w:after="80" w:before="0" w:line="276" w:lineRule="auto"/>
        <w:jc w:val="left"/>
      </w:pPr>
      <w:r>
        <w:rPr>
          <w:rFonts w:ascii="Noto Sans Arabic" w:hAnsi="Noto Sans Arabic" w:cs="Noto Sans Arabic"/>
          <w:b w:val="0"/>
          <w:color w:val="22262D"/>
          <w:sz w:val="20"/>
        </w:rPr>
        <w:t>History</w:t>
      </w:r>
    </w:p>
    <w:p>
      <w:pPr>
        <w:bidi w:val="1"/>
        <w:spacing w:after="80" w:before="0" w:line="276" w:lineRule="auto"/>
        <w:jc w:val="right"/>
      </w:pPr>
      <w:r>
        <w:rPr>
          <w:rFonts w:ascii="Noto Sans Arabic" w:hAnsi="Noto Sans Arabic" w:cs="Noto Sans Arabic"/>
          <w:b w:val="0"/>
          <w:color w:val="22262D"/>
          <w:sz w:val="20"/>
        </w:rPr>
        <w:t>ولا يوجد CTA لتطوير NMP جديد.</w:t>
      </w:r>
    </w:p>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20. Golden Alignment</w:t>
      </w:r>
    </w:p>
    <w:p>
      <w:pPr>
        <w:bidi w:val="1"/>
        <w:spacing w:after="80" w:before="0" w:line="276" w:lineRule="auto"/>
        <w:jc w:val="right"/>
      </w:pPr>
      <w:r>
        <w:rPr>
          <w:rFonts w:ascii="Noto Sans Arabic" w:hAnsi="Noto Sans Arabic" w:cs="Noto Sans Arabic"/>
          <w:b w:val="0"/>
          <w:color w:val="22262D"/>
          <w:sz w:val="20"/>
        </w:rPr>
        <w:t>الترتيب البصري:</w:t>
      </w:r>
    </w:p>
    <w:tbl>
      <w:tblPr>
        <w:tblW w:type="auto" w:w="0"/>
        <w:jc w:val="center"/>
        <w:tblLayout w:type="fixed"/>
        <w:tblLook w:firstColumn="1" w:firstRow="1" w:lastColumn="0" w:lastRow="0" w:noHBand="0" w:noVBand="1" w:val="04A0"/>
      </w:tblPr>
      <w:tblGrid>
        <w:gridCol w:w="9866"/>
      </w:tblGrid>
      <w:tr>
        <w:tc>
          <w:tcPr>
            <w:tcW w:type="dxa" w:w="9866"/>
            <w:shd w:fill="F1F3F5"/>
            <w:tcMar>
              <w:top w:w="90" w:type="dxa"/>
              <w:start w:w="100" w:type="dxa"/>
              <w:bottom w:w="90" w:type="dxa"/>
              <w:end w:w="100" w:type="dxa"/>
            </w:tcMar>
          </w:tcPr>
          <w:p>
            <w:pPr>
              <w:spacing w:after="0" w:line="228" w:lineRule="auto"/>
              <w:jc w:val="left"/>
            </w:pPr>
            <w:r>
              <w:rPr>
                <w:rFonts w:ascii="DejaVu Sans Mono" w:hAnsi="DejaVu Sans Mono" w:cs="DejaVu Sans Mono"/>
                <w:b w:val="0"/>
                <w:color w:val="30343B"/>
                <w:sz w:val="12"/>
              </w:rPr>
              <w:t>Alignment Summary</w:t>
              <w:br/>
              <w:t xml:space="preserve">        ↓</w:t>
              <w:br/>
              <w:t>Signal / Status</w:t>
              <w:br/>
              <w:t xml:space="preserve">        ↓</w:t>
              <w:br/>
              <w:t>Evidence Chain</w:t>
              <w:br/>
              <w:t xml:space="preserve">        ↓</w:t>
              <w:br/>
              <w:t>Reason / Missing Inputs</w:t>
              <w:br/>
              <w:t xml:space="preserve">        ↓</w:t>
              <w:br/>
              <w:t>Historical Changes</w:t>
            </w:r>
          </w:p>
        </w:tc>
      </w:tr>
    </w:tbl>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21. CORE Review</w:t>
      </w:r>
    </w:p>
    <w:p>
      <w:pPr>
        <w:bidi w:val="1"/>
        <w:spacing w:after="80" w:before="0" w:line="276" w:lineRule="auto"/>
        <w:jc w:val="right"/>
      </w:pPr>
      <w:r>
        <w:rPr>
          <w:rFonts w:ascii="Noto Sans Arabic" w:hAnsi="Noto Sans Arabic" w:cs="Noto Sans Arabic"/>
          <w:b w:val="0"/>
          <w:color w:val="22262D"/>
          <w:sz w:val="20"/>
        </w:rPr>
        <w:t>CORE Official Direction هو أحد أقوى العناصر البصرية في Admin.</w:t>
      </w:r>
    </w:p>
    <w:p>
      <w:pPr>
        <w:bidi w:val="1"/>
        <w:spacing w:after="80" w:before="0" w:line="276" w:lineRule="auto"/>
        <w:jc w:val="right"/>
      </w:pPr>
      <w:r>
        <w:rPr>
          <w:rFonts w:ascii="Noto Sans Arabic" w:hAnsi="Noto Sans Arabic" w:cs="Noto Sans Arabic"/>
          <w:b w:val="0"/>
          <w:color w:val="22262D"/>
          <w:sz w:val="20"/>
        </w:rPr>
        <w:t>يعرض:</w:t>
      </w:r>
    </w:p>
    <w:p>
      <w:pPr>
        <w:pStyle w:val="ListBullet"/>
        <w:spacing w:after="80" w:before="0" w:line="276" w:lineRule="auto"/>
        <w:jc w:val="left"/>
      </w:pPr>
      <w:r>
        <w:rPr>
          <w:rFonts w:ascii="Noto Sans Arabic" w:hAnsi="Noto Sans Arabic" w:cs="Noto Sans Arabic"/>
          <w:b w:val="0"/>
          <w:color w:val="22262D"/>
          <w:sz w:val="20"/>
        </w:rPr>
        <w:t>Current Official Direction</w:t>
      </w:r>
    </w:p>
    <w:p>
      <w:pPr>
        <w:pStyle w:val="ListBullet"/>
        <w:spacing w:after="80" w:before="0" w:line="276" w:lineRule="auto"/>
        <w:jc w:val="left"/>
      </w:pPr>
      <w:r>
        <w:rPr>
          <w:rFonts w:ascii="Noto Sans Arabic" w:hAnsi="Noto Sans Arabic" w:cs="Noto Sans Arabic"/>
          <w:b w:val="0"/>
          <w:color w:val="22262D"/>
          <w:sz w:val="20"/>
        </w:rPr>
        <w:t>Current State</w:t>
      </w:r>
    </w:p>
    <w:p>
      <w:pPr>
        <w:pStyle w:val="ListBullet"/>
        <w:spacing w:after="80" w:before="0" w:line="276" w:lineRule="auto"/>
        <w:jc w:val="left"/>
      </w:pPr>
      <w:r>
        <w:rPr>
          <w:rFonts w:ascii="Noto Sans Arabic" w:hAnsi="Noto Sans Arabic" w:cs="Noto Sans Arabic"/>
          <w:b w:val="0"/>
          <w:color w:val="22262D"/>
          <w:sz w:val="20"/>
        </w:rPr>
        <w:t>Governance Relationship</w:t>
      </w:r>
    </w:p>
    <w:p>
      <w:pPr>
        <w:pStyle w:val="ListBullet"/>
        <w:spacing w:after="80" w:before="0" w:line="276" w:lineRule="auto"/>
        <w:jc w:val="left"/>
      </w:pPr>
      <w:r>
        <w:rPr>
          <w:rFonts w:ascii="Noto Sans Arabic" w:hAnsi="Noto Sans Arabic" w:cs="Noto Sans Arabic"/>
          <w:b w:val="0"/>
          <w:color w:val="22262D"/>
          <w:sz w:val="20"/>
        </w:rPr>
        <w:t>Evidence Chain</w:t>
      </w:r>
    </w:p>
    <w:p>
      <w:pPr>
        <w:pStyle w:val="ListBullet"/>
        <w:spacing w:after="80" w:before="0" w:line="276" w:lineRule="auto"/>
        <w:jc w:val="left"/>
      </w:pPr>
      <w:r>
        <w:rPr>
          <w:rFonts w:ascii="Noto Sans Arabic" w:hAnsi="Noto Sans Arabic" w:cs="Noto Sans Arabic"/>
          <w:b w:val="0"/>
          <w:color w:val="22262D"/>
          <w:sz w:val="20"/>
        </w:rPr>
        <w:t>History</w:t>
      </w:r>
    </w:p>
    <w:p>
      <w:pPr>
        <w:pStyle w:val="ListBullet"/>
        <w:spacing w:after="80" w:before="0" w:line="276" w:lineRule="auto"/>
        <w:jc w:val="left"/>
      </w:pPr>
      <w:r>
        <w:rPr>
          <w:rFonts w:ascii="Noto Sans Arabic" w:hAnsi="Noto Sans Arabic" w:cs="Noto Sans Arabic"/>
          <w:b w:val="0"/>
          <w:color w:val="22262D"/>
          <w:sz w:val="20"/>
        </w:rPr>
        <w:t>Publication Relationship</w:t>
      </w:r>
    </w:p>
    <w:p>
      <w:pPr>
        <w:bidi w:val="1"/>
        <w:spacing w:after="80" w:before="0" w:line="276" w:lineRule="auto"/>
        <w:jc w:val="right"/>
      </w:pPr>
      <w:r>
        <w:rPr>
          <w:rFonts w:ascii="Noto Sans Arabic" w:hAnsi="Noto Sans Arabic" w:cs="Noto Sans Arabic"/>
          <w:b w:val="0"/>
          <w:color w:val="22262D"/>
          <w:sz w:val="20"/>
        </w:rPr>
        <w:t>لكن Authority Metadata غير المثبتة تبقى:</w:t>
      </w:r>
    </w:p>
    <w:tbl>
      <w:tblPr>
        <w:tblW w:type="auto" w:w="0"/>
        <w:jc w:val="center"/>
        <w:tblLayout w:type="fixed"/>
        <w:tblLook w:firstColumn="1" w:firstRow="1" w:lastColumn="0" w:lastRow="0" w:noHBand="0" w:noVBand="1" w:val="04A0"/>
      </w:tblPr>
      <w:tblGrid>
        <w:gridCol w:w="9866"/>
      </w:tblGrid>
      <w:tr>
        <w:tc>
          <w:tcPr>
            <w:tcW w:type="dxa" w:w="9866"/>
            <w:shd w:fill="F1F3F5"/>
            <w:tcMar>
              <w:top w:w="90" w:type="dxa"/>
              <w:start w:w="100" w:type="dxa"/>
              <w:bottom w:w="90" w:type="dxa"/>
              <w:end w:w="100" w:type="dxa"/>
            </w:tcMar>
          </w:tcPr>
          <w:p>
            <w:pPr>
              <w:spacing w:after="0" w:line="228" w:lineRule="auto"/>
              <w:jc w:val="left"/>
            </w:pPr>
            <w:r>
              <w:rPr>
                <w:rFonts w:ascii="DejaVu Sans Mono" w:hAnsi="DejaVu Sans Mono" w:cs="DejaVu Sans Mono"/>
                <w:b w:val="0"/>
                <w:color w:val="30343B"/>
                <w:sz w:val="12"/>
              </w:rPr>
              <w:t>Producer: TBD</w:t>
              <w:br/>
              <w:t>Source: TBD</w:t>
              <w:br/>
              <w:t>Contract: TBD</w:t>
              <w:br/>
              <w:br/>
              <w:t>TBD — requires technical freeze evidence</w:t>
            </w:r>
          </w:p>
        </w:tc>
      </w:tr>
    </w:tbl>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22. Decision Intelligence</w:t>
      </w:r>
    </w:p>
    <w:p>
      <w:pPr>
        <w:bidi w:val="1"/>
        <w:spacing w:after="80" w:before="0" w:line="276" w:lineRule="auto"/>
        <w:jc w:val="right"/>
      </w:pPr>
      <w:r>
        <w:rPr>
          <w:rFonts w:ascii="Noto Sans Arabic" w:hAnsi="Noto Sans Arabic" w:cs="Noto Sans Arabic"/>
          <w:b w:val="0"/>
          <w:color w:val="22262D"/>
          <w:sz w:val="20"/>
        </w:rPr>
        <w:t>تعرض:</w:t>
      </w:r>
    </w:p>
    <w:p>
      <w:pPr>
        <w:spacing w:after="80" w:before="0" w:line="276" w:lineRule="auto"/>
        <w:jc w:val="left"/>
      </w:pPr>
      <w:r>
        <w:rPr>
          <w:rFonts w:ascii="Noto Sans Arabic" w:hAnsi="Noto Sans Arabic" w:cs="Noto Sans Arabic"/>
          <w:b/>
          <w:color w:val="22262D"/>
          <w:sz w:val="20"/>
        </w:rPr>
        <w:t>Decision Layers 01–16</w:t>
      </w:r>
    </w:p>
    <w:p>
      <w:pPr>
        <w:bidi w:val="1"/>
        <w:spacing w:after="80" w:before="0" w:line="276" w:lineRule="auto"/>
        <w:jc w:val="right"/>
      </w:pPr>
      <w:r>
        <w:rPr>
          <w:rFonts w:ascii="Noto Sans Arabic" w:hAnsi="Noto Sans Arabic" w:cs="Noto Sans Arabic"/>
          <w:b w:val="0"/>
          <w:color w:val="22262D"/>
          <w:sz w:val="20"/>
        </w:rPr>
        <w:t>بدون اختراع أسماء.</w:t>
      </w:r>
    </w:p>
    <w:p>
      <w:pPr>
        <w:bidi w:val="1"/>
        <w:spacing w:after="80" w:before="0" w:line="276" w:lineRule="auto"/>
        <w:jc w:val="right"/>
      </w:pPr>
      <w:r>
        <w:rPr>
          <w:rFonts w:ascii="Noto Sans Arabic" w:hAnsi="Noto Sans Arabic" w:cs="Noto Sans Arabic"/>
          <w:b w:val="0"/>
          <w:color w:val="22262D"/>
          <w:sz w:val="20"/>
        </w:rPr>
        <w:t>أفضل visual representation:</w:t>
      </w:r>
    </w:p>
    <w:p>
      <w:pPr>
        <w:spacing w:after="80" w:before="0" w:line="276" w:lineRule="auto"/>
        <w:jc w:val="left"/>
      </w:pPr>
      <w:r>
        <w:rPr>
          <w:rFonts w:ascii="Noto Sans Arabic" w:hAnsi="Noto Sans Arabic" w:cs="Noto Sans Arabic"/>
          <w:b/>
          <w:color w:val="22262D"/>
          <w:sz w:val="20"/>
        </w:rPr>
        <w:t>Decision Layer Rail / Decision Stack</w:t>
      </w:r>
    </w:p>
    <w:p>
      <w:pPr>
        <w:bidi w:val="1"/>
        <w:spacing w:after="80" w:before="0" w:line="276" w:lineRule="auto"/>
        <w:jc w:val="right"/>
      </w:pPr>
      <w:r>
        <w:rPr>
          <w:rFonts w:ascii="Noto Sans Arabic" w:hAnsi="Noto Sans Arabic" w:cs="Noto Sans Arabic"/>
          <w:b w:val="0"/>
          <w:color w:val="22262D"/>
          <w:sz w:val="20"/>
        </w:rPr>
        <w:t>ويبرز:</w:t>
      </w:r>
    </w:p>
    <w:p>
      <w:pPr>
        <w:pStyle w:val="ListBullet"/>
        <w:spacing w:after="80" w:before="0" w:line="276" w:lineRule="auto"/>
        <w:jc w:val="left"/>
      </w:pPr>
      <w:r>
        <w:rPr>
          <w:rFonts w:ascii="Noto Sans Arabic" w:hAnsi="Noto Sans Arabic" w:cs="Noto Sans Arabic"/>
          <w:b w:val="0"/>
          <w:color w:val="22262D"/>
          <w:sz w:val="20"/>
        </w:rPr>
        <w:t>Active State</w:t>
      </w:r>
    </w:p>
    <w:p>
      <w:pPr>
        <w:pStyle w:val="ListBullet"/>
        <w:spacing w:after="80" w:before="0" w:line="276" w:lineRule="auto"/>
        <w:jc w:val="left"/>
      </w:pPr>
      <w:r>
        <w:rPr>
          <w:rFonts w:ascii="Noto Sans Arabic" w:hAnsi="Noto Sans Arabic" w:cs="Noto Sans Arabic"/>
          <w:b w:val="0"/>
          <w:color w:val="22262D"/>
          <w:sz w:val="20"/>
        </w:rPr>
        <w:t>Conflict</w:t>
      </w:r>
    </w:p>
    <w:p>
      <w:pPr>
        <w:pStyle w:val="ListBullet"/>
        <w:spacing w:after="80" w:before="0" w:line="276" w:lineRule="auto"/>
        <w:jc w:val="left"/>
      </w:pPr>
      <w:r>
        <w:rPr>
          <w:rFonts w:ascii="Noto Sans Arabic" w:hAnsi="Noto Sans Arabic" w:cs="Noto Sans Arabic"/>
          <w:b w:val="0"/>
          <w:color w:val="22262D"/>
          <w:sz w:val="20"/>
        </w:rPr>
        <w:t>Alignment</w:t>
      </w:r>
    </w:p>
    <w:p>
      <w:pPr>
        <w:pStyle w:val="ListBullet"/>
        <w:spacing w:after="80" w:before="0" w:line="276" w:lineRule="auto"/>
        <w:jc w:val="left"/>
      </w:pPr>
      <w:r>
        <w:rPr>
          <w:rFonts w:ascii="Noto Sans Arabic" w:hAnsi="Noto Sans Arabic" w:cs="Noto Sans Arabic"/>
          <w:b w:val="0"/>
          <w:color w:val="22262D"/>
          <w:sz w:val="20"/>
        </w:rPr>
        <w:t>Evidence</w:t>
      </w:r>
    </w:p>
    <w:p>
      <w:pPr>
        <w:pStyle w:val="ListBullet"/>
        <w:spacing w:after="80" w:before="0" w:line="276" w:lineRule="auto"/>
        <w:jc w:val="left"/>
      </w:pPr>
      <w:r>
        <w:rPr>
          <w:rFonts w:ascii="Noto Sans Arabic" w:hAnsi="Noto Sans Arabic" w:cs="Noto Sans Arabic"/>
          <w:b w:val="0"/>
          <w:color w:val="22262D"/>
          <w:sz w:val="20"/>
        </w:rPr>
        <w:t>History</w:t>
      </w:r>
    </w:p>
    <w:p>
      <w:pPr>
        <w:bidi w:val="1"/>
        <w:spacing w:after="80" w:before="0" w:line="276" w:lineRule="auto"/>
        <w:jc w:val="right"/>
      </w:pPr>
      <w:r>
        <w:rPr>
          <w:rFonts w:ascii="Noto Sans Arabic" w:hAnsi="Noto Sans Arabic" w:cs="Noto Sans Arabic"/>
          <w:b w:val="0"/>
          <w:color w:val="22262D"/>
          <w:sz w:val="20"/>
        </w:rPr>
        <w:t>ولا يوحي بوجود 16 microservices.</w:t>
      </w:r>
    </w:p>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23. Scoring</w:t>
      </w:r>
    </w:p>
    <w:p>
      <w:pPr>
        <w:bidi w:val="1"/>
        <w:spacing w:after="80" w:before="0" w:line="276" w:lineRule="auto"/>
        <w:jc w:val="right"/>
      </w:pPr>
      <w:r>
        <w:rPr>
          <w:rFonts w:ascii="Noto Sans Arabic" w:hAnsi="Noto Sans Arabic" w:cs="Noto Sans Arabic"/>
          <w:b w:val="0"/>
          <w:color w:val="22262D"/>
          <w:sz w:val="20"/>
        </w:rPr>
        <w:t>الترتيب:</w:t>
      </w:r>
    </w:p>
    <w:tbl>
      <w:tblPr>
        <w:tblW w:type="auto" w:w="0"/>
        <w:jc w:val="center"/>
        <w:tblLayout w:type="fixed"/>
        <w:tblLook w:firstColumn="1" w:firstRow="1" w:lastColumn="0" w:lastRow="0" w:noHBand="0" w:noVBand="1" w:val="04A0"/>
      </w:tblPr>
      <w:tblGrid>
        <w:gridCol w:w="9866"/>
      </w:tblGrid>
      <w:tr>
        <w:tc>
          <w:tcPr>
            <w:tcW w:type="dxa" w:w="9866"/>
            <w:shd w:fill="F1F3F5"/>
            <w:tcMar>
              <w:top w:w="90" w:type="dxa"/>
              <w:start w:w="100" w:type="dxa"/>
              <w:bottom w:w="90" w:type="dxa"/>
              <w:end w:w="100" w:type="dxa"/>
            </w:tcMar>
          </w:tcPr>
          <w:p>
            <w:pPr>
              <w:spacing w:after="0" w:line="228" w:lineRule="auto"/>
              <w:jc w:val="left"/>
            </w:pPr>
            <w:r>
              <w:rPr>
                <w:rFonts w:ascii="DejaVu Sans Mono" w:hAnsi="DejaVu Sans Mono" w:cs="DejaVu Sans Mono"/>
                <w:b w:val="0"/>
                <w:color w:val="30343B"/>
                <w:sz w:val="12"/>
              </w:rPr>
              <w:t>Score Inputs</w:t>
              <w:br/>
              <w:t>↓</w:t>
              <w:br/>
              <w:t>Raw Score</w:t>
              <w:br/>
              <w:t>↓</w:t>
              <w:br/>
              <w:t>Commercial Score</w:t>
              <w:br/>
              <w:t>↓</w:t>
              <w:br/>
              <w:t>Band</w:t>
              <w:br/>
              <w:t>↓</w:t>
              <w:br/>
              <w:t>Calculation Status</w:t>
              <w:br/>
              <w:t>↓</w:t>
              <w:br/>
              <w:t>Missing Components</w:t>
              <w:br/>
              <w:t>↓</w:t>
              <w:br/>
              <w:t>Blocking Gates</w:t>
              <w:br/>
              <w:t>↓</w:t>
              <w:br/>
              <w:t>Eligibility</w:t>
              <w:br/>
              <w:t>↓</w:t>
              <w:br/>
              <w:t>History</w:t>
            </w:r>
          </w:p>
        </w:tc>
      </w:tr>
    </w:tbl>
    <w:p>
      <w:pPr>
        <w:bidi w:val="1"/>
        <w:spacing w:after="80" w:before="0" w:line="276" w:lineRule="auto"/>
        <w:jc w:val="right"/>
      </w:pPr>
      <w:r>
        <w:rPr>
          <w:rFonts w:ascii="Noto Sans Arabic" w:hAnsi="Noto Sans Arabic" w:cs="Noto Sans Arabic"/>
          <w:b w:val="0"/>
          <w:color w:val="22262D"/>
          <w:sz w:val="20"/>
        </w:rPr>
        <w:t>ويجب فصل:</w:t>
      </w:r>
    </w:p>
    <w:p>
      <w:pPr>
        <w:spacing w:after="80" w:before="0" w:line="276" w:lineRule="auto"/>
        <w:jc w:val="left"/>
      </w:pPr>
      <w:r>
        <w:rPr>
          <w:rFonts w:ascii="Noto Sans Arabic" w:hAnsi="Noto Sans Arabic" w:cs="Noto Sans Arabic"/>
          <w:b/>
          <w:color w:val="22262D"/>
          <w:sz w:val="20"/>
        </w:rPr>
        <w:t>Score Result</w:t>
      </w:r>
    </w:p>
    <w:p>
      <w:pPr>
        <w:bidi w:val="1"/>
        <w:spacing w:after="80" w:before="0" w:line="276" w:lineRule="auto"/>
        <w:jc w:val="right"/>
      </w:pPr>
      <w:r>
        <w:rPr>
          <w:rFonts w:ascii="Noto Sans Arabic" w:hAnsi="Noto Sans Arabic" w:cs="Noto Sans Arabic"/>
          <w:b w:val="0"/>
          <w:color w:val="22262D"/>
          <w:sz w:val="20"/>
        </w:rPr>
        <w:t>عن:</w:t>
      </w:r>
    </w:p>
    <w:p>
      <w:pPr>
        <w:spacing w:after="80" w:before="0" w:line="276" w:lineRule="auto"/>
        <w:jc w:val="left"/>
      </w:pPr>
      <w:r>
        <w:rPr>
          <w:rFonts w:ascii="Noto Sans Arabic" w:hAnsi="Noto Sans Arabic" w:cs="Noto Sans Arabic"/>
          <w:b/>
          <w:color w:val="22262D"/>
          <w:sz w:val="20"/>
        </w:rPr>
        <w:t>Governance Approval</w:t>
      </w:r>
    </w:p>
    <w:p>
      <w:pPr>
        <w:bidi w:val="1"/>
        <w:spacing w:after="80" w:before="0" w:line="276" w:lineRule="auto"/>
        <w:jc w:val="right"/>
      </w:pPr>
      <w:r>
        <w:rPr>
          <w:rFonts w:ascii="Noto Sans Arabic" w:hAnsi="Noto Sans Arabic" w:cs="Noto Sans Arabic"/>
          <w:b w:val="0"/>
          <w:color w:val="22262D"/>
          <w:sz w:val="20"/>
        </w:rPr>
        <w:t>بصريًا ووظيفيًا.</w:t>
      </w:r>
    </w:p>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24. Governance Center</w:t>
      </w:r>
    </w:p>
    <w:p>
      <w:pPr>
        <w:bidi w:val="1"/>
        <w:spacing w:after="80" w:before="0" w:line="276" w:lineRule="auto"/>
        <w:jc w:val="right"/>
      </w:pPr>
      <w:r>
        <w:rPr>
          <w:rFonts w:ascii="Noto Sans Arabic" w:hAnsi="Noto Sans Arabic" w:cs="Noto Sans Arabic"/>
          <w:b w:val="0"/>
          <w:color w:val="22262D"/>
          <w:sz w:val="20"/>
        </w:rPr>
        <w:t>هذه من أقوى صفحات النظام.</w:t>
      </w:r>
    </w:p>
    <w:p>
      <w:pPr>
        <w:bidi w:val="1"/>
        <w:spacing w:after="80" w:before="0" w:line="276" w:lineRule="auto"/>
        <w:jc w:val="right"/>
      </w:pPr>
      <w:r>
        <w:rPr>
          <w:rFonts w:ascii="Noto Sans Arabic" w:hAnsi="Noto Sans Arabic" w:cs="Noto Sans Arabic"/>
          <w:b w:val="0"/>
          <w:color w:val="22262D"/>
          <w:sz w:val="20"/>
        </w:rPr>
        <w:t>تبدأ بـ:</w:t>
      </w:r>
    </w:p>
    <w:p>
      <w:pPr>
        <w:spacing w:after="80" w:before="0" w:line="276" w:lineRule="auto"/>
        <w:jc w:val="left"/>
      </w:pPr>
      <w:r>
        <w:rPr>
          <w:rFonts w:ascii="Noto Sans Arabic" w:hAnsi="Noto Sans Arabic" w:cs="Noto Sans Arabic"/>
          <w:b/>
          <w:color w:val="22262D"/>
          <w:sz w:val="20"/>
        </w:rPr>
        <w:t>Publication Decision / Eligibility State</w:t>
      </w:r>
    </w:p>
    <w:p>
      <w:pPr>
        <w:bidi w:val="1"/>
        <w:spacing w:after="80" w:before="0" w:line="276" w:lineRule="auto"/>
        <w:jc w:val="right"/>
      </w:pPr>
      <w:r>
        <w:rPr>
          <w:rFonts w:ascii="Noto Sans Arabic" w:hAnsi="Noto Sans Arabic" w:cs="Noto Sans Arabic"/>
          <w:b w:val="0"/>
          <w:color w:val="22262D"/>
          <w:sz w:val="20"/>
        </w:rPr>
        <w:t>ثم:</w:t>
      </w:r>
    </w:p>
    <w:p>
      <w:pPr>
        <w:pStyle w:val="ListBullet"/>
        <w:spacing w:after="80" w:before="0" w:line="276" w:lineRule="auto"/>
        <w:jc w:val="left"/>
      </w:pPr>
      <w:r>
        <w:rPr>
          <w:rFonts w:ascii="Noto Sans Arabic" w:hAnsi="Noto Sans Arabic" w:cs="Noto Sans Arabic"/>
          <w:b w:val="0"/>
          <w:color w:val="22262D"/>
          <w:sz w:val="20"/>
        </w:rPr>
        <w:t>Governing Inputs</w:t>
      </w:r>
    </w:p>
    <w:p>
      <w:pPr>
        <w:pStyle w:val="ListBullet"/>
        <w:spacing w:after="80" w:before="0" w:line="276" w:lineRule="auto"/>
        <w:jc w:val="left"/>
      </w:pPr>
      <w:r>
        <w:rPr>
          <w:rFonts w:ascii="Noto Sans Arabic" w:hAnsi="Noto Sans Arabic" w:cs="Noto Sans Arabic"/>
          <w:b w:val="0"/>
          <w:color w:val="22262D"/>
          <w:sz w:val="20"/>
        </w:rPr>
        <w:t>Freshness</w:t>
      </w:r>
    </w:p>
    <w:p>
      <w:pPr>
        <w:pStyle w:val="ListBullet"/>
        <w:spacing w:after="80" w:before="0" w:line="276" w:lineRule="auto"/>
        <w:jc w:val="left"/>
      </w:pPr>
      <w:r>
        <w:rPr>
          <w:rFonts w:ascii="Noto Sans Arabic" w:hAnsi="Noto Sans Arabic" w:cs="Noto Sans Arabic"/>
          <w:b w:val="0"/>
          <w:color w:val="22262D"/>
          <w:sz w:val="20"/>
        </w:rPr>
        <w:t>Completeness</w:t>
      </w:r>
    </w:p>
    <w:p>
      <w:pPr>
        <w:pStyle w:val="ListBullet"/>
        <w:spacing w:after="80" w:before="0" w:line="276" w:lineRule="auto"/>
        <w:jc w:val="left"/>
      </w:pPr>
      <w:r>
        <w:rPr>
          <w:rFonts w:ascii="Noto Sans Arabic" w:hAnsi="Noto Sans Arabic" w:cs="Noto Sans Arabic"/>
          <w:b w:val="0"/>
          <w:color w:val="22262D"/>
          <w:sz w:val="20"/>
        </w:rPr>
        <w:t>Gates</w:t>
      </w:r>
    </w:p>
    <w:p>
      <w:pPr>
        <w:pStyle w:val="ListBullet"/>
        <w:spacing w:after="80" w:before="0" w:line="276" w:lineRule="auto"/>
        <w:jc w:val="left"/>
      </w:pPr>
      <w:r>
        <w:rPr>
          <w:rFonts w:ascii="Noto Sans Arabic" w:hAnsi="Noto Sans Arabic" w:cs="Noto Sans Arabic"/>
          <w:b w:val="0"/>
          <w:color w:val="22262D"/>
          <w:sz w:val="20"/>
        </w:rPr>
        <w:t>Policies</w:t>
      </w:r>
    </w:p>
    <w:p>
      <w:pPr>
        <w:pStyle w:val="ListBullet"/>
        <w:spacing w:after="80" w:before="0" w:line="276" w:lineRule="auto"/>
        <w:jc w:val="left"/>
      </w:pPr>
      <w:r>
        <w:rPr>
          <w:rFonts w:ascii="Noto Sans Arabic" w:hAnsi="Noto Sans Arabic" w:cs="Noto Sans Arabic"/>
          <w:b w:val="0"/>
          <w:color w:val="22262D"/>
          <w:sz w:val="20"/>
        </w:rPr>
        <w:t>Blockers</w:t>
      </w:r>
    </w:p>
    <w:p>
      <w:pPr>
        <w:pStyle w:val="ListBullet"/>
        <w:spacing w:after="80" w:before="0" w:line="276" w:lineRule="auto"/>
        <w:jc w:val="left"/>
      </w:pPr>
      <w:r>
        <w:rPr>
          <w:rFonts w:ascii="Noto Sans Arabic" w:hAnsi="Noto Sans Arabic" w:cs="Noto Sans Arabic"/>
          <w:b w:val="0"/>
          <w:color w:val="22262D"/>
          <w:sz w:val="20"/>
        </w:rPr>
        <w:t>Evidence</w:t>
      </w:r>
    </w:p>
    <w:p>
      <w:pPr>
        <w:pStyle w:val="ListBullet"/>
        <w:spacing w:after="80" w:before="0" w:line="276" w:lineRule="auto"/>
        <w:jc w:val="left"/>
      </w:pPr>
      <w:r>
        <w:rPr>
          <w:rFonts w:ascii="Noto Sans Arabic" w:hAnsi="Noto Sans Arabic" w:cs="Noto Sans Arabic"/>
          <w:b w:val="0"/>
          <w:color w:val="22262D"/>
          <w:sz w:val="20"/>
        </w:rPr>
        <w:t>Launch Readiness</w:t>
      </w:r>
    </w:p>
    <w:p>
      <w:pPr>
        <w:pStyle w:val="ListBullet"/>
        <w:spacing w:after="80" w:before="0" w:line="276" w:lineRule="auto"/>
        <w:jc w:val="left"/>
      </w:pPr>
      <w:r>
        <w:rPr>
          <w:rFonts w:ascii="Noto Sans Arabic" w:hAnsi="Noto Sans Arabic" w:cs="Noto Sans Arabic"/>
          <w:b w:val="0"/>
          <w:color w:val="22262D"/>
          <w:sz w:val="20"/>
        </w:rPr>
        <w:t>Audit</w:t>
      </w:r>
    </w:p>
    <w:p>
      <w:pPr>
        <w:bidi w:val="1"/>
        <w:spacing w:after="80" w:before="0" w:line="276" w:lineRule="auto"/>
        <w:jc w:val="right"/>
      </w:pPr>
      <w:r>
        <w:rPr>
          <w:rFonts w:ascii="Noto Sans Arabic" w:hAnsi="Noto Sans Arabic" w:cs="Noto Sans Arabic"/>
          <w:b w:val="0"/>
          <w:color w:val="22262D"/>
          <w:sz w:val="20"/>
        </w:rPr>
        <w:t>وتنتهي بـ:</w:t>
      </w:r>
    </w:p>
    <w:p>
      <w:pPr>
        <w:spacing w:after="80" w:before="0" w:line="276" w:lineRule="auto"/>
        <w:jc w:val="left"/>
      </w:pPr>
      <w:r>
        <w:rPr>
          <w:rFonts w:ascii="Noto Sans Arabic" w:hAnsi="Noto Sans Arabic" w:cs="Noto Sans Arabic"/>
          <w:b/>
          <w:color w:val="22262D"/>
          <w:sz w:val="20"/>
        </w:rPr>
        <w:t>Authorized Public Output</w:t>
      </w:r>
    </w:p>
    <w:p>
      <w:pPr>
        <w:bidi w:val="1"/>
        <w:spacing w:after="80" w:before="0" w:line="276" w:lineRule="auto"/>
        <w:jc w:val="right"/>
      </w:pPr>
      <w:r>
        <w:rPr>
          <w:rFonts w:ascii="Noto Sans Arabic" w:hAnsi="Noto Sans Arabic" w:cs="Noto Sans Arabic"/>
          <w:b w:val="0"/>
          <w:color w:val="22262D"/>
          <w:sz w:val="20"/>
        </w:rPr>
        <w:t>وهو الحد الوحيد الذي يسمح بالعبور إلى Public Projection.</w:t>
      </w:r>
    </w:p>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25. Shadow / Review</w:t>
      </w:r>
    </w:p>
    <w:p>
      <w:pPr>
        <w:bidi w:val="1"/>
        <w:spacing w:after="80" w:before="0" w:line="276" w:lineRule="auto"/>
        <w:jc w:val="right"/>
      </w:pPr>
      <w:r>
        <w:rPr>
          <w:rFonts w:ascii="Noto Sans Arabic" w:hAnsi="Noto Sans Arabic" w:cs="Noto Sans Arabic"/>
          <w:b w:val="0"/>
          <w:color w:val="22262D"/>
          <w:sz w:val="20"/>
        </w:rPr>
        <w:t>Workspace داخلي مستقل.</w:t>
      </w:r>
    </w:p>
    <w:p>
      <w:pPr>
        <w:spacing w:after="80" w:before="0" w:line="276" w:lineRule="auto"/>
        <w:jc w:val="left"/>
      </w:pPr>
      <w:r>
        <w:rPr>
          <w:rFonts w:ascii="Noto Sans Arabic" w:hAnsi="Noto Sans Arabic" w:cs="Noto Sans Arabic"/>
          <w:b/>
          <w:color w:val="22262D"/>
          <w:sz w:val="20"/>
        </w:rPr>
        <w:t>Admin / Review Only</w:t>
      </w:r>
    </w:p>
    <w:p>
      <w:pPr>
        <w:bidi w:val="1"/>
        <w:spacing w:after="80" w:before="0" w:line="276" w:lineRule="auto"/>
        <w:jc w:val="right"/>
      </w:pPr>
      <w:r>
        <w:rPr>
          <w:rFonts w:ascii="Noto Sans Arabic" w:hAnsi="Noto Sans Arabic" w:cs="Noto Sans Arabic"/>
          <w:b w:val="0"/>
          <w:color w:val="22262D"/>
          <w:sz w:val="20"/>
        </w:rPr>
        <w:t>أي logic غير مثبت:</w:t>
      </w:r>
    </w:p>
    <w:p>
      <w:pPr>
        <w:spacing w:after="80" w:before="0" w:line="276" w:lineRule="auto"/>
        <w:jc w:val="left"/>
      </w:pPr>
      <w:r>
        <w:rPr>
          <w:rFonts w:ascii="DejaVu Sans Mono" w:hAnsi="DejaVu Sans Mono" w:cs="DejaVu Sans Mono"/>
          <w:b w:val="0"/>
          <w:color w:val="8E6D27"/>
          <w:sz w:val="18"/>
        </w:rPr>
        <w:t>TBD — requires technical freeze evidence</w:t>
      </w:r>
    </w:p>
    <w:p>
      <w:pPr>
        <w:bidi w:val="1"/>
        <w:spacing w:after="80" w:before="0" w:line="276" w:lineRule="auto"/>
        <w:jc w:val="right"/>
      </w:pPr>
      <w:r>
        <w:rPr>
          <w:rFonts w:ascii="Noto Sans Arabic" w:hAnsi="Noto Sans Arabic" w:cs="Noto Sans Arabic"/>
          <w:b w:val="0"/>
          <w:color w:val="22262D"/>
          <w:sz w:val="20"/>
        </w:rPr>
        <w:t>ولا يدخل Public Contract.</w:t>
      </w:r>
    </w:p>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26. Capability Matrix</w:t>
      </w:r>
    </w:p>
    <w:p>
      <w:pPr>
        <w:bidi w:val="1"/>
        <w:spacing w:after="80" w:before="0" w:line="276" w:lineRule="auto"/>
        <w:jc w:val="right"/>
      </w:pPr>
      <w:r>
        <w:rPr>
          <w:rFonts w:ascii="Noto Sans Arabic" w:hAnsi="Noto Sans Arabic" w:cs="Noto Sans Arabic"/>
          <w:b w:val="0"/>
          <w:color w:val="22262D"/>
          <w:sz w:val="20"/>
        </w:rPr>
        <w:t>تعرض:</w:t>
      </w:r>
    </w:p>
    <w:p>
      <w:pPr>
        <w:spacing w:after="80" w:before="0" w:line="276" w:lineRule="auto"/>
        <w:jc w:val="left"/>
      </w:pPr>
      <w:r>
        <w:rPr>
          <w:rFonts w:ascii="Noto Sans Arabic" w:hAnsi="Noto Sans Arabic" w:cs="Noto Sans Arabic"/>
          <w:b/>
          <w:color w:val="22262D"/>
          <w:sz w:val="20"/>
        </w:rPr>
        <w:t>Capabilities 01–28</w:t>
      </w:r>
    </w:p>
    <w:p>
      <w:pPr>
        <w:bidi w:val="1"/>
        <w:spacing w:after="80" w:before="0" w:line="276" w:lineRule="auto"/>
        <w:jc w:val="right"/>
      </w:pPr>
      <w:r>
        <w:rPr>
          <w:rFonts w:ascii="Noto Sans Arabic" w:hAnsi="Noto Sans Arabic" w:cs="Noto Sans Arabic"/>
          <w:b w:val="0"/>
          <w:color w:val="22262D"/>
          <w:sz w:val="20"/>
        </w:rPr>
        <w:t>كـlogical capabilities.</w:t>
      </w:r>
    </w:p>
    <w:p>
      <w:pPr>
        <w:bidi w:val="1"/>
        <w:spacing w:after="80" w:before="0" w:line="276" w:lineRule="auto"/>
        <w:jc w:val="right"/>
      </w:pPr>
      <w:r>
        <w:rPr>
          <w:rFonts w:ascii="Noto Sans Arabic" w:hAnsi="Noto Sans Arabic" w:cs="Noto Sans Arabic"/>
          <w:b w:val="0"/>
          <w:color w:val="22262D"/>
          <w:sz w:val="20"/>
        </w:rPr>
        <w:t>يمكن عرض:</w:t>
      </w:r>
    </w:p>
    <w:p>
      <w:pPr>
        <w:pStyle w:val="ListBullet"/>
        <w:spacing w:after="80" w:before="0" w:line="276" w:lineRule="auto"/>
        <w:jc w:val="left"/>
      </w:pPr>
      <w:r>
        <w:rPr>
          <w:rFonts w:ascii="Noto Sans Arabic" w:hAnsi="Noto Sans Arabic" w:cs="Noto Sans Arabic"/>
          <w:b w:val="0"/>
          <w:color w:val="22262D"/>
          <w:sz w:val="20"/>
        </w:rPr>
        <w:t>Registry Status</w:t>
      </w:r>
    </w:p>
    <w:p>
      <w:pPr>
        <w:pStyle w:val="ListBullet"/>
        <w:spacing w:after="80" w:before="0" w:line="276" w:lineRule="auto"/>
        <w:jc w:val="left"/>
      </w:pPr>
      <w:r>
        <w:rPr>
          <w:rFonts w:ascii="Noto Sans Arabic" w:hAnsi="Noto Sans Arabic" w:cs="Noto Sans Arabic"/>
          <w:b w:val="0"/>
          <w:color w:val="22262D"/>
          <w:sz w:val="20"/>
        </w:rPr>
        <w:t>Runtime State</w:t>
      </w:r>
    </w:p>
    <w:p>
      <w:pPr>
        <w:pStyle w:val="ListBullet"/>
        <w:spacing w:after="80" w:before="0" w:line="276" w:lineRule="auto"/>
        <w:jc w:val="left"/>
      </w:pPr>
      <w:r>
        <w:rPr>
          <w:rFonts w:ascii="Noto Sans Arabic" w:hAnsi="Noto Sans Arabic" w:cs="Noto Sans Arabic"/>
          <w:b w:val="0"/>
          <w:color w:val="22262D"/>
          <w:sz w:val="20"/>
        </w:rPr>
        <w:t>Dependencies</w:t>
      </w:r>
    </w:p>
    <w:p>
      <w:pPr>
        <w:pStyle w:val="ListBullet"/>
        <w:spacing w:after="80" w:before="0" w:line="276" w:lineRule="auto"/>
        <w:jc w:val="left"/>
      </w:pPr>
      <w:r>
        <w:rPr>
          <w:rFonts w:ascii="Noto Sans Arabic" w:hAnsi="Noto Sans Arabic" w:cs="Noto Sans Arabic"/>
          <w:b w:val="0"/>
          <w:color w:val="22262D"/>
          <w:sz w:val="20"/>
        </w:rPr>
        <w:t>Health</w:t>
      </w:r>
    </w:p>
    <w:p>
      <w:pPr>
        <w:pStyle w:val="ListBullet"/>
        <w:spacing w:after="80" w:before="0" w:line="276" w:lineRule="auto"/>
        <w:jc w:val="left"/>
      </w:pPr>
      <w:r>
        <w:rPr>
          <w:rFonts w:ascii="Noto Sans Arabic" w:hAnsi="Noto Sans Arabic" w:cs="Noto Sans Arabic"/>
          <w:b w:val="0"/>
          <w:color w:val="22262D"/>
          <w:sz w:val="20"/>
        </w:rPr>
        <w:t>Exposure</w:t>
      </w:r>
    </w:p>
    <w:p>
      <w:pPr>
        <w:pStyle w:val="ListBullet"/>
        <w:spacing w:after="80" w:before="0" w:line="276" w:lineRule="auto"/>
        <w:jc w:val="left"/>
      </w:pPr>
      <w:r>
        <w:rPr>
          <w:rFonts w:ascii="Noto Sans Arabic" w:hAnsi="Noto Sans Arabic" w:cs="Noto Sans Arabic"/>
          <w:b w:val="0"/>
          <w:color w:val="22262D"/>
          <w:sz w:val="20"/>
        </w:rPr>
        <w:t>Evidence</w:t>
      </w:r>
    </w:p>
    <w:p>
      <w:pPr>
        <w:bidi w:val="1"/>
        <w:spacing w:after="80" w:before="0" w:line="276" w:lineRule="auto"/>
        <w:jc w:val="right"/>
      </w:pPr>
      <w:r>
        <w:rPr>
          <w:rFonts w:ascii="Noto Sans Arabic" w:hAnsi="Noto Sans Arabic" w:cs="Noto Sans Arabic"/>
          <w:b w:val="0"/>
          <w:color w:val="22262D"/>
          <w:sz w:val="20"/>
        </w:rPr>
        <w:t>ولا يتم اختراع الأسماء أو افتراض microservice لكل Capability.</w:t>
      </w:r>
    </w:p>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27. Explainability &amp; Evidence Explorer</w:t>
      </w:r>
    </w:p>
    <w:p>
      <w:pPr>
        <w:bidi w:val="1"/>
        <w:spacing w:after="80" w:before="0" w:line="276" w:lineRule="auto"/>
        <w:jc w:val="right"/>
      </w:pPr>
      <w:r>
        <w:rPr>
          <w:rFonts w:ascii="Noto Sans Arabic" w:hAnsi="Noto Sans Arabic" w:cs="Noto Sans Arabic"/>
          <w:b w:val="0"/>
          <w:color w:val="22262D"/>
          <w:sz w:val="20"/>
        </w:rPr>
        <w:t>المبدأ المركزي:</w:t>
      </w:r>
    </w:p>
    <w:tbl>
      <w:tblPr>
        <w:tblW w:type="auto" w:w="0"/>
        <w:jc w:val="center"/>
        <w:tblLayout w:type="fixed"/>
        <w:tblLook w:firstColumn="1" w:firstRow="1" w:lastColumn="0" w:lastRow="0" w:noHBand="0" w:noVBand="1" w:val="04A0"/>
      </w:tblPr>
      <w:tblGrid>
        <w:gridCol w:w="9866"/>
      </w:tblGrid>
      <w:tr>
        <w:tc>
          <w:tcPr>
            <w:tcW w:type="dxa" w:w="9866"/>
            <w:shd w:fill="F1F3F5"/>
            <w:tcMar>
              <w:top w:w="90" w:type="dxa"/>
              <w:start w:w="100" w:type="dxa"/>
              <w:bottom w:w="90" w:type="dxa"/>
              <w:end w:w="100" w:type="dxa"/>
            </w:tcMar>
          </w:tcPr>
          <w:p>
            <w:pPr>
              <w:spacing w:after="0" w:line="228" w:lineRule="auto"/>
              <w:jc w:val="left"/>
            </w:pPr>
            <w:r>
              <w:rPr>
                <w:rFonts w:ascii="DejaVu Sans Mono" w:hAnsi="DejaVu Sans Mono" w:cs="DejaVu Sans Mono"/>
                <w:b w:val="0"/>
                <w:color w:val="30343B"/>
                <w:sz w:val="12"/>
              </w:rPr>
              <w:t>RESULT</w:t>
              <w:br/>
              <w:t xml:space="preserve"> ↓</w:t>
              <w:br/>
              <w:t>WHY</w:t>
              <w:br/>
              <w:t xml:space="preserve"> ↓</w:t>
              <w:br/>
              <w:t>EVIDENCE</w:t>
              <w:br/>
              <w:t xml:space="preserve"> ↓</w:t>
              <w:br/>
              <w:t>SOURCE</w:t>
              <w:br/>
              <w:t xml:space="preserve"> ↓</w:t>
              <w:br/>
              <w:t>LINEAGE</w:t>
            </w:r>
          </w:p>
        </w:tc>
      </w:tr>
    </w:tbl>
    <w:p>
      <w:pPr>
        <w:bidi w:val="1"/>
        <w:spacing w:after="80" w:before="0" w:line="276" w:lineRule="auto"/>
        <w:jc w:val="right"/>
      </w:pPr>
      <w:r>
        <w:rPr>
          <w:rFonts w:ascii="Noto Sans Arabic" w:hAnsi="Noto Sans Arabic" w:cs="Noto Sans Arabic"/>
          <w:b w:val="0"/>
          <w:color w:val="22262D"/>
          <w:sz w:val="20"/>
        </w:rPr>
        <w:t>ويستخدم progressive disclosure بدل إظهار كل التفاصيل دفعة واحدة.</w:t>
      </w:r>
    </w:p>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28. Operations &amp; Security</w:t>
      </w:r>
    </w:p>
    <w:p>
      <w:pPr>
        <w:bidi w:val="1"/>
        <w:spacing w:after="80" w:before="0" w:line="276" w:lineRule="auto"/>
        <w:jc w:val="right"/>
      </w:pPr>
      <w:r>
        <w:rPr>
          <w:rFonts w:ascii="Noto Sans Arabic" w:hAnsi="Noto Sans Arabic" w:cs="Noto Sans Arabic"/>
          <w:b w:val="0"/>
          <w:color w:val="22262D"/>
          <w:sz w:val="20"/>
        </w:rPr>
        <w:t>مساحة مستقلة لـ:</w:t>
      </w:r>
    </w:p>
    <w:p>
      <w:pPr>
        <w:pStyle w:val="ListBullet"/>
        <w:spacing w:after="80" w:before="0" w:line="276" w:lineRule="auto"/>
        <w:jc w:val="left"/>
      </w:pPr>
      <w:r>
        <w:rPr>
          <w:rFonts w:ascii="Noto Sans Arabic" w:hAnsi="Noto Sans Arabic" w:cs="Noto Sans Arabic"/>
          <w:b w:val="0"/>
          <w:color w:val="22262D"/>
          <w:sz w:val="20"/>
        </w:rPr>
        <w:t>Authentication</w:t>
      </w:r>
    </w:p>
    <w:p>
      <w:pPr>
        <w:pStyle w:val="ListBullet"/>
        <w:spacing w:after="80" w:before="0" w:line="276" w:lineRule="auto"/>
        <w:jc w:val="left"/>
      </w:pPr>
      <w:r>
        <w:rPr>
          <w:rFonts w:ascii="Noto Sans Arabic" w:hAnsi="Noto Sans Arabic" w:cs="Noto Sans Arabic"/>
          <w:b w:val="0"/>
          <w:color w:val="22262D"/>
          <w:sz w:val="20"/>
        </w:rPr>
        <w:t>Authorization</w:t>
      </w:r>
    </w:p>
    <w:p>
      <w:pPr>
        <w:pStyle w:val="ListBullet"/>
        <w:spacing w:after="80" w:before="0" w:line="276" w:lineRule="auto"/>
        <w:jc w:val="left"/>
      </w:pPr>
      <w:r>
        <w:rPr>
          <w:rFonts w:ascii="Noto Sans Arabic" w:hAnsi="Noto Sans Arabic" w:cs="Noto Sans Arabic"/>
          <w:b w:val="0"/>
          <w:color w:val="22262D"/>
          <w:sz w:val="20"/>
        </w:rPr>
        <w:t>RBAC</w:t>
      </w:r>
    </w:p>
    <w:p>
      <w:pPr>
        <w:pStyle w:val="ListBullet"/>
        <w:spacing w:after="80" w:before="0" w:line="276" w:lineRule="auto"/>
        <w:jc w:val="left"/>
      </w:pPr>
      <w:r>
        <w:rPr>
          <w:rFonts w:ascii="Noto Sans Arabic" w:hAnsi="Noto Sans Arabic" w:cs="Noto Sans Arabic"/>
          <w:b w:val="0"/>
          <w:color w:val="22262D"/>
          <w:sz w:val="20"/>
        </w:rPr>
        <w:t>Audit</w:t>
      </w:r>
    </w:p>
    <w:p>
      <w:pPr>
        <w:pStyle w:val="ListBullet"/>
        <w:spacing w:after="80" w:before="0" w:line="276" w:lineRule="auto"/>
        <w:jc w:val="left"/>
      </w:pPr>
      <w:r>
        <w:rPr>
          <w:rFonts w:ascii="Noto Sans Arabic" w:hAnsi="Noto Sans Arabic" w:cs="Noto Sans Arabic"/>
          <w:b w:val="0"/>
          <w:color w:val="22262D"/>
          <w:sz w:val="20"/>
        </w:rPr>
        <w:t>Observability</w:t>
      </w:r>
    </w:p>
    <w:p>
      <w:pPr>
        <w:pStyle w:val="ListBullet"/>
        <w:spacing w:after="80" w:before="0" w:line="276" w:lineRule="auto"/>
        <w:jc w:val="left"/>
      </w:pPr>
      <w:r>
        <w:rPr>
          <w:rFonts w:ascii="Noto Sans Arabic" w:hAnsi="Noto Sans Arabic" w:cs="Noto Sans Arabic"/>
          <w:b w:val="0"/>
          <w:color w:val="22262D"/>
          <w:sz w:val="20"/>
        </w:rPr>
        <w:t>Provider Health</w:t>
      </w:r>
    </w:p>
    <w:p>
      <w:pPr>
        <w:pStyle w:val="ListBullet"/>
        <w:spacing w:after="80" w:before="0" w:line="276" w:lineRule="auto"/>
        <w:jc w:val="left"/>
      </w:pPr>
      <w:r>
        <w:rPr>
          <w:rFonts w:ascii="Noto Sans Arabic" w:hAnsi="Noto Sans Arabic" w:cs="Noto Sans Arabic"/>
          <w:b w:val="0"/>
          <w:color w:val="22262D"/>
          <w:sz w:val="20"/>
        </w:rPr>
        <w:t>Service Health</w:t>
      </w:r>
    </w:p>
    <w:p>
      <w:pPr>
        <w:pStyle w:val="ListBullet"/>
        <w:spacing w:after="80" w:before="0" w:line="276" w:lineRule="auto"/>
        <w:jc w:val="left"/>
      </w:pPr>
      <w:r>
        <w:rPr>
          <w:rFonts w:ascii="Noto Sans Arabic" w:hAnsi="Noto Sans Arabic" w:cs="Noto Sans Arabic"/>
          <w:b w:val="0"/>
          <w:color w:val="22262D"/>
          <w:sz w:val="20"/>
        </w:rPr>
        <w:t>Logs</w:t>
      </w:r>
    </w:p>
    <w:p>
      <w:pPr>
        <w:pStyle w:val="ListBullet"/>
        <w:spacing w:after="80" w:before="0" w:line="276" w:lineRule="auto"/>
        <w:jc w:val="left"/>
      </w:pPr>
      <w:r>
        <w:rPr>
          <w:rFonts w:ascii="Noto Sans Arabic" w:hAnsi="Noto Sans Arabic" w:cs="Noto Sans Arabic"/>
          <w:b w:val="0"/>
          <w:color w:val="22262D"/>
          <w:sz w:val="20"/>
        </w:rPr>
        <w:t>Diagnostics</w:t>
      </w:r>
    </w:p>
    <w:p>
      <w:pPr>
        <w:pStyle w:val="ListBullet"/>
        <w:spacing w:after="80" w:before="0" w:line="276" w:lineRule="auto"/>
        <w:jc w:val="left"/>
      </w:pPr>
      <w:r>
        <w:rPr>
          <w:rFonts w:ascii="Noto Sans Arabic" w:hAnsi="Noto Sans Arabic" w:cs="Noto Sans Arabic"/>
          <w:b w:val="0"/>
          <w:color w:val="22262D"/>
          <w:sz w:val="20"/>
        </w:rPr>
        <w:t>Alerts</w:t>
      </w:r>
    </w:p>
    <w:p>
      <w:pPr>
        <w:pStyle w:val="ListBullet"/>
        <w:spacing w:after="80" w:before="0" w:line="276" w:lineRule="auto"/>
        <w:jc w:val="left"/>
      </w:pPr>
      <w:r>
        <w:rPr>
          <w:rFonts w:ascii="Noto Sans Arabic" w:hAnsi="Noto Sans Arabic" w:cs="Noto Sans Arabic"/>
          <w:b w:val="0"/>
          <w:color w:val="22262D"/>
          <w:sz w:val="20"/>
        </w:rPr>
        <w:t>Platform State</w:t>
      </w:r>
    </w:p>
    <w:p>
      <w:pPr>
        <w:bidi w:val="1"/>
        <w:spacing w:after="80" w:before="0" w:line="276" w:lineRule="auto"/>
        <w:jc w:val="right"/>
      </w:pPr>
      <w:r>
        <w:rPr>
          <w:rFonts w:ascii="Noto Sans Arabic" w:hAnsi="Noto Sans Arabic" w:cs="Noto Sans Arabic"/>
          <w:b w:val="0"/>
          <w:color w:val="22262D"/>
          <w:sz w:val="20"/>
        </w:rPr>
        <w:t>ولا تخلط مع financial intelligence.</w:t>
      </w:r>
    </w:p>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29. Visual Design System</w:t>
      </w:r>
    </w:p>
    <w:p>
      <w:pPr>
        <w:pStyle w:val="Heading2"/>
        <w:keepNext/>
        <w:spacing w:before="160" w:after="100"/>
        <w:jc w:val="left"/>
      </w:pPr>
      <w:r>
        <w:rPr>
          <w:rFonts w:ascii="Noto Kufi Arabic" w:hAnsi="Noto Kufi Arabic" w:cs="Noto Kufi Arabic"/>
          <w:b/>
          <w:color w:val="22262D"/>
          <w:sz w:val="28"/>
        </w:rPr>
        <w:t>Admin / Review</w:t>
      </w:r>
    </w:p>
    <w:p>
      <w:pPr>
        <w:bidi w:val="1"/>
        <w:spacing w:after="80" w:before="0" w:line="276" w:lineRule="auto"/>
        <w:jc w:val="right"/>
      </w:pPr>
      <w:r>
        <w:rPr>
          <w:rFonts w:ascii="Noto Sans Arabic" w:hAnsi="Noto Sans Arabic" w:cs="Noto Sans Arabic"/>
          <w:b w:val="0"/>
          <w:color w:val="22262D"/>
          <w:sz w:val="20"/>
        </w:rPr>
        <w:t>الخلفيات:</w:t>
      </w:r>
    </w:p>
    <w:p>
      <w:pPr>
        <w:pStyle w:val="ListBullet"/>
        <w:spacing w:after="80" w:before="0" w:line="276" w:lineRule="auto"/>
        <w:jc w:val="left"/>
      </w:pPr>
      <w:r>
        <w:rPr>
          <w:rFonts w:ascii="Noto Sans Arabic" w:hAnsi="Noto Sans Arabic" w:cs="Noto Sans Arabic"/>
          <w:b w:val="0"/>
          <w:color w:val="22262D"/>
          <w:sz w:val="20"/>
        </w:rPr>
        <w:t>Near-black</w:t>
      </w:r>
    </w:p>
    <w:p>
      <w:pPr>
        <w:pStyle w:val="ListBullet"/>
        <w:spacing w:after="80" w:before="0" w:line="276" w:lineRule="auto"/>
        <w:jc w:val="left"/>
      </w:pPr>
      <w:r>
        <w:rPr>
          <w:rFonts w:ascii="Noto Sans Arabic" w:hAnsi="Noto Sans Arabic" w:cs="Noto Sans Arabic"/>
          <w:b w:val="0"/>
          <w:color w:val="22262D"/>
          <w:sz w:val="20"/>
        </w:rPr>
        <w:t>Charcoal</w:t>
      </w:r>
    </w:p>
    <w:p>
      <w:pPr>
        <w:pStyle w:val="ListBullet"/>
        <w:spacing w:after="80" w:before="0" w:line="276" w:lineRule="auto"/>
        <w:jc w:val="left"/>
      </w:pPr>
      <w:r>
        <w:rPr>
          <w:rFonts w:ascii="Noto Sans Arabic" w:hAnsi="Noto Sans Arabic" w:cs="Noto Sans Arabic"/>
          <w:b w:val="0"/>
          <w:color w:val="22262D"/>
          <w:sz w:val="20"/>
        </w:rPr>
        <w:t>Deep neutral surfaces</w:t>
      </w:r>
    </w:p>
    <w:p>
      <w:pPr>
        <w:bidi w:val="1"/>
        <w:spacing w:after="80" w:before="0" w:line="276" w:lineRule="auto"/>
        <w:jc w:val="right"/>
      </w:pPr>
      <w:r>
        <w:rPr>
          <w:rFonts w:ascii="Noto Sans Arabic" w:hAnsi="Noto Sans Arabic" w:cs="Noto Sans Arabic"/>
          <w:b w:val="0"/>
          <w:color w:val="22262D"/>
          <w:sz w:val="20"/>
        </w:rPr>
        <w:t>مع:</w:t>
      </w:r>
    </w:p>
    <w:p>
      <w:pPr>
        <w:pStyle w:val="ListBullet"/>
        <w:spacing w:after="80" w:before="0" w:line="276" w:lineRule="auto"/>
        <w:jc w:val="left"/>
      </w:pPr>
      <w:r>
        <w:rPr>
          <w:rFonts w:ascii="Noto Sans Arabic" w:hAnsi="Noto Sans Arabic" w:cs="Noto Sans Arabic"/>
          <w:b w:val="0"/>
          <w:color w:val="22262D"/>
          <w:sz w:val="20"/>
        </w:rPr>
        <w:t>Soft gray borders</w:t>
      </w:r>
    </w:p>
    <w:p>
      <w:pPr>
        <w:pStyle w:val="ListBullet"/>
        <w:spacing w:after="80" w:before="0" w:line="276" w:lineRule="auto"/>
        <w:jc w:val="left"/>
      </w:pPr>
      <w:r>
        <w:rPr>
          <w:rFonts w:ascii="Noto Sans Arabic" w:hAnsi="Noto Sans Arabic" w:cs="Noto Sans Arabic"/>
          <w:b w:val="0"/>
          <w:color w:val="22262D"/>
          <w:sz w:val="20"/>
        </w:rPr>
        <w:t>High contrast primary text</w:t>
      </w:r>
    </w:p>
    <w:p>
      <w:pPr>
        <w:pStyle w:val="ListBullet"/>
        <w:spacing w:after="80" w:before="0" w:line="276" w:lineRule="auto"/>
        <w:jc w:val="left"/>
      </w:pPr>
      <w:r>
        <w:rPr>
          <w:rFonts w:ascii="Noto Sans Arabic" w:hAnsi="Noto Sans Arabic" w:cs="Noto Sans Arabic"/>
          <w:b w:val="0"/>
          <w:color w:val="22262D"/>
          <w:sz w:val="20"/>
        </w:rPr>
        <w:t>Low contrast metadata</w:t>
      </w:r>
    </w:p>
    <w:p>
      <w:pPr>
        <w:pStyle w:val="ListBullet"/>
        <w:spacing w:after="80" w:before="0" w:line="276" w:lineRule="auto"/>
        <w:jc w:val="left"/>
      </w:pPr>
      <w:r>
        <w:rPr>
          <w:rFonts w:ascii="Noto Sans Arabic" w:hAnsi="Noto Sans Arabic" w:cs="Noto Sans Arabic"/>
          <w:b w:val="0"/>
          <w:color w:val="22262D"/>
          <w:sz w:val="20"/>
        </w:rPr>
        <w:t>Minimal elevation</w:t>
      </w:r>
    </w:p>
    <w:p>
      <w:pPr>
        <w:pStyle w:val="ListBullet"/>
        <w:spacing w:after="80" w:before="0" w:line="276" w:lineRule="auto"/>
        <w:jc w:val="left"/>
      </w:pPr>
      <w:r>
        <w:rPr>
          <w:rFonts w:ascii="Noto Sans Arabic" w:hAnsi="Noto Sans Arabic" w:cs="Noto Sans Arabic"/>
          <w:b w:val="0"/>
          <w:color w:val="22262D"/>
          <w:sz w:val="20"/>
        </w:rPr>
        <w:t>Controlled accent colors</w:t>
      </w:r>
    </w:p>
    <w:p>
      <w:pPr>
        <w:pStyle w:val="Heading2"/>
        <w:keepNext/>
        <w:spacing w:before="160" w:after="100"/>
        <w:jc w:val="left"/>
      </w:pPr>
      <w:r>
        <w:rPr>
          <w:rFonts w:ascii="Noto Kufi Arabic" w:hAnsi="Noto Kufi Arabic" w:cs="Noto Kufi Arabic"/>
          <w:b/>
          <w:color w:val="22262D"/>
          <w:sz w:val="28"/>
        </w:rPr>
        <w:t>Public</w:t>
      </w:r>
    </w:p>
    <w:p>
      <w:pPr>
        <w:bidi w:val="1"/>
        <w:spacing w:after="80" w:before="0" w:line="276" w:lineRule="auto"/>
        <w:jc w:val="right"/>
      </w:pPr>
      <w:r>
        <w:t>الـPublic يستخدم افتراضيًا SOVEREIGN OBSIDIAN كـDeep Institutional Canvas؛ لا يوجد Light canvas افتراضي في هذه المراجعة.</w:t>
      </w:r>
    </w:p>
    <w:p>
      <w:pPr>
        <w:pStyle w:val="ListBullet"/>
        <w:spacing w:after="80" w:before="0" w:line="276" w:lineRule="auto"/>
        <w:jc w:val="right"/>
        <w:bidi w:val="1"/>
      </w:pPr>
      <w:r>
        <w:t>Page Canvas #080D10</w:t>
      </w:r>
    </w:p>
    <w:p>
      <w:pPr>
        <w:bidi w:val="1"/>
        <w:spacing w:after="80" w:before="0" w:line="276" w:lineRule="auto"/>
        <w:jc w:val="right"/>
      </w:pPr>
      <w:r>
        <w:t>مع:</w:t>
      </w:r>
    </w:p>
    <w:p>
      <w:pPr>
        <w:pStyle w:val="ListBullet"/>
        <w:spacing w:after="80" w:before="0" w:line="276" w:lineRule="auto"/>
        <w:jc w:val="right"/>
        <w:bidi w:val="1"/>
      </w:pPr>
      <w:r>
        <w:t>Surface #111518 / Surface Elevated #161C24</w:t>
      </w:r>
    </w:p>
    <w:p>
      <w:pPr>
        <w:bidi w:val="1"/>
        <w:spacing w:after="80" w:before="0" w:line="276" w:lineRule="auto"/>
        <w:jc w:val="right"/>
      </w:pPr>
      <w:r>
        <w:rPr>
          <w:rFonts w:ascii="Noto Sans Arabic" w:hAnsi="Noto Sans Arabic" w:cs="Noto Sans Arabic"/>
          <w:b w:val="0"/>
          <w:color w:val="22262D"/>
          <w:sz w:val="20"/>
        </w:rPr>
        <w:t>لكن مع:</w:t>
      </w:r>
    </w:p>
    <w:p>
      <w:pPr>
        <w:pStyle w:val="ListBullet"/>
        <w:spacing w:after="80" w:before="0" w:line="276" w:lineRule="auto"/>
        <w:jc w:val="left"/>
      </w:pPr>
      <w:r>
        <w:rPr>
          <w:rFonts w:ascii="Noto Sans Arabic" w:hAnsi="Noto Sans Arabic" w:cs="Noto Sans Arabic"/>
          <w:b w:val="0"/>
          <w:color w:val="22262D"/>
          <w:sz w:val="20"/>
        </w:rPr>
        <w:t>generous whitespace</w:t>
      </w:r>
    </w:p>
    <w:p>
      <w:pPr>
        <w:pStyle w:val="ListBullet"/>
        <w:spacing w:after="80" w:before="0" w:line="276" w:lineRule="auto"/>
        <w:jc w:val="left"/>
      </w:pPr>
      <w:r>
        <w:rPr>
          <w:rFonts w:ascii="Noto Sans Arabic" w:hAnsi="Noto Sans Arabic" w:cs="Noto Sans Arabic"/>
          <w:b w:val="0"/>
          <w:color w:val="22262D"/>
          <w:sz w:val="20"/>
        </w:rPr>
        <w:t>CORE-dominant hierarchy</w:t>
      </w:r>
    </w:p>
    <w:p>
      <w:pPr>
        <w:pStyle w:val="ListBullet"/>
        <w:spacing w:after="80" w:before="0" w:line="276" w:lineRule="auto"/>
        <w:jc w:val="left"/>
      </w:pPr>
      <w:r>
        <w:rPr>
          <w:rFonts w:ascii="Noto Sans Arabic" w:hAnsi="Noto Sans Arabic" w:cs="Noto Sans Arabic"/>
          <w:b w:val="0"/>
          <w:color w:val="22262D"/>
          <w:sz w:val="20"/>
        </w:rPr>
        <w:t>minimal navigation</w:t>
      </w:r>
    </w:p>
    <w:p>
      <w:pPr>
        <w:pStyle w:val="ListBullet"/>
        <w:spacing w:after="80" w:before="0" w:line="276" w:lineRule="auto"/>
        <w:jc w:val="left"/>
      </w:pPr>
      <w:r>
        <w:rPr>
          <w:rFonts w:ascii="Noto Sans Arabic" w:hAnsi="Noto Sans Arabic" w:cs="Noto Sans Arabic"/>
          <w:b w:val="0"/>
          <w:color w:val="22262D"/>
          <w:sz w:val="20"/>
        </w:rPr>
        <w:t>evidence summary</w:t>
      </w:r>
    </w:p>
    <w:p>
      <w:pPr>
        <w:pStyle w:val="ListBullet"/>
        <w:spacing w:after="80" w:before="0" w:line="276" w:lineRule="auto"/>
        <w:jc w:val="left"/>
      </w:pPr>
      <w:r>
        <w:rPr>
          <w:rFonts w:ascii="Noto Sans Arabic" w:hAnsi="Noto Sans Arabic" w:cs="Noto Sans Arabic"/>
          <w:b w:val="0"/>
          <w:color w:val="22262D"/>
          <w:sz w:val="20"/>
        </w:rPr>
        <w:t>governance trust signals</w:t>
      </w:r>
    </w:p>
    <w:p>
      <w:pPr>
        <w:pBdr>
          <w:bottom w:val="single" w:sz="8" w:space="1" w:color="B8953F"/>
        </w:pBdr>
        <w:spacing w:after="100"/>
      </w:pPr>
    </w:p>
    <w:p>
      <w:pPr>
        <w:sectPr>
          <w:pgSz w:w="11906" w:h="16838"/>
          <w:pgMar w:top="964" w:right="1020" w:bottom="964" w:left="1020" w:header="720" w:footer="720" w:gutter="0"/>
          <w:cols w:space="720"/>
          <w:titlePg/>
          <w:docGrid w:linePitch="360"/>
        </w:sectPr>
      </w:pPr>
    </w:p>
    <w:p>
      <w:pPr>
        <w:spacing w:after="120"/>
        <w:jc w:val="center"/>
      </w:pPr>
      <w:r>
        <w:rPr>
          <w:rFonts w:ascii="Noto Kufi Arabic" w:hAnsi="Noto Kufi Arabic" w:cs="Noto Kufi Arabic"/>
          <w:b/>
          <w:color w:val="8E6D27"/>
          <w:sz w:val="26"/>
        </w:rPr>
        <w:t>Figure UI-01 — NDSP Visual Design System Mindmap</w:t>
      </w:r>
    </w:p>
    <w:p>
      <w:pPr>
        <w:jc w:val="center"/>
      </w:pPr>
      <w:r>
        <w:drawing>
          <wp:inline xmlns:a="http://schemas.openxmlformats.org/drawingml/2006/main" xmlns:pic="http://schemas.openxmlformats.org/drawingml/2006/picture">
            <wp:extent cx="8845677" cy="4047070"/>
            <wp:docPr id="2" name="Picture 2" title="Figure UI-01 — NDSP Visual Design System Mindmap" descr="مرجع بصري للهوية، الألوان الدلالية، Typography، Grid، Spacing، Motion، Components، Accessibility، Responsive Behavior، وPublic/Admin visual language."/>
            <wp:cNvGraphicFramePr>
              <a:graphicFrameLocks noChangeAspect="1"/>
            </wp:cNvGraphicFramePr>
            <a:graphic>
              <a:graphicData uri="http://schemas.openxmlformats.org/drawingml/2006/picture">
                <pic:pic>
                  <pic:nvPicPr>
                    <pic:cNvPr id="0" name="888888888888888888888888888888888888888888888888888888888888.png"/>
                    <pic:cNvPicPr/>
                  </pic:nvPicPr>
                  <pic:blipFill>
                    <a:blip r:embed="rId14"/>
                    <a:stretch>
                      <a:fillRect/>
                    </a:stretch>
                  </pic:blipFill>
                  <pic:spPr>
                    <a:xfrm>
                      <a:off x="0" y="0"/>
                      <a:ext cx="8845677" cy="4047070"/>
                    </a:xfrm>
                    <a:prstGeom prst="rect"/>
                  </pic:spPr>
                </pic:pic>
              </a:graphicData>
            </a:graphic>
          </wp:inline>
        </w:drawing>
      </w:r>
    </w:p>
    <w:p>
      <w:pPr>
        <w:spacing w:before="80"/>
        <w:jc w:val="right"/>
        <w:bidi w:val="1"/>
      </w:pPr>
      <w:r>
        <w:rPr>
          <w:rFonts w:ascii="Noto Sans Arabic" w:hAnsi="Noto Sans Arabic" w:cs="Noto Sans Arabic"/>
          <w:b w:val="0"/>
          <w:color w:val="5E6673"/>
          <w:sz w:val="17"/>
        </w:rPr>
        <w:t>مرجع بصري للهوية، الألوان الدلالية، Typography، Grid، Spacing، Motion، Components، Accessibility، Responsive Behavior، وPublic/Admin visual language.</w:t>
      </w:r>
    </w:p>
    <w:p>
      <w:pPr>
        <w:sectPr>
          <w:pgSz w:w="16838" w:h="11906" w:orient="landscape"/>
          <w:pgMar w:top="680" w:right="680" w:bottom="680" w:left="680" w:header="720" w:footer="720" w:gutter="0"/>
          <w:cols w:space="720"/>
          <w:titlePg/>
          <w:docGrid w:linePitch="360"/>
        </w:sectPr>
      </w:pPr>
    </w:p>
    <w:p>
      <w:pPr>
        <w:pStyle w:val="Heading1"/>
        <w:keepNext/>
        <w:spacing w:before="240" w:after="100"/>
        <w:jc w:val="left"/>
      </w:pPr>
      <w:r>
        <w:rPr>
          <w:rFonts w:ascii="Noto Kufi Arabic" w:hAnsi="Noto Kufi Arabic" w:cs="Noto Kufi Arabic"/>
          <w:b/>
          <w:color w:val="8E6D27"/>
          <w:sz w:val="36"/>
        </w:rPr>
        <w:t>30. Semantic Color System</w:t>
      </w:r>
    </w:p>
    <w:p>
      <w:pPr>
        <w:bidi w:val="1"/>
        <w:spacing w:after="80" w:before="0" w:line="276" w:lineRule="auto"/>
        <w:jc w:val="right"/>
      </w:pPr>
      <w:r>
        <w:rPr>
          <w:rFonts w:ascii="Noto Sans Arabic" w:hAnsi="Noto Sans Arabic" w:cs="Noto Sans Arabic"/>
          <w:b w:val="0"/>
          <w:color w:val="22262D"/>
          <w:sz w:val="20"/>
        </w:rPr>
        <w:t>الألوان ليست decorative.</w:t>
      </w:r>
    </w:p>
    <w:tbl>
      <w:tblPr>
        <w:tblW w:type="auto" w:w="0"/>
        <w:jc w:val="center"/>
        <w:tblLayout w:type="fixed"/>
        <w:tblLook w:firstColumn="1" w:firstRow="1" w:lastColumn="0" w:lastRow="0" w:noHBand="0" w:noVBand="1" w:val="04A0"/>
      </w:tblPr>
      <w:tblGrid>
        <w:gridCol w:w="9866"/>
      </w:tblGrid>
      <w:tr>
        <w:tc>
          <w:tcPr>
            <w:tcW w:type="dxa" w:w="9866"/>
            <w:shd w:fill="F1F3F5"/>
            <w:tcMar>
              <w:top w:w="90" w:type="dxa"/>
              <w:start w:w="100" w:type="dxa"/>
              <w:bottom w:w="90" w:type="dxa"/>
              <w:end w:w="100" w:type="dxa"/>
            </w:tcMar>
          </w:tcPr>
          <w:p>
            <w:r>
              <w:t>Healthy / Authorized / Positive → Green</w:t>
              <w:br/>
              <w:t>Warning / Review               → Amber</w:t>
              <w:br/>
              <w:t>Blocked / Critical             → Red</w:t>
              <w:br/>
              <w:t>Intelligence / Analysis        → Controlled Sky Blue</w:t>
              <w:br/>
              <w:t>Experimental / Review          → Controlled Purple</w:t>
              <w:br/>
              <w:t>Neutral                        → Gray / Charcoal</w:t>
              <w:br/>
              <w:t>Brand Authority / CORE Emphasis→ Warm Refined Metallic Gold</w:t>
              <w:br/>
              <w:t>Primary Text                   → White / Off-White</w:t>
            </w:r>
          </w:p>
        </w:tc>
      </w:tr>
    </w:tbl>
    <w:p>
      <w:pPr>
        <w:bidi w:val="1"/>
        <w:spacing w:after="80" w:before="0" w:line="276" w:lineRule="auto"/>
        <w:jc w:val="right"/>
      </w:pPr>
      <w:r>
        <w:rPr>
          <w:rFonts w:ascii="Noto Sans Arabic" w:hAnsi="Noto Sans Arabic" w:cs="Noto Sans Arabic"/>
          <w:b w:val="0"/>
          <w:color w:val="22262D"/>
          <w:sz w:val="20"/>
        </w:rPr>
        <w:t>لا يستخدم اللون وحده لنقل المعنى.</w:t>
      </w:r>
    </w:p>
    <w:p>
      <w:pPr>
        <w:bidi w:val="1"/>
        <w:spacing w:after="80" w:before="0" w:line="276" w:lineRule="auto"/>
        <w:jc w:val="right"/>
      </w:pPr>
      <w:r>
        <w:rPr>
          <w:rFonts w:ascii="Noto Sans Arabic" w:hAnsi="Noto Sans Arabic" w:cs="Noto Sans Arabic"/>
          <w:b w:val="0"/>
          <w:color w:val="22262D"/>
          <w:sz w:val="20"/>
        </w:rPr>
        <w:t>كل حالة مهمة تستخدم:</w:t>
      </w:r>
    </w:p>
    <w:p>
      <w:pPr>
        <w:bidi w:val="1"/>
        <w:spacing w:after="80" w:before="0" w:line="276" w:lineRule="auto"/>
        <w:jc w:val="right"/>
      </w:pPr>
      <w:r>
        <w:rPr>
          <w:rFonts w:ascii="Noto Sans Arabic" w:hAnsi="Noto Sans Arabic" w:cs="Noto Sans Arabic"/>
          <w:b/>
          <w:color w:val="22262D"/>
          <w:sz w:val="20"/>
        </w:rPr>
        <w:t>Color + Label + Icon/Shape عند الحاجة</w:t>
      </w:r>
    </w:p>
    <w:p>
      <w:pPr>
        <w:pBdr>
          <w:bottom w:val="single" w:sz="8" w:space="1" w:color="B8953F"/>
        </w:pBdr>
        <w:spacing w:after="100"/>
      </w:pPr>
    </w:p>
    <w:p>
      <w:pPr>
        <w:pStyle w:val="Heading2"/>
        <w:keepNext/>
        <w:bidi w:val="1"/>
        <w:spacing w:before="160" w:after="100"/>
        <w:jc w:val="right"/>
      </w:pPr>
      <w:r>
        <w:rPr>
          <w:rFonts w:ascii="Noto Kufi Arabic" w:hAnsi="Noto Kufi Arabic" w:cs="Noto Kufi Arabic"/>
          <w:b/>
          <w:color w:val="22262D"/>
          <w:sz w:val="28"/>
        </w:rPr>
        <w:t>30A. حسم الهوية السوداء/الذهبية ضمن Semantic Color System</w:t>
      </w:r>
    </w:p>
    <w:p>
      <w:pPr>
        <w:bidi w:val="1"/>
        <w:spacing w:after="80" w:before="0" w:line="276" w:lineRule="auto"/>
        <w:jc w:val="right"/>
      </w:pPr>
      <w:r>
        <w:t>تُعتمد الهوية الجديدة رسميًا باسم SOVEREIGN OBSIDIAN. القيم الحاكمة: Page Canvas #080D10، Refined Gold #D4AF37 للهوية والسلطة وCORE، Sky Blue #29B6F6 للتحليل والأدلة، Off-White #F5F6F7 للنصوص.</w:t>
      </w:r>
    </w:p>
    <w:p>
      <w:pPr>
        <w:bidi w:val="1"/>
        <w:spacing w:after="80" w:before="0" w:line="276" w:lineRule="auto"/>
        <w:jc w:val="right"/>
      </w:pPr>
      <w:r>
        <w:t>الذهب يُستخدم في الشعار، CORE Authority Card، primary governed CTA، الحدود والـseparators المنتقاة، والـlocalized convergence highlight. Sky Blue يستخدم لمسارات الأدلة، data/intelligence accent، focus، والروابط التحليلية.</w:t>
      </w:r>
    </w:p>
    <w:p>
      <w:pPr>
        <w:bidi w:val="1"/>
        <w:spacing w:after="80" w:before="0" w:line="276" w:lineRule="auto"/>
        <w:jc w:val="right"/>
      </w:pPr>
      <w:r>
        <w:t>الألوان الدلالية ثابتة: Authorized Green #2FB67C، Warning Amber #D89C3A، Critical Red #D95C5C، Review Purple #8B6BD9. لا يستبدل Gold أي لون دلالي.</w:t>
      </w:r>
    </w:p>
    <w:p>
      <w:pPr>
        <w:bidi w:val="1"/>
        <w:spacing w:after="80" w:before="0" w:line="276" w:lineRule="auto"/>
        <w:jc w:val="right"/>
      </w:pPr>
      <w:r>
        <w:t>يسمح فقط بالـlocalized Gold glow عند evidence convergence وCORE edge وبـsparse Sky Blue evidence points كما في Figure UI-04/UI-05. تمنع particle fields الزخرفية، neon cyberpunk، continuous ambient glow، والـgaming effects.</w:t>
      </w:r>
    </w:p>
    <w:p>
      <w:pPr>
        <w:pStyle w:val="Heading2"/>
        <w:jc w:val="right"/>
        <w:bidi w:val="1"/>
      </w:pPr>
      <w:r>
        <w:t>30B. Official NDSP Brand &amp; Logo Direction</w:t>
      </w:r>
    </w:p>
    <w:p>
      <w:pPr>
        <w:jc w:val="right"/>
        <w:bidi w:val="1"/>
      </w:pPr>
      <w:r>
        <w:t>درجة تعقيد الشعار المعتمدة: 3/10. يجب أن يكون Minimal، Clean، Highly Recognizable، Premium، Institutional، Intelligent، Timeless، وقابلاً للتوسع من favicon حتى التقارير والعروض المؤسسية.</w:t>
      </w:r>
    </w:p>
    <w:p>
      <w:pPr>
        <w:jc w:val="right"/>
        <w:bidi w:val="1"/>
      </w:pPr>
      <w:r>
        <w:t>Brand Category: Governed Institutional Decision Intelligence Platform. لا يُصمم كشعار منصة تداول أو Crypto Exchange أو Broker أو Gaming Product أو Generic AI Startup.</w:t>
      </w:r>
    </w:p>
    <w:p>
      <w:pPr>
        <w:pStyle w:val="ListBullet"/>
        <w:jc w:val="right"/>
        <w:bidi w:val="1"/>
      </w:pPr>
      <w:r>
        <w:t>Page Canvas / Deep Charcoal: #080D10.</w:t>
      </w:r>
    </w:p>
    <w:p>
      <w:pPr>
        <w:pStyle w:val="ListBullet"/>
        <w:jc w:val="right"/>
        <w:bidi w:val="1"/>
      </w:pPr>
      <w:r>
        <w:t>Authority accent / Refined Gold: #D4AF37.</w:t>
      </w:r>
    </w:p>
    <w:p>
      <w:pPr>
        <w:pStyle w:val="ListBullet"/>
        <w:jc w:val="right"/>
        <w:bidi w:val="1"/>
      </w:pPr>
      <w:r>
        <w:t>Analytical secondary / Sky Blue: #29B6F6.</w:t>
      </w:r>
    </w:p>
    <w:p>
      <w:pPr>
        <w:pStyle w:val="ListBullet"/>
        <w:jc w:val="right"/>
        <w:bidi w:val="1"/>
      </w:pPr>
      <w:r>
        <w:t>Primary typography / Off-White: #F5F6F7.</w:t>
      </w:r>
    </w:p>
    <w:p>
      <w:pPr>
        <w:pStyle w:val="ListBullet"/>
        <w:jc w:val="right"/>
        <w:bidi w:val="1"/>
      </w:pPr>
      <w:r>
        <w:t>الشعار يعتمد على geometry، proportion، negative space، typography، precision أكثر من التعقيد أو الزخرفة.</w:t>
      </w:r>
    </w:p>
    <w:p>
      <w:pPr>
        <w:pStyle w:val="ListBullet"/>
        <w:jc w:val="right"/>
        <w:bidi w:val="1"/>
      </w:pPr>
      <w:r>
        <w:t>يُمنع استخدام candlesticks، buy/sell arrows، bulls/bears، crypto coins، dollar signs، generic brain/AI sparkle، casino gold، neon cyberpunk، أو complex 3D emblems.</w:t>
      </w:r>
    </w:p>
    <w:p>
      <w:pPr>
        <w:jc w:val="right"/>
        <w:bidi w:val="1"/>
      </w:pPr>
      <w:r>
        <w:t>Brand philosophy: Intelligence converges into an authorized decision. يمكن التعبير عن تقارب الأدلة والمسارات نحو قرار واحد بشكل تجريدي دون كشف أي خوارزمية أو بنية داخلية محمية.</w:t>
      </w:r>
    </w:p>
    <w:p>
      <w:pPr>
        <w:pStyle w:val="Heading1"/>
        <w:keepNext/>
        <w:spacing w:before="240" w:after="100"/>
        <w:jc w:val="left"/>
      </w:pPr>
      <w:r>
        <w:rPr>
          <w:rFonts w:ascii="Noto Kufi Arabic" w:hAnsi="Noto Kufi Arabic" w:cs="Noto Kufi Arabic"/>
          <w:b/>
          <w:color w:val="8E6D27"/>
          <w:sz w:val="36"/>
        </w:rPr>
        <w:t>31. System States</w:t>
      </w:r>
    </w:p>
    <w:p>
      <w:pPr>
        <w:bidi w:val="1"/>
        <w:spacing w:after="80" w:before="0" w:line="276" w:lineRule="auto"/>
        <w:jc w:val="right"/>
      </w:pPr>
      <w:r>
        <w:rPr>
          <w:rFonts w:ascii="Noto Sans Arabic" w:hAnsi="Noto Sans Arabic" w:cs="Noto Sans Arabic"/>
          <w:b w:val="0"/>
          <w:color w:val="22262D"/>
          <w:sz w:val="20"/>
        </w:rPr>
        <w:t>يجب توحيد:</w:t>
      </w:r>
    </w:p>
    <w:p>
      <w:pPr>
        <w:pStyle w:val="ListBullet"/>
        <w:spacing w:after="80" w:before="0" w:line="276" w:lineRule="auto"/>
        <w:jc w:val="left"/>
      </w:pPr>
      <w:r>
        <w:rPr>
          <w:rFonts w:ascii="Noto Sans Arabic" w:hAnsi="Noto Sans Arabic" w:cs="Noto Sans Arabic"/>
          <w:b w:val="0"/>
          <w:color w:val="22262D"/>
          <w:sz w:val="20"/>
        </w:rPr>
        <w:t>Fresh</w:t>
      </w:r>
    </w:p>
    <w:p>
      <w:pPr>
        <w:pStyle w:val="ListBullet"/>
        <w:spacing w:after="80" w:before="0" w:line="276" w:lineRule="auto"/>
        <w:jc w:val="left"/>
      </w:pPr>
      <w:r>
        <w:rPr>
          <w:rFonts w:ascii="Noto Sans Arabic" w:hAnsi="Noto Sans Arabic" w:cs="Noto Sans Arabic"/>
          <w:b w:val="0"/>
          <w:color w:val="22262D"/>
          <w:sz w:val="20"/>
        </w:rPr>
        <w:t>Stale</w:t>
      </w:r>
    </w:p>
    <w:p>
      <w:pPr>
        <w:pStyle w:val="ListBullet"/>
        <w:spacing w:after="80" w:before="0" w:line="276" w:lineRule="auto"/>
        <w:jc w:val="left"/>
      </w:pPr>
      <w:r>
        <w:rPr>
          <w:rFonts w:ascii="Noto Sans Arabic" w:hAnsi="Noto Sans Arabic" w:cs="Noto Sans Arabic"/>
          <w:b w:val="0"/>
          <w:color w:val="22262D"/>
          <w:sz w:val="20"/>
        </w:rPr>
        <w:t>Partial</w:t>
      </w:r>
    </w:p>
    <w:p>
      <w:pPr>
        <w:pStyle w:val="ListBullet"/>
        <w:spacing w:after="80" w:before="0" w:line="276" w:lineRule="auto"/>
        <w:jc w:val="left"/>
      </w:pPr>
      <w:r>
        <w:rPr>
          <w:rFonts w:ascii="Noto Sans Arabic" w:hAnsi="Noto Sans Arabic" w:cs="Noto Sans Arabic"/>
          <w:b w:val="0"/>
          <w:color w:val="22262D"/>
          <w:sz w:val="20"/>
        </w:rPr>
        <w:t>Loading</w:t>
      </w:r>
    </w:p>
    <w:p>
      <w:pPr>
        <w:pStyle w:val="ListBullet"/>
        <w:spacing w:after="80" w:before="0" w:line="276" w:lineRule="auto"/>
        <w:jc w:val="left"/>
      </w:pPr>
      <w:r>
        <w:rPr>
          <w:rFonts w:ascii="Noto Sans Arabic" w:hAnsi="Noto Sans Arabic" w:cs="Noto Sans Arabic"/>
          <w:b w:val="0"/>
          <w:color w:val="22262D"/>
          <w:sz w:val="20"/>
        </w:rPr>
        <w:t>Error</w:t>
      </w:r>
    </w:p>
    <w:p>
      <w:pPr>
        <w:pStyle w:val="ListBullet"/>
        <w:spacing w:after="80" w:before="0" w:line="276" w:lineRule="auto"/>
        <w:jc w:val="left"/>
      </w:pPr>
      <w:r>
        <w:rPr>
          <w:rFonts w:ascii="Noto Sans Arabic" w:hAnsi="Noto Sans Arabic" w:cs="Noto Sans Arabic"/>
          <w:b w:val="0"/>
          <w:color w:val="22262D"/>
          <w:sz w:val="20"/>
        </w:rPr>
        <w:t>Blocked</w:t>
      </w:r>
    </w:p>
    <w:p>
      <w:pPr>
        <w:pStyle w:val="ListBullet"/>
        <w:spacing w:after="80" w:before="0" w:line="276" w:lineRule="auto"/>
        <w:jc w:val="left"/>
      </w:pPr>
      <w:r>
        <w:rPr>
          <w:rFonts w:ascii="Noto Sans Arabic" w:hAnsi="Noto Sans Arabic" w:cs="Noto Sans Arabic"/>
          <w:b w:val="0"/>
          <w:color w:val="22262D"/>
          <w:sz w:val="20"/>
        </w:rPr>
        <w:t>Unauthorized</w:t>
      </w:r>
    </w:p>
    <w:p>
      <w:pPr>
        <w:pStyle w:val="ListBullet"/>
        <w:spacing w:after="80" w:before="0" w:line="276" w:lineRule="auto"/>
        <w:jc w:val="left"/>
      </w:pPr>
      <w:r>
        <w:rPr>
          <w:rFonts w:ascii="Noto Sans Arabic" w:hAnsi="Noto Sans Arabic" w:cs="Noto Sans Arabic"/>
          <w:b w:val="0"/>
          <w:color w:val="22262D"/>
          <w:sz w:val="20"/>
        </w:rPr>
        <w:t>Experimental</w:t>
      </w:r>
    </w:p>
    <w:p>
      <w:pPr>
        <w:pStyle w:val="ListBullet"/>
        <w:spacing w:after="80" w:before="0" w:line="276" w:lineRule="auto"/>
        <w:jc w:val="left"/>
      </w:pPr>
      <w:r>
        <w:rPr>
          <w:rFonts w:ascii="Noto Sans Arabic" w:hAnsi="Noto Sans Arabic" w:cs="Noto Sans Arabic"/>
          <w:b w:val="0"/>
          <w:color w:val="22262D"/>
          <w:sz w:val="20"/>
        </w:rPr>
        <w:t>Review</w:t>
      </w:r>
    </w:p>
    <w:p>
      <w:pPr>
        <w:pStyle w:val="ListBullet"/>
        <w:spacing w:after="80" w:before="0" w:line="276" w:lineRule="auto"/>
        <w:jc w:val="left"/>
      </w:pPr>
      <w:r>
        <w:rPr>
          <w:rFonts w:ascii="Noto Sans Arabic" w:hAnsi="Noto Sans Arabic" w:cs="Noto Sans Arabic"/>
          <w:b w:val="0"/>
          <w:color w:val="22262D"/>
          <w:sz w:val="20"/>
        </w:rPr>
        <w:t>Frozen</w:t>
      </w:r>
    </w:p>
    <w:p>
      <w:pPr>
        <w:pStyle w:val="ListBullet"/>
        <w:spacing w:after="80" w:before="0" w:line="276" w:lineRule="auto"/>
        <w:jc w:val="left"/>
      </w:pPr>
      <w:r>
        <w:rPr>
          <w:rFonts w:ascii="Noto Sans Arabic" w:hAnsi="Noto Sans Arabic" w:cs="Noto Sans Arabic"/>
          <w:b w:val="0"/>
          <w:color w:val="22262D"/>
          <w:sz w:val="20"/>
        </w:rPr>
        <w:t>Missing Inputs</w:t>
      </w:r>
    </w:p>
    <w:p>
      <w:pPr>
        <w:pStyle w:val="ListBullet"/>
        <w:spacing w:after="80" w:before="0" w:line="276" w:lineRule="auto"/>
        <w:jc w:val="left"/>
      </w:pPr>
      <w:r>
        <w:rPr>
          <w:rFonts w:ascii="Noto Sans Arabic" w:hAnsi="Noto Sans Arabic" w:cs="Noto Sans Arabic"/>
          <w:b w:val="0"/>
          <w:color w:val="22262D"/>
          <w:sz w:val="20"/>
        </w:rPr>
        <w:t>No Data</w:t>
      </w:r>
    </w:p>
    <w:p>
      <w:pPr>
        <w:bidi w:val="1"/>
        <w:spacing w:after="80" w:before="0" w:line="276" w:lineRule="auto"/>
        <w:jc w:val="right"/>
      </w:pPr>
      <w:r>
        <w:rPr>
          <w:rFonts w:ascii="Noto Sans Arabic" w:hAnsi="Noto Sans Arabic" w:cs="Noto Sans Arabic"/>
          <w:b w:val="0"/>
          <w:color w:val="22262D"/>
          <w:sz w:val="20"/>
        </w:rPr>
        <w:t>في كامل المنظومة.</w:t>
      </w:r>
    </w:p>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32. Typography</w:t>
      </w:r>
    </w:p>
    <w:p>
      <w:pPr>
        <w:bidi w:val="1"/>
        <w:spacing w:after="80" w:before="0" w:line="276" w:lineRule="auto"/>
        <w:jc w:val="right"/>
      </w:pPr>
      <w:r>
        <w:t>Font pairing الحاكم:</w:t>
      </w:r>
    </w:p>
    <w:p>
      <w:pPr>
        <w:spacing w:after="80" w:before="0" w:line="276" w:lineRule="auto"/>
        <w:jc w:val="right"/>
        <w:bidi w:val="1"/>
      </w:pPr>
      <w:r>
        <w:t>IBM Plex Sans Arabic (AR) + Inter (EN)</w:t>
      </w:r>
    </w:p>
    <w:p>
      <w:pPr>
        <w:bidi w:val="1"/>
        <w:spacing w:after="80" w:before="0" w:line="276" w:lineRule="auto"/>
        <w:jc w:val="right"/>
      </w:pPr>
      <w:r>
        <w:rPr>
          <w:rFonts w:ascii="Noto Sans Arabic" w:hAnsi="Noto Sans Arabic" w:cs="Noto Sans Arabic"/>
          <w:b w:val="0"/>
          <w:color w:val="22262D"/>
          <w:sz w:val="20"/>
        </w:rPr>
        <w:t>الهرمية:</w:t>
      </w:r>
    </w:p>
    <w:p>
      <w:pPr>
        <w:pStyle w:val="ListNumber"/>
        <w:spacing w:after="80" w:before="0" w:line="276" w:lineRule="auto"/>
        <w:jc w:val="left"/>
      </w:pPr>
      <w:r>
        <w:rPr>
          <w:rFonts w:ascii="Noto Sans Arabic" w:hAnsi="Noto Sans Arabic" w:cs="Noto Sans Arabic"/>
          <w:b w:val="0"/>
          <w:color w:val="22262D"/>
          <w:sz w:val="20"/>
        </w:rPr>
        <w:t>Display Titles</w:t>
      </w:r>
    </w:p>
    <w:p>
      <w:pPr>
        <w:pStyle w:val="ListNumber"/>
        <w:spacing w:after="80" w:before="0" w:line="276" w:lineRule="auto"/>
        <w:jc w:val="left"/>
      </w:pPr>
      <w:r>
        <w:rPr>
          <w:rFonts w:ascii="Noto Sans Arabic" w:hAnsi="Noto Sans Arabic" w:cs="Noto Sans Arabic"/>
          <w:b w:val="0"/>
          <w:color w:val="22262D"/>
          <w:sz w:val="20"/>
        </w:rPr>
        <w:t>Page Headings</w:t>
      </w:r>
    </w:p>
    <w:p>
      <w:pPr>
        <w:pStyle w:val="ListNumber"/>
        <w:spacing w:after="80" w:before="0" w:line="276" w:lineRule="auto"/>
        <w:jc w:val="left"/>
      </w:pPr>
      <w:r>
        <w:rPr>
          <w:rFonts w:ascii="Noto Sans Arabic" w:hAnsi="Noto Sans Arabic" w:cs="Noto Sans Arabic"/>
          <w:b w:val="0"/>
          <w:color w:val="22262D"/>
          <w:sz w:val="20"/>
        </w:rPr>
        <w:t>Section Headings</w:t>
      </w:r>
    </w:p>
    <w:p>
      <w:pPr>
        <w:pStyle w:val="ListNumber"/>
        <w:spacing w:after="80" w:before="0" w:line="276" w:lineRule="auto"/>
        <w:jc w:val="left"/>
      </w:pPr>
      <w:r>
        <w:rPr>
          <w:rFonts w:ascii="Noto Sans Arabic" w:hAnsi="Noto Sans Arabic" w:cs="Noto Sans Arabic"/>
          <w:b w:val="0"/>
          <w:color w:val="22262D"/>
          <w:sz w:val="20"/>
        </w:rPr>
        <w:t>Body</w:t>
      </w:r>
    </w:p>
    <w:p>
      <w:pPr>
        <w:pStyle w:val="ListNumber"/>
        <w:spacing w:after="80" w:before="0" w:line="276" w:lineRule="auto"/>
        <w:jc w:val="left"/>
      </w:pPr>
      <w:r>
        <w:rPr>
          <w:rFonts w:ascii="Noto Sans Arabic" w:hAnsi="Noto Sans Arabic" w:cs="Noto Sans Arabic"/>
          <w:b w:val="0"/>
          <w:color w:val="22262D"/>
          <w:sz w:val="20"/>
        </w:rPr>
        <w:t>Labels</w:t>
      </w:r>
    </w:p>
    <w:p>
      <w:pPr>
        <w:pStyle w:val="ListNumber"/>
        <w:spacing w:after="80" w:before="0" w:line="276" w:lineRule="auto"/>
        <w:jc w:val="left"/>
      </w:pPr>
      <w:r>
        <w:rPr>
          <w:rFonts w:ascii="Noto Sans Arabic" w:hAnsi="Noto Sans Arabic" w:cs="Noto Sans Arabic"/>
          <w:b w:val="0"/>
          <w:color w:val="22262D"/>
          <w:sz w:val="20"/>
        </w:rPr>
        <w:t>Numeric Emphasis</w:t>
      </w:r>
    </w:p>
    <w:p>
      <w:pPr>
        <w:pStyle w:val="ListNumber"/>
        <w:spacing w:after="80" w:before="0" w:line="276" w:lineRule="auto"/>
        <w:jc w:val="left"/>
      </w:pPr>
      <w:r>
        <w:rPr>
          <w:rFonts w:ascii="Noto Sans Arabic" w:hAnsi="Noto Sans Arabic" w:cs="Noto Sans Arabic"/>
          <w:b w:val="0"/>
          <w:color w:val="22262D"/>
          <w:sz w:val="20"/>
        </w:rPr>
        <w:t>Metadata</w:t>
      </w:r>
    </w:p>
    <w:p>
      <w:pPr>
        <w:bidi w:val="1"/>
        <w:spacing w:after="80" w:before="0" w:line="276" w:lineRule="auto"/>
        <w:jc w:val="right"/>
      </w:pPr>
      <w:r>
        <w:t>Monospace يستخدم فقط للـIDs وtimestamps وcode/contracts والـtechnical metadata، ولا يستخدم كنمط عام.</w:t>
      </w:r>
    </w:p>
    <w:p>
      <w:pPr>
        <w:pStyle w:val="ListBullet"/>
        <w:spacing w:after="80" w:before="0" w:line="276" w:lineRule="auto"/>
        <w:jc w:val="left"/>
      </w:pPr>
      <w:r>
        <w:rPr>
          <w:rFonts w:ascii="Noto Sans Arabic" w:hAnsi="Noto Sans Arabic" w:cs="Noto Sans Arabic"/>
          <w:b w:val="0"/>
          <w:color w:val="22262D"/>
          <w:sz w:val="20"/>
        </w:rPr>
        <w:t>IDs</w:t>
      </w:r>
    </w:p>
    <w:p>
      <w:pPr>
        <w:pStyle w:val="ListBullet"/>
        <w:spacing w:after="80" w:before="0" w:line="276" w:lineRule="auto"/>
        <w:jc w:val="left"/>
      </w:pPr>
      <w:r>
        <w:rPr>
          <w:rFonts w:ascii="Noto Sans Arabic" w:hAnsi="Noto Sans Arabic" w:cs="Noto Sans Arabic"/>
          <w:b w:val="0"/>
          <w:color w:val="22262D"/>
          <w:sz w:val="20"/>
        </w:rPr>
        <w:t>timestamps</w:t>
      </w:r>
    </w:p>
    <w:p>
      <w:pPr>
        <w:pStyle w:val="ListBullet"/>
        <w:spacing w:after="80" w:before="0" w:line="276" w:lineRule="auto"/>
        <w:jc w:val="left"/>
      </w:pPr>
      <w:r>
        <w:rPr>
          <w:rFonts w:ascii="Noto Sans Arabic" w:hAnsi="Noto Sans Arabic" w:cs="Noto Sans Arabic"/>
          <w:b w:val="0"/>
          <w:color w:val="22262D"/>
          <w:sz w:val="20"/>
        </w:rPr>
        <w:t>code</w:t>
      </w:r>
    </w:p>
    <w:p>
      <w:pPr>
        <w:pStyle w:val="ListBullet"/>
        <w:spacing w:after="80" w:before="0" w:line="276" w:lineRule="auto"/>
        <w:jc w:val="left"/>
      </w:pPr>
      <w:r>
        <w:rPr>
          <w:rFonts w:ascii="Noto Sans Arabic" w:hAnsi="Noto Sans Arabic" w:cs="Noto Sans Arabic"/>
          <w:b w:val="0"/>
          <w:color w:val="22262D"/>
          <w:sz w:val="20"/>
        </w:rPr>
        <w:t>contracts</w:t>
      </w:r>
    </w:p>
    <w:p>
      <w:pPr>
        <w:pStyle w:val="ListBullet"/>
        <w:spacing w:after="80" w:before="0" w:line="276" w:lineRule="auto"/>
        <w:jc w:val="left"/>
      </w:pPr>
      <w:r>
        <w:rPr>
          <w:rFonts w:ascii="Noto Sans Arabic" w:hAnsi="Noto Sans Arabic" w:cs="Noto Sans Arabic"/>
          <w:b w:val="0"/>
          <w:color w:val="22262D"/>
          <w:sz w:val="20"/>
        </w:rPr>
        <w:t>technical metadata</w:t>
      </w:r>
    </w:p>
    <w:p>
      <w:pPr>
        <w:bidi w:val="1"/>
        <w:spacing w:after="80" w:before="0" w:line="276" w:lineRule="auto"/>
        <w:jc w:val="right"/>
      </w:pPr>
      <w:r>
        <w:rPr>
          <w:rFonts w:ascii="Noto Sans Arabic" w:hAnsi="Noto Sans Arabic" w:cs="Noto Sans Arabic"/>
          <w:b w:val="0"/>
          <w:color w:val="22262D"/>
          <w:sz w:val="20"/>
        </w:rPr>
        <w:t>ولا يستخدم كنمط عام.</w:t>
      </w:r>
    </w:p>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33. Grid</w:t>
      </w:r>
    </w:p>
    <w:p>
      <w:pPr>
        <w:spacing w:after="80" w:before="0" w:line="276" w:lineRule="auto"/>
        <w:jc w:val="left"/>
      </w:pPr>
      <w:r>
        <w:rPr>
          <w:rFonts w:ascii="Noto Sans Arabic" w:hAnsi="Noto Sans Arabic" w:cs="Noto Sans Arabic"/>
          <w:b w:val="0"/>
          <w:color w:val="22262D"/>
          <w:sz w:val="20"/>
        </w:rPr>
        <w:t>Admin Desktop:</w:t>
      </w:r>
    </w:p>
    <w:p>
      <w:pPr>
        <w:spacing w:after="80" w:before="0" w:line="276" w:lineRule="auto"/>
        <w:jc w:val="left"/>
      </w:pPr>
      <w:r>
        <w:rPr>
          <w:rFonts w:ascii="Noto Sans Arabic" w:hAnsi="Noto Sans Arabic" w:cs="Noto Sans Arabic"/>
          <w:b/>
          <w:color w:val="22262D"/>
          <w:sz w:val="20"/>
        </w:rPr>
        <w:t>12-column analytical grid</w:t>
      </w:r>
    </w:p>
    <w:p>
      <w:pPr>
        <w:spacing w:after="80" w:before="0" w:line="276" w:lineRule="auto"/>
        <w:jc w:val="left"/>
      </w:pPr>
      <w:r>
        <w:rPr>
          <w:rFonts w:ascii="Noto Sans Arabic" w:hAnsi="Noto Sans Arabic" w:cs="Noto Sans Arabic"/>
          <w:b w:val="0"/>
          <w:color w:val="22262D"/>
          <w:sz w:val="20"/>
        </w:rPr>
        <w:t>Tablet:</w:t>
      </w:r>
    </w:p>
    <w:p>
      <w:pPr>
        <w:spacing w:after="80" w:before="0" w:line="276" w:lineRule="auto"/>
        <w:jc w:val="left"/>
      </w:pPr>
      <w:r>
        <w:rPr>
          <w:rFonts w:ascii="Noto Sans Arabic" w:hAnsi="Noto Sans Arabic" w:cs="Noto Sans Arabic"/>
          <w:b/>
          <w:color w:val="22262D"/>
          <w:sz w:val="20"/>
        </w:rPr>
        <w:t>8 columns</w:t>
      </w:r>
    </w:p>
    <w:p>
      <w:pPr>
        <w:spacing w:after="80" w:before="0" w:line="276" w:lineRule="auto"/>
        <w:jc w:val="left"/>
      </w:pPr>
      <w:r>
        <w:rPr>
          <w:rFonts w:ascii="Noto Sans Arabic" w:hAnsi="Noto Sans Arabic" w:cs="Noto Sans Arabic"/>
          <w:b w:val="0"/>
          <w:color w:val="22262D"/>
          <w:sz w:val="20"/>
        </w:rPr>
        <w:t>Mobile:</w:t>
      </w:r>
    </w:p>
    <w:p>
      <w:pPr>
        <w:spacing w:after="80" w:before="0" w:line="276" w:lineRule="auto"/>
        <w:jc w:val="left"/>
      </w:pPr>
      <w:r>
        <w:rPr>
          <w:rFonts w:ascii="Noto Sans Arabic" w:hAnsi="Noto Sans Arabic" w:cs="Noto Sans Arabic"/>
          <w:b/>
          <w:color w:val="22262D"/>
          <w:sz w:val="20"/>
        </w:rPr>
        <w:t>4 columns</w:t>
      </w:r>
    </w:p>
    <w:p>
      <w:pPr>
        <w:bidi w:val="1"/>
        <w:spacing w:after="80" w:before="0" w:line="276" w:lineRule="auto"/>
        <w:jc w:val="right"/>
      </w:pPr>
      <w:r>
        <w:t>Spacing system:</w:t>
      </w:r>
    </w:p>
    <w:p>
      <w:pPr>
        <w:spacing w:after="80" w:before="0" w:line="276" w:lineRule="auto"/>
        <w:jc w:val="right"/>
        <w:bidi w:val="1"/>
      </w:pPr>
      <w:r>
        <w:t>4 / 8 / 12 / 16 / 24 / 32 / 48 / 64 px</w:t>
      </w:r>
    </w:p>
    <w:p>
      <w:pPr>
        <w:bidi w:val="1"/>
        <w:spacing w:after="80" w:before="0" w:line="276" w:lineRule="auto"/>
        <w:jc w:val="right"/>
      </w:pPr>
      <w:r>
        <w:t>Radius: 4 / 8 / 12 px. Border: 1px #262C36. Public يحافظ على generous spacing مع نفس النظام.</w:t>
      </w:r>
    </w:p>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34. Layout Principle</w:t>
      </w:r>
    </w:p>
    <w:p>
      <w:pPr>
        <w:bidi w:val="1"/>
        <w:spacing w:after="80" w:before="0" w:line="276" w:lineRule="auto"/>
        <w:jc w:val="right"/>
      </w:pPr>
      <w:r>
        <w:rPr>
          <w:rFonts w:ascii="Noto Sans Arabic" w:hAnsi="Noto Sans Arabic" w:cs="Noto Sans Arabic"/>
          <w:b w:val="0"/>
          <w:color w:val="22262D"/>
          <w:sz w:val="20"/>
        </w:rPr>
        <w:t>لا تبنى الصفحة كشبكة من عشرات البطاقات.</w:t>
      </w:r>
    </w:p>
    <w:p>
      <w:pPr>
        <w:bidi w:val="1"/>
        <w:spacing w:after="80" w:before="0" w:line="276" w:lineRule="auto"/>
        <w:jc w:val="right"/>
      </w:pPr>
      <w:r>
        <w:rPr>
          <w:rFonts w:ascii="Noto Sans Arabic" w:hAnsi="Noto Sans Arabic" w:cs="Noto Sans Arabic"/>
          <w:b w:val="0"/>
          <w:color w:val="22262D"/>
          <w:sz w:val="20"/>
        </w:rPr>
        <w:t>الترتيب الأفضل:</w:t>
      </w:r>
    </w:p>
    <w:tbl>
      <w:tblPr>
        <w:tblW w:type="auto" w:w="0"/>
        <w:jc w:val="center"/>
        <w:tblLayout w:type="fixed"/>
        <w:tblLook w:firstColumn="1" w:firstRow="1" w:lastColumn="0" w:lastRow="0" w:noHBand="0" w:noVBand="1" w:val="04A0"/>
      </w:tblPr>
      <w:tblGrid>
        <w:gridCol w:w="9866"/>
      </w:tblGrid>
      <w:tr>
        <w:tc>
          <w:tcPr>
            <w:tcW w:type="dxa" w:w="9866"/>
            <w:shd w:fill="F1F3F5"/>
            <w:tcMar>
              <w:top w:w="90" w:type="dxa"/>
              <w:start w:w="100" w:type="dxa"/>
              <w:bottom w:w="90" w:type="dxa"/>
              <w:end w:w="100" w:type="dxa"/>
            </w:tcMar>
          </w:tcPr>
          <w:p>
            <w:pPr>
              <w:spacing w:after="0" w:line="228" w:lineRule="auto"/>
              <w:jc w:val="left"/>
            </w:pPr>
            <w:r>
              <w:rPr>
                <w:rFonts w:ascii="DejaVu Sans Mono" w:hAnsi="DejaVu Sans Mono" w:cs="DejaVu Sans Mono"/>
                <w:b w:val="0"/>
                <w:color w:val="30343B"/>
                <w:sz w:val="12"/>
              </w:rPr>
              <w:t>PRIMARY INSIGHT</w:t>
              <w:br/>
              <w:t xml:space="preserve">      ↓</w:t>
              <w:br/>
              <w:t>SUPPORTING INTELLIGENCE</w:t>
              <w:br/>
              <w:t xml:space="preserve">      ↓</w:t>
              <w:br/>
              <w:t>EVIDENCE</w:t>
              <w:br/>
              <w:t xml:space="preserve">      ↓</w:t>
              <w:br/>
              <w:t>OPERATIONAL CONTEXT</w:t>
            </w:r>
          </w:p>
        </w:tc>
      </w:tr>
    </w:tbl>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35. Signature Components</w:t>
      </w:r>
    </w:p>
    <w:p>
      <w:pPr>
        <w:bidi w:val="1"/>
        <w:spacing w:after="80" w:before="0" w:line="276" w:lineRule="auto"/>
        <w:jc w:val="right"/>
      </w:pPr>
      <w:r>
        <w:rPr>
          <w:rFonts w:ascii="Noto Sans Arabic" w:hAnsi="Noto Sans Arabic" w:cs="Noto Sans Arabic"/>
          <w:b w:val="0"/>
          <w:color w:val="22262D"/>
          <w:sz w:val="20"/>
        </w:rPr>
        <w:t>يجب تطوير Design System حول مكونات NDSP المميزة:</w:t>
      </w:r>
    </w:p>
    <w:p>
      <w:pPr>
        <w:pStyle w:val="ListBullet"/>
        <w:spacing w:after="80" w:before="0" w:line="276" w:lineRule="auto"/>
        <w:jc w:val="left"/>
      </w:pPr>
      <w:r>
        <w:rPr>
          <w:rFonts w:ascii="Noto Sans Arabic" w:hAnsi="Noto Sans Arabic" w:cs="Noto Sans Arabic"/>
          <w:b w:val="0"/>
          <w:color w:val="22262D"/>
          <w:sz w:val="20"/>
        </w:rPr>
        <w:t>CORE Direction Card</w:t>
      </w:r>
    </w:p>
    <w:p>
      <w:pPr>
        <w:pStyle w:val="ListBullet"/>
        <w:spacing w:after="80" w:before="0" w:line="276" w:lineRule="auto"/>
        <w:jc w:val="left"/>
      </w:pPr>
      <w:r>
        <w:rPr>
          <w:rFonts w:ascii="Noto Sans Arabic" w:hAnsi="Noto Sans Arabic" w:cs="Noto Sans Arabic"/>
          <w:b w:val="0"/>
          <w:color w:val="22262D"/>
          <w:sz w:val="20"/>
        </w:rPr>
        <w:t>Governance Badge</w:t>
      </w:r>
    </w:p>
    <w:p>
      <w:pPr>
        <w:pStyle w:val="ListBullet"/>
        <w:spacing w:after="80" w:before="0" w:line="276" w:lineRule="auto"/>
        <w:jc w:val="left"/>
      </w:pPr>
      <w:r>
        <w:rPr>
          <w:rFonts w:ascii="Noto Sans Arabic" w:hAnsi="Noto Sans Arabic" w:cs="Noto Sans Arabic"/>
          <w:b w:val="0"/>
          <w:color w:val="22262D"/>
          <w:sz w:val="20"/>
        </w:rPr>
        <w:t>Freshness Indicator</w:t>
      </w:r>
    </w:p>
    <w:p>
      <w:pPr>
        <w:pStyle w:val="ListBullet"/>
        <w:spacing w:after="80" w:before="0" w:line="276" w:lineRule="auto"/>
        <w:jc w:val="left"/>
      </w:pPr>
      <w:r>
        <w:rPr>
          <w:rFonts w:ascii="Noto Sans Arabic" w:hAnsi="Noto Sans Arabic" w:cs="Noto Sans Arabic"/>
          <w:b w:val="0"/>
          <w:color w:val="22262D"/>
          <w:sz w:val="20"/>
        </w:rPr>
        <w:t>Evidence Strength</w:t>
      </w:r>
    </w:p>
    <w:p>
      <w:pPr>
        <w:pStyle w:val="ListBullet"/>
        <w:spacing w:after="80" w:before="0" w:line="276" w:lineRule="auto"/>
        <w:jc w:val="left"/>
      </w:pPr>
      <w:r>
        <w:rPr>
          <w:rFonts w:ascii="Noto Sans Arabic" w:hAnsi="Noto Sans Arabic" w:cs="Noto Sans Arabic"/>
          <w:b w:val="0"/>
          <w:color w:val="22262D"/>
          <w:sz w:val="20"/>
        </w:rPr>
        <w:t>Domain Header</w:t>
      </w:r>
    </w:p>
    <w:p>
      <w:pPr>
        <w:pStyle w:val="ListBullet"/>
        <w:spacing w:after="80" w:before="0" w:line="276" w:lineRule="auto"/>
        <w:jc w:val="left"/>
      </w:pPr>
      <w:r>
        <w:rPr>
          <w:rFonts w:ascii="Noto Sans Arabic" w:hAnsi="Noto Sans Arabic" w:cs="Noto Sans Arabic"/>
          <w:b w:val="0"/>
          <w:color w:val="22262D"/>
          <w:sz w:val="20"/>
        </w:rPr>
        <w:t>Decision Layer Rail</w:t>
      </w:r>
    </w:p>
    <w:p>
      <w:pPr>
        <w:pStyle w:val="ListBullet"/>
        <w:spacing w:after="80" w:before="0" w:line="276" w:lineRule="auto"/>
        <w:jc w:val="left"/>
      </w:pPr>
      <w:r>
        <w:rPr>
          <w:rFonts w:ascii="Noto Sans Arabic" w:hAnsi="Noto Sans Arabic" w:cs="Noto Sans Arabic"/>
          <w:b w:val="0"/>
          <w:color w:val="22262D"/>
          <w:sz w:val="20"/>
        </w:rPr>
        <w:t>Capability Matrix</w:t>
      </w:r>
    </w:p>
    <w:p>
      <w:pPr>
        <w:pStyle w:val="ListBullet"/>
        <w:spacing w:after="80" w:before="0" w:line="276" w:lineRule="auto"/>
        <w:jc w:val="left"/>
      </w:pPr>
      <w:r>
        <w:rPr>
          <w:rFonts w:ascii="Noto Sans Arabic" w:hAnsi="Noto Sans Arabic" w:cs="Noto Sans Arabic"/>
          <w:b w:val="0"/>
          <w:color w:val="22262D"/>
          <w:sz w:val="20"/>
        </w:rPr>
        <w:t>Scenario Comparison</w:t>
      </w:r>
    </w:p>
    <w:p>
      <w:pPr>
        <w:pStyle w:val="ListBullet"/>
        <w:spacing w:after="80" w:before="0" w:line="276" w:lineRule="auto"/>
        <w:jc w:val="left"/>
      </w:pPr>
      <w:r>
        <w:rPr>
          <w:rFonts w:ascii="Noto Sans Arabic" w:hAnsi="Noto Sans Arabic" w:cs="Noto Sans Arabic"/>
          <w:b w:val="0"/>
          <w:color w:val="22262D"/>
          <w:sz w:val="20"/>
        </w:rPr>
        <w:t>Data Lineage Trace</w:t>
      </w:r>
    </w:p>
    <w:p>
      <w:pPr>
        <w:pStyle w:val="ListBullet"/>
        <w:spacing w:after="80" w:before="0" w:line="276" w:lineRule="auto"/>
        <w:jc w:val="left"/>
      </w:pPr>
      <w:r>
        <w:rPr>
          <w:rFonts w:ascii="Noto Sans Arabic" w:hAnsi="Noto Sans Arabic" w:cs="Noto Sans Arabic"/>
          <w:b w:val="0"/>
          <w:color w:val="22262D"/>
          <w:sz w:val="20"/>
        </w:rPr>
        <w:t>Alert Rail</w:t>
      </w:r>
    </w:p>
    <w:p>
      <w:pPr>
        <w:pStyle w:val="ListBullet"/>
        <w:spacing w:after="80" w:before="0" w:line="276" w:lineRule="auto"/>
        <w:jc w:val="left"/>
      </w:pPr>
      <w:r>
        <w:rPr>
          <w:rFonts w:ascii="Noto Sans Arabic" w:hAnsi="Noto Sans Arabic" w:cs="Noto Sans Arabic"/>
          <w:b w:val="0"/>
          <w:color w:val="22262D"/>
          <w:sz w:val="20"/>
        </w:rPr>
        <w:t>Explainability Drawer</w:t>
      </w:r>
    </w:p>
    <w:p>
      <w:pPr>
        <w:pStyle w:val="ListBullet"/>
        <w:spacing w:after="80" w:before="0" w:line="276" w:lineRule="auto"/>
        <w:jc w:val="left"/>
      </w:pPr>
      <w:r>
        <w:rPr>
          <w:rFonts w:ascii="Noto Sans Arabic" w:hAnsi="Noto Sans Arabic" w:cs="Noto Sans Arabic"/>
          <w:b w:val="0"/>
          <w:color w:val="22262D"/>
          <w:sz w:val="20"/>
        </w:rPr>
        <w:t>KPI Tile</w:t>
      </w:r>
    </w:p>
    <w:p>
      <w:pPr>
        <w:pStyle w:val="ListBullet"/>
        <w:spacing w:after="80" w:before="0" w:line="276" w:lineRule="auto"/>
        <w:jc w:val="left"/>
      </w:pPr>
      <w:r>
        <w:rPr>
          <w:rFonts w:ascii="Noto Sans Arabic" w:hAnsi="Noto Sans Arabic" w:cs="Noto Sans Arabic"/>
          <w:b w:val="0"/>
          <w:color w:val="22262D"/>
          <w:sz w:val="20"/>
        </w:rPr>
        <w:t>Status Pill</w:t>
      </w:r>
    </w:p>
    <w:p>
      <w:pPr>
        <w:pStyle w:val="ListBullet"/>
        <w:spacing w:after="80" w:before="0" w:line="276" w:lineRule="auto"/>
        <w:jc w:val="left"/>
      </w:pPr>
      <w:r>
        <w:rPr>
          <w:rFonts w:ascii="Noto Sans Arabic" w:hAnsi="Noto Sans Arabic" w:cs="Noto Sans Arabic"/>
          <w:b w:val="0"/>
          <w:color w:val="22262D"/>
          <w:sz w:val="20"/>
        </w:rPr>
        <w:t>Evidence Panel</w:t>
      </w:r>
    </w:p>
    <w:p>
      <w:pPr>
        <w:pStyle w:val="ListBullet"/>
        <w:spacing w:after="80" w:before="0" w:line="276" w:lineRule="auto"/>
        <w:jc w:val="left"/>
      </w:pPr>
      <w:r>
        <w:rPr>
          <w:rFonts w:ascii="Noto Sans Arabic" w:hAnsi="Noto Sans Arabic" w:cs="Noto Sans Arabic"/>
          <w:b w:val="0"/>
          <w:color w:val="22262D"/>
          <w:sz w:val="20"/>
        </w:rPr>
        <w:t>Analytical Card</w:t>
      </w:r>
    </w:p>
    <w:p>
      <w:pPr>
        <w:pStyle w:val="ListBullet"/>
        <w:spacing w:after="80" w:before="0" w:line="276" w:lineRule="auto"/>
        <w:jc w:val="left"/>
      </w:pPr>
      <w:r>
        <w:rPr>
          <w:rFonts w:ascii="Noto Sans Arabic" w:hAnsi="Noto Sans Arabic" w:cs="Noto Sans Arabic"/>
          <w:b w:val="0"/>
          <w:color w:val="22262D"/>
          <w:sz w:val="20"/>
        </w:rPr>
        <w:t>Timeline</w:t>
      </w:r>
    </w:p>
    <w:p>
      <w:pPr>
        <w:pStyle w:val="ListBullet"/>
        <w:spacing w:after="80" w:before="0" w:line="276" w:lineRule="auto"/>
        <w:jc w:val="left"/>
      </w:pPr>
      <w:r>
        <w:rPr>
          <w:rFonts w:ascii="Noto Sans Arabic" w:hAnsi="Noto Sans Arabic" w:cs="Noto Sans Arabic"/>
          <w:b w:val="0"/>
          <w:color w:val="22262D"/>
          <w:sz w:val="20"/>
        </w:rPr>
        <w:t>Filter Bar</w:t>
      </w:r>
    </w:p>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36. CORE Visual Dominance</w:t>
      </w:r>
    </w:p>
    <w:p>
      <w:pPr>
        <w:bidi w:val="1"/>
        <w:spacing w:after="80" w:before="0" w:line="276" w:lineRule="auto"/>
        <w:jc w:val="right"/>
      </w:pPr>
      <w:r>
        <w:rPr>
          <w:rFonts w:ascii="Noto Sans Arabic" w:hAnsi="Noto Sans Arabic" w:cs="Noto Sans Arabic"/>
          <w:b w:val="0"/>
          <w:color w:val="22262D"/>
          <w:sz w:val="20"/>
        </w:rPr>
        <w:t>CORE يجب أن يكون أعلى عنصر بصري من حيث hierarchy في المواضع التي يكون فيها القرار الرسمي هو السياق الرئيسي.</w:t>
      </w:r>
    </w:p>
    <w:p>
      <w:pPr>
        <w:bidi w:val="1"/>
        <w:spacing w:after="80" w:before="0" w:line="276" w:lineRule="auto"/>
        <w:jc w:val="right"/>
      </w:pPr>
      <w:r>
        <w:rPr>
          <w:rFonts w:ascii="Noto Sans Arabic" w:hAnsi="Noto Sans Arabic" w:cs="Noto Sans Arabic"/>
          <w:b w:val="0"/>
          <w:color w:val="22262D"/>
          <w:sz w:val="20"/>
        </w:rPr>
        <w:t>لا يعني ذلك استخدام حجم مبالغ فيه.</w:t>
      </w:r>
    </w:p>
    <w:p>
      <w:pPr>
        <w:bidi w:val="1"/>
        <w:spacing w:after="80" w:before="0" w:line="276" w:lineRule="auto"/>
        <w:jc w:val="right"/>
      </w:pPr>
      <w:r>
        <w:rPr>
          <w:rFonts w:ascii="Noto Sans Arabic" w:hAnsi="Noto Sans Arabic" w:cs="Noto Sans Arabic"/>
          <w:b w:val="0"/>
          <w:color w:val="22262D"/>
          <w:sz w:val="20"/>
        </w:rPr>
        <w:t>بل:</w:t>
      </w:r>
    </w:p>
    <w:p>
      <w:pPr>
        <w:pStyle w:val="ListBullet"/>
        <w:spacing w:after="80" w:before="0" w:line="276" w:lineRule="auto"/>
        <w:jc w:val="left"/>
      </w:pPr>
      <w:r>
        <w:rPr>
          <w:rFonts w:ascii="Noto Sans Arabic" w:hAnsi="Noto Sans Arabic" w:cs="Noto Sans Arabic"/>
          <w:b w:val="0"/>
          <w:color w:val="22262D"/>
          <w:sz w:val="20"/>
        </w:rPr>
        <w:t>Position</w:t>
      </w:r>
    </w:p>
    <w:p>
      <w:pPr>
        <w:pStyle w:val="ListBullet"/>
        <w:spacing w:after="80" w:before="0" w:line="276" w:lineRule="auto"/>
        <w:jc w:val="left"/>
      </w:pPr>
      <w:r>
        <w:rPr>
          <w:rFonts w:ascii="Noto Sans Arabic" w:hAnsi="Noto Sans Arabic" w:cs="Noto Sans Arabic"/>
          <w:b w:val="0"/>
          <w:color w:val="22262D"/>
          <w:sz w:val="20"/>
        </w:rPr>
        <w:t>Typography</w:t>
      </w:r>
    </w:p>
    <w:p>
      <w:pPr>
        <w:pStyle w:val="ListBullet"/>
        <w:spacing w:after="80" w:before="0" w:line="276" w:lineRule="auto"/>
        <w:jc w:val="left"/>
      </w:pPr>
      <w:r>
        <w:rPr>
          <w:rFonts w:ascii="Noto Sans Arabic" w:hAnsi="Noto Sans Arabic" w:cs="Noto Sans Arabic"/>
          <w:b w:val="0"/>
          <w:color w:val="22262D"/>
          <w:sz w:val="20"/>
        </w:rPr>
        <w:t>Contrast</w:t>
      </w:r>
    </w:p>
    <w:p>
      <w:pPr>
        <w:pStyle w:val="ListBullet"/>
        <w:spacing w:after="80" w:before="0" w:line="276" w:lineRule="auto"/>
        <w:jc w:val="left"/>
      </w:pPr>
      <w:r>
        <w:rPr>
          <w:rFonts w:ascii="Noto Sans Arabic" w:hAnsi="Noto Sans Arabic" w:cs="Noto Sans Arabic"/>
          <w:b w:val="0"/>
          <w:color w:val="22262D"/>
          <w:sz w:val="20"/>
        </w:rPr>
        <w:t>Whitespace</w:t>
      </w:r>
    </w:p>
    <w:p>
      <w:pPr>
        <w:pStyle w:val="ListBullet"/>
        <w:spacing w:after="80" w:before="0" w:line="276" w:lineRule="auto"/>
        <w:jc w:val="left"/>
      </w:pPr>
      <w:r>
        <w:rPr>
          <w:rFonts w:ascii="Noto Sans Arabic" w:hAnsi="Noto Sans Arabic" w:cs="Noto Sans Arabic"/>
          <w:b w:val="0"/>
          <w:color w:val="22262D"/>
          <w:sz w:val="20"/>
        </w:rPr>
        <w:t>Context</w:t>
      </w:r>
    </w:p>
    <w:p>
      <w:pPr>
        <w:pStyle w:val="ListBullet"/>
        <w:spacing w:after="80" w:before="0" w:line="276" w:lineRule="auto"/>
        <w:jc w:val="left"/>
      </w:pPr>
      <w:r>
        <w:rPr>
          <w:rFonts w:ascii="Noto Sans Arabic" w:hAnsi="Noto Sans Arabic" w:cs="Noto Sans Arabic"/>
          <w:b w:val="0"/>
          <w:color w:val="22262D"/>
          <w:sz w:val="20"/>
        </w:rPr>
        <w:t>Governance relationship</w:t>
      </w:r>
    </w:p>
    <w:p>
      <w:pPr>
        <w:bidi w:val="1"/>
        <w:spacing w:after="80" w:before="0" w:line="276" w:lineRule="auto"/>
        <w:jc w:val="right"/>
      </w:pPr>
      <w:r>
        <w:rPr>
          <w:rFonts w:ascii="Noto Sans Arabic" w:hAnsi="Noto Sans Arabic" w:cs="Noto Sans Arabic"/>
          <w:b w:val="0"/>
          <w:color w:val="22262D"/>
          <w:sz w:val="20"/>
        </w:rPr>
        <w:t>هي التي تعطيه السلطة البصرية.</w:t>
      </w:r>
    </w:p>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37. Motion</w:t>
      </w:r>
    </w:p>
    <w:p>
      <w:pPr>
        <w:bidi w:val="1"/>
        <w:spacing w:after="80" w:before="0" w:line="276" w:lineRule="auto"/>
        <w:jc w:val="right"/>
      </w:pPr>
      <w:r>
        <w:t>الحركة محكومة مباشرة بالـSovereign Obsidian Theme Board.</w:t>
      </w:r>
    </w:p>
    <w:p>
      <w:pPr>
        <w:bidi w:val="1"/>
        <w:spacing w:after="80" w:before="0" w:line="276" w:lineRule="auto"/>
        <w:jc w:val="right"/>
      </w:pPr>
      <w:r>
        <w:t>المسموح:</w:t>
      </w:r>
    </w:p>
    <w:p>
      <w:pPr>
        <w:pStyle w:val="ListBullet"/>
        <w:spacing w:after="80" w:before="0" w:line="276" w:lineRule="auto"/>
        <w:jc w:val="right"/>
        <w:bidi w:val="1"/>
      </w:pPr>
      <w:r>
        <w:t>Gentle Fade</w:t>
      </w:r>
    </w:p>
    <w:p>
      <w:pPr>
        <w:pStyle w:val="ListBullet"/>
        <w:spacing w:after="80" w:before="0" w:line="276" w:lineRule="auto"/>
        <w:jc w:val="right"/>
        <w:bidi w:val="1"/>
      </w:pPr>
      <w:r>
        <w:t>Small Translate</w:t>
      </w:r>
    </w:p>
    <w:p>
      <w:pPr>
        <w:pStyle w:val="ListBullet"/>
        <w:spacing w:after="80" w:before="0" w:line="276" w:lineRule="auto"/>
        <w:jc w:val="right"/>
        <w:bidi w:val="1"/>
      </w:pPr>
      <w:r>
        <w:t>Single Update Pulse</w:t>
      </w:r>
    </w:p>
    <w:p>
      <w:pPr>
        <w:pStyle w:val="ListBullet"/>
        <w:spacing w:after="80" w:before="0" w:line="276" w:lineRule="auto"/>
        <w:jc w:val="right"/>
        <w:bidi w:val="1"/>
      </w:pPr>
      <w:r>
        <w:t>One-time Evidence Line Reveal في Public Hero</w:t>
      </w:r>
    </w:p>
    <w:p>
      <w:pPr>
        <w:pStyle w:val="ListBullet"/>
        <w:spacing w:after="80" w:before="0" w:line="276" w:lineRule="auto"/>
        <w:jc w:val="right"/>
        <w:bidi w:val="1"/>
      </w:pPr>
      <w:r>
        <w:t>Localized CORE / convergence highlight</w:t>
      </w:r>
    </w:p>
    <w:p>
      <w:pPr>
        <w:pStyle w:val="ListBullet"/>
        <w:spacing w:after="80" w:before="0" w:line="276" w:lineRule="auto"/>
        <w:jc w:val="right"/>
        <w:bidi w:val="1"/>
      </w:pPr>
      <w:r>
        <w:t>Standard panel/drawer transitions بدون استعراض</w:t>
      </w:r>
    </w:p>
    <w:p>
      <w:pPr>
        <w:pStyle w:val="ListBullet"/>
        <w:spacing w:after="80" w:before="0" w:line="276" w:lineRule="auto"/>
        <w:jc w:val="right"/>
        <w:bidi w:val="1"/>
      </w:pPr>
      <w:r>
        <w:t>Reduced Motion variant إلزامي</w:t>
      </w:r>
    </w:p>
    <w:p>
      <w:pPr>
        <w:bidi w:val="1"/>
        <w:spacing w:after="80" w:before="0" w:line="276" w:lineRule="auto"/>
        <w:jc w:val="right"/>
      </w:pPr>
      <w:r>
        <w:t>غير مسموح:</w:t>
      </w:r>
    </w:p>
    <w:p>
      <w:pPr>
        <w:pStyle w:val="ListBullet"/>
        <w:spacing w:after="80" w:before="0" w:line="276" w:lineRule="auto"/>
        <w:jc w:val="right"/>
        <w:bidi w:val="1"/>
      </w:pPr>
      <w:r>
        <w:t>Continuous full-screen glow</w:t>
      </w:r>
    </w:p>
    <w:p>
      <w:pPr>
        <w:pStyle w:val="ListBullet"/>
        <w:spacing w:after="80" w:before="0" w:line="276" w:lineRule="auto"/>
        <w:jc w:val="right"/>
        <w:bidi w:val="1"/>
      </w:pPr>
      <w:r>
        <w:t>Decorative particle fields</w:t>
      </w:r>
    </w:p>
    <w:p>
      <w:pPr>
        <w:pStyle w:val="ListBullet"/>
        <w:spacing w:after="80" w:before="0" w:line="276" w:lineRule="auto"/>
        <w:jc w:val="right"/>
        <w:bidi w:val="1"/>
      </w:pPr>
      <w:r>
        <w:t>Gaming / cyberpunk neon effects</w:t>
      </w:r>
    </w:p>
    <w:p>
      <w:pPr>
        <w:pStyle w:val="ListBullet"/>
        <w:spacing w:after="80" w:before="0" w:line="276" w:lineRule="auto"/>
        <w:jc w:val="right"/>
        <w:bidi w:val="1"/>
      </w:pPr>
      <w:r>
        <w:t>Decorative loops</w:t>
      </w:r>
    </w:p>
    <w:p>
      <w:pPr>
        <w:pStyle w:val="ListBullet"/>
        <w:spacing w:after="80" w:before="0" w:line="276" w:lineRule="auto"/>
        <w:jc w:val="right"/>
        <w:bidi w:val="1"/>
      </w:pPr>
      <w:r>
        <w:t>Large animated backgrounds</w:t>
      </w:r>
    </w:p>
    <w:p>
      <w:pPr>
        <w:pStyle w:val="ListBullet"/>
        <w:spacing w:after="80" w:before="0" w:line="276" w:lineRule="auto"/>
        <w:jc w:val="left"/>
      </w:pPr>
      <w:r>
        <w:rPr>
          <w:rFonts w:ascii="Noto Sans Arabic" w:hAnsi="Noto Sans Arabic" w:cs="Noto Sans Arabic"/>
          <w:b w:val="0"/>
          <w:color w:val="22262D"/>
          <w:sz w:val="20"/>
        </w:rPr>
        <w:t>Gaming-style effects</w:t>
      </w:r>
    </w:p>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38. Update Animation</w:t>
      </w:r>
    </w:p>
    <w:p>
      <w:pPr>
        <w:bidi w:val="1"/>
        <w:spacing w:after="80" w:before="0" w:line="276" w:lineRule="auto"/>
        <w:jc w:val="right"/>
      </w:pPr>
      <w:r>
        <w:rPr>
          <w:rFonts w:ascii="Noto Sans Arabic" w:hAnsi="Noto Sans Arabic" w:cs="Noto Sans Arabic"/>
          <w:b w:val="0"/>
          <w:color w:val="22262D"/>
          <w:sz w:val="20"/>
        </w:rPr>
        <w:t>عند تغير Status أو Score:</w:t>
      </w:r>
    </w:p>
    <w:p>
      <w:pPr>
        <w:bidi w:val="1"/>
        <w:spacing w:after="80" w:before="0" w:line="276" w:lineRule="auto"/>
        <w:jc w:val="right"/>
      </w:pPr>
      <w:r>
        <w:rPr>
          <w:rFonts w:ascii="Noto Sans Arabic" w:hAnsi="Noto Sans Arabic" w:cs="Noto Sans Arabic"/>
          <w:b w:val="0"/>
          <w:color w:val="22262D"/>
          <w:sz w:val="20"/>
        </w:rPr>
        <w:t>لا تستخدم animation استعراضية.</w:t>
      </w:r>
    </w:p>
    <w:p>
      <w:pPr>
        <w:bidi w:val="1"/>
        <w:spacing w:after="80" w:before="0" w:line="276" w:lineRule="auto"/>
        <w:jc w:val="right"/>
      </w:pPr>
      <w:r>
        <w:rPr>
          <w:rFonts w:ascii="Noto Sans Arabic" w:hAnsi="Noto Sans Arabic" w:cs="Noto Sans Arabic"/>
          <w:b w:val="0"/>
          <w:color w:val="22262D"/>
          <w:sz w:val="20"/>
        </w:rPr>
        <w:t>يستخدم:</w:t>
      </w:r>
    </w:p>
    <w:tbl>
      <w:tblPr>
        <w:tblW w:type="auto" w:w="0"/>
        <w:jc w:val="center"/>
        <w:tblLayout w:type="fixed"/>
        <w:tblLook w:firstColumn="1" w:firstRow="1" w:lastColumn="0" w:lastRow="0" w:noHBand="0" w:noVBand="1" w:val="04A0"/>
      </w:tblPr>
      <w:tblGrid>
        <w:gridCol w:w="9866"/>
      </w:tblGrid>
      <w:tr>
        <w:tc>
          <w:tcPr>
            <w:tcW w:type="dxa" w:w="9866"/>
            <w:shd w:fill="F1F3F5"/>
            <w:tcMar>
              <w:top w:w="90" w:type="dxa"/>
              <w:start w:w="100" w:type="dxa"/>
              <w:bottom w:w="90" w:type="dxa"/>
              <w:end w:w="100" w:type="dxa"/>
            </w:tcMar>
          </w:tcPr>
          <w:p>
            <w:pPr>
              <w:spacing w:after="0" w:line="228" w:lineRule="auto"/>
              <w:jc w:val="left"/>
            </w:pPr>
            <w:r>
              <w:rPr>
                <w:rFonts w:ascii="DejaVu Sans Mono" w:hAnsi="DejaVu Sans Mono" w:cs="DejaVu Sans Mono"/>
                <w:b w:val="0"/>
                <w:color w:val="30343B"/>
                <w:sz w:val="12"/>
              </w:rPr>
              <w:t>Old State</w:t>
              <w:br/>
              <w:t>→ smooth transition</w:t>
              <w:br/>
              <w:t>→ New State</w:t>
              <w:br/>
              <w:t>→ optional single subtle pulse</w:t>
            </w:r>
          </w:p>
        </w:tc>
      </w:tr>
    </w:tbl>
    <w:p>
      <w:pPr>
        <w:bidi w:val="1"/>
        <w:spacing w:after="80" w:before="0" w:line="276" w:lineRule="auto"/>
        <w:jc w:val="right"/>
      </w:pPr>
      <w:r>
        <w:rPr>
          <w:rFonts w:ascii="Noto Sans Arabic" w:hAnsi="Noto Sans Arabic" w:cs="Noto Sans Arabic"/>
          <w:b w:val="0"/>
          <w:color w:val="22262D"/>
          <w:sz w:val="20"/>
        </w:rPr>
        <w:t>فقط عند وجود update حقيقي.</w:t>
      </w:r>
    </w:p>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39. Explainability Motion</w:t>
      </w:r>
    </w:p>
    <w:p>
      <w:pPr>
        <w:bidi w:val="1"/>
        <w:spacing w:after="80" w:before="0" w:line="276" w:lineRule="auto"/>
        <w:jc w:val="right"/>
      </w:pPr>
      <w:r>
        <w:rPr>
          <w:rFonts w:ascii="Noto Sans Arabic" w:hAnsi="Noto Sans Arabic" w:cs="Noto Sans Arabic"/>
          <w:b w:val="0"/>
          <w:color w:val="22262D"/>
          <w:sz w:val="20"/>
        </w:rPr>
        <w:t>يفضل progressive reveal:</w:t>
      </w:r>
    </w:p>
    <w:tbl>
      <w:tblPr>
        <w:tblW w:type="auto" w:w="0"/>
        <w:jc w:val="center"/>
        <w:tblLayout w:type="fixed"/>
        <w:tblLook w:firstColumn="1" w:firstRow="1" w:lastColumn="0" w:lastRow="0" w:noHBand="0" w:noVBand="1" w:val="04A0"/>
      </w:tblPr>
      <w:tblGrid>
        <w:gridCol w:w="9866"/>
      </w:tblGrid>
      <w:tr>
        <w:tc>
          <w:tcPr>
            <w:tcW w:type="dxa" w:w="9866"/>
            <w:shd w:fill="F1F3F5"/>
            <w:tcMar>
              <w:top w:w="90" w:type="dxa"/>
              <w:start w:w="100" w:type="dxa"/>
              <w:bottom w:w="90" w:type="dxa"/>
              <w:end w:w="100" w:type="dxa"/>
            </w:tcMar>
          </w:tcPr>
          <w:p>
            <w:pPr>
              <w:spacing w:after="0" w:line="228" w:lineRule="auto"/>
              <w:jc w:val="left"/>
            </w:pPr>
            <w:r>
              <w:rPr>
                <w:rFonts w:ascii="DejaVu Sans Mono" w:hAnsi="DejaVu Sans Mono" w:cs="DejaVu Sans Mono"/>
                <w:b w:val="0"/>
                <w:color w:val="30343B"/>
                <w:sz w:val="12"/>
              </w:rPr>
              <w:t>RESULT</w:t>
              <w:br/>
              <w:t xml:space="preserve">   ↓</w:t>
              <w:br/>
              <w:t>WHY</w:t>
              <w:br/>
              <w:t xml:space="preserve">   ↓</w:t>
              <w:br/>
              <w:t>EVIDENCE</w:t>
              <w:br/>
              <w:t xml:space="preserve">   ↓</w:t>
              <w:br/>
              <w:t>SOURCE</w:t>
            </w:r>
          </w:p>
        </w:tc>
      </w:tr>
    </w:tbl>
    <w:p>
      <w:pPr>
        <w:bidi w:val="1"/>
        <w:spacing w:after="80" w:before="0" w:line="276" w:lineRule="auto"/>
        <w:jc w:val="right"/>
      </w:pPr>
      <w:r>
        <w:rPr>
          <w:rFonts w:ascii="Noto Sans Arabic" w:hAnsi="Noto Sans Arabic" w:cs="Noto Sans Arabic"/>
          <w:b w:val="0"/>
          <w:color w:val="22262D"/>
          <w:sz w:val="20"/>
        </w:rPr>
        <w:t>بدل فتح عدد كبير من modals.</w:t>
      </w:r>
    </w:p>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40. Ambient Intelligence</w:t>
      </w:r>
    </w:p>
    <w:p>
      <w:pPr>
        <w:bidi w:val="1"/>
        <w:spacing w:after="80" w:before="0" w:line="276" w:lineRule="auto"/>
        <w:jc w:val="right"/>
      </w:pPr>
      <w:r>
        <w:rPr>
          <w:rFonts w:ascii="Noto Sans Arabic" w:hAnsi="Noto Sans Arabic" w:cs="Noto Sans Arabic"/>
          <w:b w:val="0"/>
          <w:color w:val="22262D"/>
          <w:sz w:val="20"/>
        </w:rPr>
        <w:t>يمكن استخدام ambient intelligence بشكل محدود.</w:t>
      </w:r>
    </w:p>
    <w:p>
      <w:pPr>
        <w:bidi w:val="1"/>
        <w:spacing w:after="80" w:before="0" w:line="276" w:lineRule="auto"/>
        <w:jc w:val="right"/>
      </w:pPr>
      <w:r>
        <w:rPr>
          <w:rFonts w:ascii="Noto Sans Arabic" w:hAnsi="Noto Sans Arabic" w:cs="Noto Sans Arabic"/>
          <w:b w:val="0"/>
          <w:color w:val="22262D"/>
          <w:sz w:val="20"/>
        </w:rPr>
        <w:t>أمثلة:</w:t>
      </w:r>
    </w:p>
    <w:p>
      <w:pPr>
        <w:pStyle w:val="ListBullet"/>
        <w:bidi w:val="1"/>
        <w:spacing w:after="80" w:before="0" w:line="276" w:lineRule="auto"/>
        <w:jc w:val="right"/>
      </w:pPr>
      <w:r>
        <w:rPr>
          <w:rFonts w:ascii="Noto Sans Arabic" w:hAnsi="Noto Sans Arabic" w:cs="Noto Sans Arabic"/>
          <w:b w:val="0"/>
          <w:color w:val="22262D"/>
          <w:sz w:val="20"/>
        </w:rPr>
        <w:t>subtle tonal background لـMarket Regime</w:t>
      </w:r>
    </w:p>
    <w:p>
      <w:pPr>
        <w:pStyle w:val="ListBullet"/>
        <w:bidi w:val="1"/>
        <w:spacing w:after="80" w:before="0" w:line="276" w:lineRule="auto"/>
        <w:jc w:val="right"/>
      </w:pPr>
      <w:r>
        <w:rPr>
          <w:rFonts w:ascii="Noto Sans Arabic" w:hAnsi="Noto Sans Arabic" w:cs="Noto Sans Arabic"/>
          <w:b w:val="0"/>
          <w:color w:val="22262D"/>
          <w:sz w:val="20"/>
        </w:rPr>
        <w:t>freshness halo صغير</w:t>
      </w:r>
    </w:p>
    <w:p>
      <w:pPr>
        <w:pStyle w:val="ListBullet"/>
        <w:spacing w:after="80" w:before="0" w:line="276" w:lineRule="auto"/>
        <w:jc w:val="left"/>
      </w:pPr>
      <w:r>
        <w:rPr>
          <w:rFonts w:ascii="Noto Sans Arabic" w:hAnsi="Noto Sans Arabic" w:cs="Noto Sans Arabic"/>
          <w:b w:val="0"/>
          <w:color w:val="22262D"/>
          <w:sz w:val="20"/>
        </w:rPr>
        <w:t>evidence strength bar</w:t>
      </w:r>
    </w:p>
    <w:p>
      <w:pPr>
        <w:pStyle w:val="ListBullet"/>
        <w:spacing w:after="80" w:before="0" w:line="276" w:lineRule="auto"/>
        <w:jc w:val="left"/>
      </w:pPr>
      <w:r>
        <w:rPr>
          <w:rFonts w:ascii="Noto Sans Arabic" w:hAnsi="Noto Sans Arabic" w:cs="Noto Sans Arabic"/>
          <w:b w:val="0"/>
          <w:color w:val="22262D"/>
          <w:sz w:val="20"/>
        </w:rPr>
        <w:t>restrained confidence indicator</w:t>
      </w:r>
    </w:p>
    <w:p>
      <w:pPr>
        <w:pStyle w:val="ListBullet"/>
        <w:spacing w:after="80" w:before="0" w:line="276" w:lineRule="auto"/>
        <w:jc w:val="left"/>
      </w:pPr>
      <w:r>
        <w:rPr>
          <w:rFonts w:ascii="Noto Sans Arabic" w:hAnsi="Noto Sans Arabic" w:cs="Noto Sans Arabic"/>
          <w:b w:val="0"/>
          <w:color w:val="22262D"/>
          <w:sz w:val="20"/>
        </w:rPr>
        <w:t>active Decision Layer highlighting</w:t>
      </w:r>
    </w:p>
    <w:p>
      <w:pPr>
        <w:bidi w:val="1"/>
        <w:spacing w:after="80" w:before="0" w:line="276" w:lineRule="auto"/>
        <w:jc w:val="right"/>
      </w:pPr>
      <w:r>
        <w:rPr>
          <w:rFonts w:ascii="Noto Sans Arabic" w:hAnsi="Noto Sans Arabic" w:cs="Noto Sans Arabic"/>
          <w:b w:val="0"/>
          <w:color w:val="22262D"/>
          <w:sz w:val="20"/>
        </w:rPr>
        <w:t>لكن هذه العناصر لا تستبدل labels النصية.</w:t>
      </w:r>
    </w:p>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41. Charts</w:t>
      </w:r>
    </w:p>
    <w:p>
      <w:pPr>
        <w:bidi w:val="1"/>
        <w:spacing w:after="80" w:before="0" w:line="276" w:lineRule="auto"/>
        <w:jc w:val="right"/>
      </w:pPr>
      <w:r>
        <w:rPr>
          <w:rFonts w:ascii="Noto Sans Arabic" w:hAnsi="Noto Sans Arabic" w:cs="Noto Sans Arabic"/>
          <w:b w:val="0"/>
          <w:color w:val="22262D"/>
          <w:sz w:val="20"/>
        </w:rPr>
        <w:t>Charts تتبع لغة موحدة.</w:t>
      </w:r>
    </w:p>
    <w:p>
      <w:pPr>
        <w:bidi w:val="1"/>
        <w:spacing w:after="80" w:before="0" w:line="276" w:lineRule="auto"/>
        <w:jc w:val="right"/>
      </w:pPr>
      <w:r>
        <w:rPr>
          <w:rFonts w:ascii="Noto Sans Arabic" w:hAnsi="Noto Sans Arabic" w:cs="Noto Sans Arabic"/>
          <w:b w:val="0"/>
          <w:color w:val="22262D"/>
          <w:sz w:val="20"/>
        </w:rPr>
        <w:t>يمكن أن تشمل:</w:t>
      </w:r>
    </w:p>
    <w:p>
      <w:pPr>
        <w:pStyle w:val="ListBullet"/>
        <w:spacing w:after="80" w:before="0" w:line="276" w:lineRule="auto"/>
        <w:jc w:val="left"/>
      </w:pPr>
      <w:r>
        <w:rPr>
          <w:rFonts w:ascii="Noto Sans Arabic" w:hAnsi="Noto Sans Arabic" w:cs="Noto Sans Arabic"/>
          <w:b w:val="0"/>
          <w:color w:val="22262D"/>
          <w:sz w:val="20"/>
        </w:rPr>
        <w:t>Price / Context</w:t>
      </w:r>
    </w:p>
    <w:p>
      <w:pPr>
        <w:pStyle w:val="ListBullet"/>
        <w:spacing w:after="80" w:before="0" w:line="276" w:lineRule="auto"/>
        <w:jc w:val="left"/>
      </w:pPr>
      <w:r>
        <w:rPr>
          <w:rFonts w:ascii="Noto Sans Arabic" w:hAnsi="Noto Sans Arabic" w:cs="Noto Sans Arabic"/>
          <w:b w:val="0"/>
          <w:color w:val="22262D"/>
          <w:sz w:val="20"/>
        </w:rPr>
        <w:t>Institutional History</w:t>
      </w:r>
    </w:p>
    <w:p>
      <w:pPr>
        <w:pStyle w:val="ListBullet"/>
        <w:spacing w:after="80" w:before="0" w:line="276" w:lineRule="auto"/>
        <w:jc w:val="left"/>
      </w:pPr>
      <w:r>
        <w:rPr>
          <w:rFonts w:ascii="Noto Sans Arabic" w:hAnsi="Noto Sans Arabic" w:cs="Noto Sans Arabic"/>
          <w:b w:val="0"/>
          <w:color w:val="22262D"/>
          <w:sz w:val="20"/>
        </w:rPr>
        <w:t>Scenario Comparison</w:t>
      </w:r>
    </w:p>
    <w:p>
      <w:pPr>
        <w:pStyle w:val="ListBullet"/>
        <w:spacing w:after="80" w:before="0" w:line="276" w:lineRule="auto"/>
        <w:jc w:val="left"/>
      </w:pPr>
      <w:r>
        <w:rPr>
          <w:rFonts w:ascii="Noto Sans Arabic" w:hAnsi="Noto Sans Arabic" w:cs="Noto Sans Arabic"/>
          <w:b w:val="0"/>
          <w:color w:val="22262D"/>
          <w:sz w:val="20"/>
        </w:rPr>
        <w:t>Decision Layer State</w:t>
      </w:r>
    </w:p>
    <w:p>
      <w:pPr>
        <w:pStyle w:val="ListBullet"/>
        <w:spacing w:after="80" w:before="0" w:line="276" w:lineRule="auto"/>
        <w:jc w:val="left"/>
      </w:pPr>
      <w:r>
        <w:rPr>
          <w:rFonts w:ascii="Noto Sans Arabic" w:hAnsi="Noto Sans Arabic" w:cs="Noto Sans Arabic"/>
          <w:b w:val="0"/>
          <w:color w:val="22262D"/>
          <w:sz w:val="20"/>
        </w:rPr>
        <w:t>Score History</w:t>
      </w:r>
    </w:p>
    <w:p>
      <w:pPr>
        <w:pStyle w:val="ListBullet"/>
        <w:spacing w:after="80" w:before="0" w:line="276" w:lineRule="auto"/>
        <w:jc w:val="left"/>
      </w:pPr>
      <w:r>
        <w:rPr>
          <w:rFonts w:ascii="Noto Sans Arabic" w:hAnsi="Noto Sans Arabic" w:cs="Noto Sans Arabic"/>
          <w:b w:val="0"/>
          <w:color w:val="22262D"/>
          <w:sz w:val="20"/>
        </w:rPr>
        <w:t>Freshness / Health</w:t>
      </w:r>
    </w:p>
    <w:p>
      <w:pPr>
        <w:pStyle w:val="ListBullet"/>
        <w:spacing w:after="80" w:before="0" w:line="276" w:lineRule="auto"/>
        <w:jc w:val="left"/>
      </w:pPr>
      <w:r>
        <w:rPr>
          <w:rFonts w:ascii="Noto Sans Arabic" w:hAnsi="Noto Sans Arabic" w:cs="Noto Sans Arabic"/>
          <w:b w:val="0"/>
          <w:color w:val="22262D"/>
          <w:sz w:val="20"/>
        </w:rPr>
        <w:t>Evidence Relationships</w:t>
      </w:r>
    </w:p>
    <w:p>
      <w:pPr>
        <w:bidi w:val="1"/>
        <w:spacing w:after="80" w:before="0" w:line="276" w:lineRule="auto"/>
        <w:jc w:val="right"/>
      </w:pPr>
      <w:r>
        <w:rPr>
          <w:rFonts w:ascii="Noto Sans Arabic" w:hAnsi="Noto Sans Arabic" w:cs="Noto Sans Arabic"/>
          <w:b w:val="0"/>
          <w:color w:val="22262D"/>
          <w:sz w:val="20"/>
        </w:rPr>
        <w:t>ولا يعتمد chart على اللون وحده.</w:t>
      </w:r>
    </w:p>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42. Chart Density</w:t>
      </w:r>
    </w:p>
    <w:p>
      <w:pPr>
        <w:bidi w:val="1"/>
        <w:spacing w:after="80" w:before="0" w:line="276" w:lineRule="auto"/>
        <w:jc w:val="right"/>
      </w:pPr>
      <w:r>
        <w:rPr>
          <w:rFonts w:ascii="Noto Sans Arabic" w:hAnsi="Noto Sans Arabic" w:cs="Noto Sans Arabic"/>
          <w:b w:val="0"/>
          <w:color w:val="22262D"/>
          <w:sz w:val="20"/>
        </w:rPr>
        <w:t>لا تستخدم visualization ضخمة عندما يكون:</w:t>
      </w:r>
    </w:p>
    <w:p>
      <w:pPr>
        <w:pStyle w:val="ListBullet"/>
        <w:spacing w:after="80" w:before="0" w:line="276" w:lineRule="auto"/>
        <w:jc w:val="left"/>
      </w:pPr>
      <w:r>
        <w:rPr>
          <w:rFonts w:ascii="Noto Sans Arabic" w:hAnsi="Noto Sans Arabic" w:cs="Noto Sans Arabic"/>
          <w:b w:val="0"/>
          <w:color w:val="22262D"/>
          <w:sz w:val="20"/>
        </w:rPr>
        <w:t>table</w:t>
      </w:r>
    </w:p>
    <w:p>
      <w:pPr>
        <w:pStyle w:val="ListBullet"/>
        <w:spacing w:after="80" w:before="0" w:line="276" w:lineRule="auto"/>
        <w:jc w:val="left"/>
      </w:pPr>
      <w:r>
        <w:rPr>
          <w:rFonts w:ascii="Noto Sans Arabic" w:hAnsi="Noto Sans Arabic" w:cs="Noto Sans Arabic"/>
          <w:b w:val="0"/>
          <w:color w:val="22262D"/>
          <w:sz w:val="20"/>
        </w:rPr>
        <w:t>compact chart</w:t>
      </w:r>
    </w:p>
    <w:p>
      <w:pPr>
        <w:pStyle w:val="ListBullet"/>
        <w:spacing w:after="80" w:before="0" w:line="276" w:lineRule="auto"/>
        <w:jc w:val="left"/>
      </w:pPr>
      <w:r>
        <w:rPr>
          <w:rFonts w:ascii="Noto Sans Arabic" w:hAnsi="Noto Sans Arabic" w:cs="Noto Sans Arabic"/>
          <w:b w:val="0"/>
          <w:color w:val="22262D"/>
          <w:sz w:val="20"/>
        </w:rPr>
        <w:t>timeline</w:t>
      </w:r>
    </w:p>
    <w:p>
      <w:pPr>
        <w:pStyle w:val="ListBullet"/>
        <w:spacing w:after="80" w:before="0" w:line="276" w:lineRule="auto"/>
        <w:jc w:val="left"/>
      </w:pPr>
      <w:r>
        <w:rPr>
          <w:rFonts w:ascii="Noto Sans Arabic" w:hAnsi="Noto Sans Arabic" w:cs="Noto Sans Arabic"/>
          <w:b w:val="0"/>
          <w:color w:val="22262D"/>
          <w:sz w:val="20"/>
        </w:rPr>
        <w:t>status rail</w:t>
      </w:r>
    </w:p>
    <w:p>
      <w:pPr>
        <w:bidi w:val="1"/>
        <w:spacing w:after="80" w:before="0" w:line="276" w:lineRule="auto"/>
        <w:jc w:val="right"/>
      </w:pPr>
      <w:r>
        <w:rPr>
          <w:rFonts w:ascii="Noto Sans Arabic" w:hAnsi="Noto Sans Arabic" w:cs="Noto Sans Arabic"/>
          <w:b w:val="0"/>
          <w:color w:val="22262D"/>
          <w:sz w:val="20"/>
        </w:rPr>
        <w:t>أكثر وضوحًا.</w:t>
      </w:r>
    </w:p>
    <w:p>
      <w:pPr>
        <w:bidi w:val="1"/>
        <w:spacing w:after="80" w:before="0" w:line="276" w:lineRule="auto"/>
        <w:jc w:val="right"/>
      </w:pPr>
      <w:r>
        <w:rPr>
          <w:rFonts w:ascii="Noto Sans Arabic" w:hAnsi="Noto Sans Arabic" w:cs="Noto Sans Arabic"/>
          <w:b w:val="0"/>
          <w:color w:val="22262D"/>
          <w:sz w:val="20"/>
        </w:rPr>
        <w:t>الرسوم تخدم القرار ولا تتحول إلى decoration.</w:t>
      </w:r>
    </w:p>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43. KPI Discipline</w:t>
      </w:r>
    </w:p>
    <w:p>
      <w:pPr>
        <w:bidi w:val="1"/>
        <w:spacing w:after="80" w:before="0" w:line="276" w:lineRule="auto"/>
        <w:jc w:val="right"/>
      </w:pPr>
      <w:r>
        <w:rPr>
          <w:rFonts w:ascii="Noto Sans Arabic" w:hAnsi="Noto Sans Arabic" w:cs="Noto Sans Arabic"/>
          <w:b w:val="0"/>
          <w:color w:val="22262D"/>
          <w:sz w:val="20"/>
        </w:rPr>
        <w:t>لا تعرض أكثر من:</w:t>
      </w:r>
    </w:p>
    <w:p>
      <w:pPr>
        <w:bidi w:val="1"/>
        <w:spacing w:after="80" w:before="0" w:line="276" w:lineRule="auto"/>
        <w:jc w:val="right"/>
      </w:pPr>
      <w:r>
        <w:rPr>
          <w:rFonts w:ascii="Noto Sans Arabic" w:hAnsi="Noto Sans Arabic" w:cs="Noto Sans Arabic"/>
          <w:b/>
          <w:color w:val="22262D"/>
          <w:sz w:val="20"/>
        </w:rPr>
        <w:t>3–5 KPIs رئيسية</w:t>
      </w:r>
    </w:p>
    <w:p>
      <w:pPr>
        <w:bidi w:val="1"/>
        <w:spacing w:after="80" w:before="0" w:line="276" w:lineRule="auto"/>
        <w:jc w:val="right"/>
      </w:pPr>
      <w:r>
        <w:rPr>
          <w:rFonts w:ascii="Noto Sans Arabic" w:hAnsi="Noto Sans Arabic" w:cs="Noto Sans Arabic"/>
          <w:b w:val="0"/>
          <w:color w:val="22262D"/>
          <w:sz w:val="20"/>
        </w:rPr>
        <w:t>في viewport واحد إلا إذا كانت طبيعة workspace تتطلب غير ذلك.</w:t>
      </w:r>
    </w:p>
    <w:p>
      <w:pPr>
        <w:bidi w:val="1"/>
        <w:spacing w:after="80" w:before="0" w:line="276" w:lineRule="auto"/>
        <w:jc w:val="right"/>
      </w:pPr>
      <w:r>
        <w:rPr>
          <w:rFonts w:ascii="Noto Sans Arabic" w:hAnsi="Noto Sans Arabic" w:cs="Noto Sans Arabic"/>
          <w:b w:val="0"/>
          <w:color w:val="22262D"/>
          <w:sz w:val="20"/>
        </w:rPr>
        <w:t>يجب التمييز بين:</w:t>
      </w:r>
    </w:p>
    <w:p>
      <w:pPr>
        <w:pStyle w:val="ListBullet"/>
        <w:spacing w:after="80" w:before="0" w:line="276" w:lineRule="auto"/>
        <w:jc w:val="left"/>
      </w:pPr>
      <w:r>
        <w:rPr>
          <w:rFonts w:ascii="Noto Sans Arabic" w:hAnsi="Noto Sans Arabic" w:cs="Noto Sans Arabic"/>
          <w:b w:val="0"/>
          <w:color w:val="22262D"/>
          <w:sz w:val="20"/>
        </w:rPr>
        <w:t>Primary KPIs</w:t>
      </w:r>
    </w:p>
    <w:p>
      <w:pPr>
        <w:pStyle w:val="ListBullet"/>
        <w:spacing w:after="80" w:before="0" w:line="276" w:lineRule="auto"/>
        <w:jc w:val="left"/>
      </w:pPr>
      <w:r>
        <w:rPr>
          <w:rFonts w:ascii="Noto Sans Arabic" w:hAnsi="Noto Sans Arabic" w:cs="Noto Sans Arabic"/>
          <w:b w:val="0"/>
          <w:color w:val="22262D"/>
          <w:sz w:val="20"/>
        </w:rPr>
        <w:t>Secondary Metrics</w:t>
      </w:r>
    </w:p>
    <w:p>
      <w:pPr>
        <w:pStyle w:val="ListBullet"/>
        <w:spacing w:after="80" w:before="0" w:line="276" w:lineRule="auto"/>
        <w:jc w:val="left"/>
      </w:pPr>
      <w:r>
        <w:rPr>
          <w:rFonts w:ascii="Noto Sans Arabic" w:hAnsi="Noto Sans Arabic" w:cs="Noto Sans Arabic"/>
          <w:b w:val="0"/>
          <w:color w:val="22262D"/>
          <w:sz w:val="20"/>
        </w:rPr>
        <w:t>Metadata</w:t>
      </w:r>
    </w:p>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44. Admin Mission Control Layout</w:t>
      </w:r>
    </w:p>
    <w:p>
      <w:pPr>
        <w:bidi w:val="1"/>
        <w:spacing w:after="80" w:before="0" w:line="276" w:lineRule="auto"/>
        <w:jc w:val="right"/>
      </w:pPr>
      <w:r>
        <w:rPr>
          <w:rFonts w:ascii="Noto Sans Arabic" w:hAnsi="Noto Sans Arabic" w:cs="Noto Sans Arabic"/>
          <w:b w:val="0"/>
          <w:color w:val="22262D"/>
          <w:sz w:val="20"/>
        </w:rPr>
        <w:t>التكوين المرجعي:</w:t>
      </w:r>
    </w:p>
    <w:tbl>
      <w:tblPr>
        <w:tblW w:type="auto" w:w="0"/>
        <w:jc w:val="center"/>
        <w:tblLayout w:type="fixed"/>
        <w:tblLook w:firstColumn="1" w:firstRow="1" w:lastColumn="0" w:lastRow="0" w:noHBand="0" w:noVBand="1" w:val="04A0"/>
      </w:tblPr>
      <w:tblGrid>
        <w:gridCol w:w="9866"/>
      </w:tblGrid>
      <w:tr>
        <w:tc>
          <w:tcPr>
            <w:tcW w:type="dxa" w:w="9866"/>
            <w:shd w:fill="F1F3F5"/>
            <w:tcMar>
              <w:top w:w="90" w:type="dxa"/>
              <w:start w:w="100" w:type="dxa"/>
              <w:bottom w:w="90" w:type="dxa"/>
              <w:end w:w="100" w:type="dxa"/>
            </w:tcMar>
          </w:tcPr>
          <w:p>
            <w:pPr>
              <w:spacing w:after="0" w:line="228" w:lineRule="auto"/>
              <w:jc w:val="left"/>
            </w:pPr>
            <w:r>
              <w:rPr>
                <w:rFonts w:ascii="DejaVu Sans Mono" w:hAnsi="DejaVu Sans Mono" w:cs="DejaVu Sans Mono"/>
                <w:b w:val="0"/>
                <w:color w:val="30343B"/>
                <w:sz w:val="12"/>
              </w:rPr>
              <w:t>GLOBAL CONTEXT HEADER</w:t>
              <w:br/>
              <w:t>────────────────────────</w:t>
              <w:br/>
              <w:br/>
              <w:t>SYSTEM / GOVERNANCE STATUS RAIL</w:t>
              <w:br/>
              <w:t>────────────────────────</w:t>
              <w:br/>
              <w:br/>
              <w:t>CORE / GOVERNANCE / SCORING</w:t>
              <w:br/>
              <w:t>────────────────────────</w:t>
              <w:br/>
              <w:br/>
              <w:t>SUPPORTING INTELLIGENCE</w:t>
              <w:br/>
              <w:t>────────────────────────</w:t>
              <w:br/>
              <w:br/>
              <w:t>EVIDENCE / HISTORY / OPERATIONS</w:t>
            </w:r>
          </w:p>
        </w:tc>
      </w:tr>
    </w:tbl>
    <w:p>
      <w:pPr>
        <w:bidi w:val="1"/>
        <w:spacing w:after="80" w:before="0" w:line="276" w:lineRule="auto"/>
        <w:jc w:val="right"/>
      </w:pPr>
      <w:r>
        <w:rPr>
          <w:rFonts w:ascii="Noto Sans Arabic" w:hAnsi="Noto Sans Arabic" w:cs="Noto Sans Arabic"/>
          <w:b w:val="0"/>
          <w:color w:val="22262D"/>
          <w:sz w:val="20"/>
        </w:rPr>
        <w:t>مع Sidebar أو role-aware navigation.</w:t>
      </w:r>
    </w:p>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45. Global Context</w:t>
      </w:r>
    </w:p>
    <w:p>
      <w:pPr>
        <w:bidi w:val="1"/>
        <w:spacing w:after="80" w:before="0" w:line="276" w:lineRule="auto"/>
        <w:jc w:val="right"/>
      </w:pPr>
      <w:r>
        <w:rPr>
          <w:rFonts w:ascii="Noto Sans Arabic" w:hAnsi="Noto Sans Arabic" w:cs="Noto Sans Arabic"/>
          <w:b w:val="0"/>
          <w:color w:val="22262D"/>
          <w:sz w:val="20"/>
        </w:rPr>
        <w:t>عندما تسمح العقود:</w:t>
      </w:r>
    </w:p>
    <w:p>
      <w:pPr>
        <w:pStyle w:val="ListBullet"/>
        <w:spacing w:after="80" w:before="0" w:line="276" w:lineRule="auto"/>
        <w:jc w:val="left"/>
      </w:pPr>
      <w:r>
        <w:rPr>
          <w:rFonts w:ascii="Noto Sans Arabic" w:hAnsi="Noto Sans Arabic" w:cs="Noto Sans Arabic"/>
          <w:b w:val="0"/>
          <w:color w:val="22262D"/>
          <w:sz w:val="20"/>
        </w:rPr>
        <w:t>Asset</w:t>
      </w:r>
    </w:p>
    <w:p>
      <w:pPr>
        <w:pStyle w:val="ListBullet"/>
        <w:spacing w:after="80" w:before="0" w:line="276" w:lineRule="auto"/>
        <w:jc w:val="left"/>
      </w:pPr>
      <w:r>
        <w:rPr>
          <w:rFonts w:ascii="Noto Sans Arabic" w:hAnsi="Noto Sans Arabic" w:cs="Noto Sans Arabic"/>
          <w:b w:val="0"/>
          <w:color w:val="22262D"/>
          <w:sz w:val="20"/>
        </w:rPr>
        <w:t>Symbol</w:t>
      </w:r>
    </w:p>
    <w:p>
      <w:pPr>
        <w:pStyle w:val="ListBullet"/>
        <w:spacing w:after="80" w:before="0" w:line="276" w:lineRule="auto"/>
        <w:jc w:val="left"/>
      </w:pPr>
      <w:r>
        <w:rPr>
          <w:rFonts w:ascii="Noto Sans Arabic" w:hAnsi="Noto Sans Arabic" w:cs="Noto Sans Arabic"/>
          <w:b w:val="0"/>
          <w:color w:val="22262D"/>
          <w:sz w:val="20"/>
        </w:rPr>
        <w:t>Market</w:t>
      </w:r>
    </w:p>
    <w:p>
      <w:pPr>
        <w:pStyle w:val="ListBullet"/>
        <w:spacing w:after="80" w:before="0" w:line="276" w:lineRule="auto"/>
        <w:jc w:val="left"/>
      </w:pPr>
      <w:r>
        <w:rPr>
          <w:rFonts w:ascii="Noto Sans Arabic" w:hAnsi="Noto Sans Arabic" w:cs="Noto Sans Arabic"/>
          <w:b w:val="0"/>
          <w:color w:val="22262D"/>
          <w:sz w:val="20"/>
        </w:rPr>
        <w:t>Timeframe</w:t>
      </w:r>
    </w:p>
    <w:p>
      <w:pPr>
        <w:bidi w:val="1"/>
        <w:spacing w:after="80" w:before="0" w:line="276" w:lineRule="auto"/>
        <w:jc w:val="right"/>
      </w:pPr>
      <w:r>
        <w:rPr>
          <w:rFonts w:ascii="Noto Sans Arabic" w:hAnsi="Noto Sans Arabic" w:cs="Noto Sans Arabic"/>
          <w:b w:val="0"/>
          <w:color w:val="22262D"/>
          <w:sz w:val="20"/>
        </w:rPr>
        <w:t>تظهر كـpersistent global context في Admin.</w:t>
      </w:r>
    </w:p>
    <w:p>
      <w:pPr>
        <w:bidi w:val="1"/>
        <w:spacing w:after="80" w:before="0" w:line="276" w:lineRule="auto"/>
        <w:jc w:val="right"/>
      </w:pPr>
      <w:r>
        <w:rPr>
          <w:rFonts w:ascii="Noto Sans Arabic" w:hAnsi="Noto Sans Arabic" w:cs="Noto Sans Arabic"/>
          <w:b w:val="0"/>
          <w:color w:val="22262D"/>
          <w:sz w:val="20"/>
        </w:rPr>
        <w:t>تغييرها يجب أن ينتقل عبر العقود المعتمدة ولا تقوم الواجهة باختراع propagation logic.</w:t>
      </w:r>
    </w:p>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46. Public Cinematic Direction</w:t>
      </w:r>
    </w:p>
    <w:p>
      <w:pPr>
        <w:bidi w:val="1"/>
        <w:spacing w:after="80" w:before="0" w:line="276" w:lineRule="auto"/>
        <w:jc w:val="right"/>
      </w:pPr>
      <w:r>
        <w:t>"Cinematic" في هذه المراجعة يعني مطابقة تكوين Figure UI-05: Deep Obsidian canvas، visual focus قوي، evidence convergence، CORE authority، وspacing واسع؛ وليس animations ضخمة.</w:t>
      </w:r>
    </w:p>
    <w:p>
      <w:pPr>
        <w:bidi w:val="1"/>
        <w:spacing w:after="80" w:before="0" w:line="276" w:lineRule="auto"/>
        <w:jc w:val="right"/>
      </w:pPr>
      <w:r>
        <w:t>اللغة البصرية الحاكمة:</w:t>
      </w:r>
    </w:p>
    <w:p>
      <w:pPr>
        <w:pStyle w:val="ListBullet"/>
        <w:spacing w:after="80" w:before="0" w:line="276" w:lineRule="auto"/>
        <w:jc w:val="right"/>
        <w:bidi w:val="1"/>
      </w:pPr>
      <w:r>
        <w:t>Right-aligned Arabic hero copy</w:t>
      </w:r>
    </w:p>
    <w:p>
      <w:pPr>
        <w:pStyle w:val="ListBullet"/>
        <w:spacing w:after="80" w:before="0" w:line="276" w:lineRule="auto"/>
        <w:jc w:val="right"/>
        <w:bidi w:val="1"/>
      </w:pPr>
      <w:r>
        <w:t>Five public-safe evidence paths converging visually into CORE</w:t>
      </w:r>
    </w:p>
    <w:p>
      <w:pPr>
        <w:pStyle w:val="ListBullet"/>
        <w:spacing w:after="80" w:before="0" w:line="276" w:lineRule="auto"/>
        <w:jc w:val="right"/>
        <w:bidi w:val="1"/>
      </w:pPr>
      <w:r>
        <w:t>Thin borders and restrained refined-gold authority</w:t>
      </w:r>
    </w:p>
    <w:p>
      <w:pPr>
        <w:pStyle w:val="ListBullet"/>
        <w:spacing w:after="80" w:before="0" w:line="276" w:lineRule="auto"/>
        <w:jc w:val="right"/>
        <w:bidi w:val="1"/>
      </w:pPr>
      <w:r>
        <w:t>Sky Blue evidence/data accents</w:t>
      </w:r>
    </w:p>
    <w:p>
      <w:pPr>
        <w:pStyle w:val="ListBullet"/>
        <w:spacing w:after="80" w:before="0" w:line="276" w:lineRule="auto"/>
        <w:jc w:val="right"/>
        <w:bidi w:val="1"/>
      </w:pPr>
      <w:r>
        <w:t>Minimal header/navigation</w:t>
      </w:r>
    </w:p>
    <w:p>
      <w:pPr>
        <w:pStyle w:val="ListBullet"/>
        <w:spacing w:after="80" w:before="0" w:line="276" w:lineRule="auto"/>
        <w:jc w:val="right"/>
        <w:bidi w:val="1"/>
      </w:pPr>
      <w:r>
        <w:t>Context → Evidence → Official Direction journey strip</w:t>
      </w:r>
    </w:p>
    <w:p>
      <w:pPr>
        <w:pStyle w:val="ListBullet"/>
        <w:spacing w:after="80" w:before="0" w:line="276" w:lineRule="auto"/>
        <w:jc w:val="right"/>
        <w:bidi w:val="1"/>
      </w:pPr>
      <w:r>
        <w:t>Gentle transitions with reduced-motion support</w:t>
      </w:r>
    </w:p>
    <w:p>
      <w:pPr>
        <w:bidi w:val="1"/>
        <w:spacing w:after="80" w:before="0" w:line="276" w:lineRule="auto"/>
        <w:jc w:val="right"/>
      </w:pPr>
      <w:r>
        <w:t>Public لا يجب أن يبدو كمنتج Crypto/Gaming أو Trading Dashboard؛ يجب أن يطابق Sovereign Obsidian Institutional Decision Intelligence.</w:t>
      </w:r>
    </w:p>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47. Glass Effects</w:t>
      </w:r>
    </w:p>
    <w:p>
      <w:pPr>
        <w:bidi w:val="1"/>
        <w:spacing w:after="80" w:before="0" w:line="276" w:lineRule="auto"/>
        <w:jc w:val="right"/>
      </w:pPr>
      <w:r>
        <w:rPr>
          <w:rFonts w:ascii="Noto Sans Arabic" w:hAnsi="Noto Sans Arabic" w:cs="Noto Sans Arabic"/>
          <w:b w:val="0"/>
          <w:color w:val="22262D"/>
          <w:sz w:val="20"/>
        </w:rPr>
        <w:t>يمكن استخدام glass-like surfaces بحذر شديد في Public.</w:t>
      </w:r>
    </w:p>
    <w:p>
      <w:pPr>
        <w:bidi w:val="1"/>
        <w:spacing w:after="80" w:before="0" w:line="276" w:lineRule="auto"/>
        <w:jc w:val="right"/>
      </w:pPr>
      <w:r>
        <w:rPr>
          <w:rFonts w:ascii="Noto Sans Arabic" w:hAnsi="Noto Sans Arabic" w:cs="Noto Sans Arabic"/>
          <w:b w:val="0"/>
          <w:color w:val="22262D"/>
          <w:sz w:val="20"/>
        </w:rPr>
        <w:t>في Admin:</w:t>
      </w:r>
    </w:p>
    <w:p>
      <w:pPr>
        <w:bidi w:val="1"/>
        <w:spacing w:after="80" w:before="0" w:line="276" w:lineRule="auto"/>
        <w:jc w:val="right"/>
      </w:pPr>
      <w:r>
        <w:rPr>
          <w:rFonts w:ascii="Noto Sans Arabic" w:hAnsi="Noto Sans Arabic" w:cs="Noto Sans Arabic"/>
          <w:b w:val="0"/>
          <w:color w:val="22262D"/>
          <w:sz w:val="20"/>
        </w:rPr>
        <w:t>يفضل:</w:t>
      </w:r>
    </w:p>
    <w:p>
      <w:pPr>
        <w:spacing w:after="80" w:before="0" w:line="276" w:lineRule="auto"/>
        <w:jc w:val="left"/>
      </w:pPr>
      <w:r>
        <w:rPr>
          <w:rFonts w:ascii="Noto Sans Arabic" w:hAnsi="Noto Sans Arabic" w:cs="Noto Sans Arabic"/>
          <w:b/>
          <w:color w:val="22262D"/>
          <w:sz w:val="20"/>
        </w:rPr>
        <w:t>Solid / Deep Analytical Surfaces</w:t>
      </w:r>
    </w:p>
    <w:p>
      <w:pPr>
        <w:bidi w:val="1"/>
        <w:spacing w:after="80" w:before="0" w:line="276" w:lineRule="auto"/>
        <w:jc w:val="right"/>
      </w:pPr>
      <w:r>
        <w:rPr>
          <w:rFonts w:ascii="Noto Sans Arabic" w:hAnsi="Noto Sans Arabic" w:cs="Noto Sans Arabic"/>
          <w:b w:val="0"/>
          <w:color w:val="22262D"/>
          <w:sz w:val="20"/>
        </w:rPr>
        <w:t>على excessive glass.</w:t>
      </w:r>
    </w:p>
    <w:p>
      <w:pPr>
        <w:bidi w:val="1"/>
        <w:spacing w:after="80" w:before="0" w:line="276" w:lineRule="auto"/>
        <w:jc w:val="right"/>
      </w:pPr>
      <w:r>
        <w:rPr>
          <w:rFonts w:ascii="Noto Sans Arabic" w:hAnsi="Noto Sans Arabic" w:cs="Noto Sans Arabic"/>
          <w:b w:val="0"/>
          <w:color w:val="22262D"/>
          <w:sz w:val="20"/>
        </w:rPr>
        <w:t>الوضوح أهم من المؤثر البصري.</w:t>
      </w:r>
    </w:p>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48. Accessibility</w:t>
      </w:r>
    </w:p>
    <w:p>
      <w:pPr>
        <w:bidi w:val="1"/>
        <w:spacing w:after="80" w:before="0" w:line="276" w:lineRule="auto"/>
        <w:jc w:val="right"/>
      </w:pPr>
      <w:r>
        <w:rPr>
          <w:rFonts w:ascii="Noto Sans Arabic" w:hAnsi="Noto Sans Arabic" w:cs="Noto Sans Arabic"/>
          <w:b w:val="0"/>
          <w:color w:val="22262D"/>
          <w:sz w:val="20"/>
        </w:rPr>
        <w:t>إلزامي:</w:t>
      </w:r>
    </w:p>
    <w:p>
      <w:pPr>
        <w:pStyle w:val="ListBullet"/>
        <w:spacing w:after="80" w:before="0" w:line="276" w:lineRule="auto"/>
        <w:jc w:val="left"/>
      </w:pPr>
      <w:r>
        <w:rPr>
          <w:rFonts w:ascii="Noto Sans Arabic" w:hAnsi="Noto Sans Arabic" w:cs="Noto Sans Arabic"/>
          <w:b w:val="0"/>
          <w:color w:val="22262D"/>
          <w:sz w:val="20"/>
        </w:rPr>
        <w:t>Keyboard Navigation</w:t>
      </w:r>
    </w:p>
    <w:p>
      <w:pPr>
        <w:pStyle w:val="ListBullet"/>
        <w:spacing w:after="80" w:before="0" w:line="276" w:lineRule="auto"/>
        <w:jc w:val="left"/>
      </w:pPr>
      <w:r>
        <w:rPr>
          <w:rFonts w:ascii="Noto Sans Arabic" w:hAnsi="Noto Sans Arabic" w:cs="Noto Sans Arabic"/>
          <w:b w:val="0"/>
          <w:color w:val="22262D"/>
          <w:sz w:val="20"/>
        </w:rPr>
        <w:t>Visible Focus</w:t>
      </w:r>
    </w:p>
    <w:p>
      <w:pPr>
        <w:pStyle w:val="ListBullet"/>
        <w:spacing w:after="80" w:before="0" w:line="276" w:lineRule="auto"/>
        <w:jc w:val="left"/>
      </w:pPr>
      <w:r>
        <w:rPr>
          <w:rFonts w:ascii="Noto Sans Arabic" w:hAnsi="Noto Sans Arabic" w:cs="Noto Sans Arabic"/>
          <w:b w:val="0"/>
          <w:color w:val="22262D"/>
          <w:sz w:val="20"/>
        </w:rPr>
        <w:t>WCAG-aware Contrast</w:t>
      </w:r>
    </w:p>
    <w:p>
      <w:pPr>
        <w:pStyle w:val="ListBullet"/>
        <w:spacing w:after="80" w:before="0" w:line="276" w:lineRule="auto"/>
        <w:jc w:val="left"/>
      </w:pPr>
      <w:r>
        <w:rPr>
          <w:rFonts w:ascii="Noto Sans Arabic" w:hAnsi="Noto Sans Arabic" w:cs="Noto Sans Arabic"/>
          <w:b w:val="0"/>
          <w:color w:val="22262D"/>
          <w:sz w:val="20"/>
        </w:rPr>
        <w:t>Screen Reader Labels</w:t>
      </w:r>
    </w:p>
    <w:p>
      <w:pPr>
        <w:pStyle w:val="ListBullet"/>
        <w:spacing w:after="80" w:before="0" w:line="276" w:lineRule="auto"/>
        <w:jc w:val="left"/>
      </w:pPr>
      <w:r>
        <w:rPr>
          <w:rFonts w:ascii="Noto Sans Arabic" w:hAnsi="Noto Sans Arabic" w:cs="Noto Sans Arabic"/>
          <w:b w:val="0"/>
          <w:color w:val="22262D"/>
          <w:sz w:val="20"/>
        </w:rPr>
        <w:t>Semantic HTML</w:t>
      </w:r>
    </w:p>
    <w:p>
      <w:pPr>
        <w:pStyle w:val="ListBullet"/>
        <w:spacing w:after="80" w:before="0" w:line="276" w:lineRule="auto"/>
        <w:jc w:val="left"/>
      </w:pPr>
      <w:r>
        <w:rPr>
          <w:rFonts w:ascii="Noto Sans Arabic" w:hAnsi="Noto Sans Arabic" w:cs="Noto Sans Arabic"/>
          <w:b w:val="0"/>
          <w:color w:val="22262D"/>
          <w:sz w:val="20"/>
        </w:rPr>
        <w:t>Reduced Motion</w:t>
      </w:r>
    </w:p>
    <w:p>
      <w:pPr>
        <w:pStyle w:val="ListBullet"/>
        <w:spacing w:after="80" w:before="0" w:line="276" w:lineRule="auto"/>
        <w:jc w:val="left"/>
      </w:pPr>
      <w:r>
        <w:rPr>
          <w:rFonts w:ascii="Noto Sans Arabic" w:hAnsi="Noto Sans Arabic" w:cs="Noto Sans Arabic"/>
          <w:b w:val="0"/>
          <w:color w:val="22262D"/>
          <w:sz w:val="20"/>
        </w:rPr>
        <w:t>Status Not Color Only</w:t>
      </w:r>
    </w:p>
    <w:p>
      <w:pPr>
        <w:pStyle w:val="ListBullet"/>
        <w:spacing w:after="80" w:before="0" w:line="276" w:lineRule="auto"/>
        <w:jc w:val="left"/>
      </w:pPr>
      <w:r>
        <w:rPr>
          <w:rFonts w:ascii="Noto Sans Arabic" w:hAnsi="Noto Sans Arabic" w:cs="Noto Sans Arabic"/>
          <w:b w:val="0"/>
          <w:color w:val="22262D"/>
          <w:sz w:val="20"/>
        </w:rPr>
        <w:t>Accessible Charts</w:t>
      </w:r>
    </w:p>
    <w:p>
      <w:pPr>
        <w:pStyle w:val="ListBullet"/>
        <w:spacing w:after="80" w:before="0" w:line="276" w:lineRule="auto"/>
        <w:jc w:val="left"/>
      </w:pPr>
      <w:r>
        <w:rPr>
          <w:rFonts w:ascii="Noto Sans Arabic" w:hAnsi="Noto Sans Arabic" w:cs="Noto Sans Arabic"/>
          <w:b w:val="0"/>
          <w:color w:val="22262D"/>
          <w:sz w:val="20"/>
        </w:rPr>
        <w:t>Accessible Tables</w:t>
      </w:r>
    </w:p>
    <w:p>
      <w:pPr>
        <w:pStyle w:val="ListBullet"/>
        <w:spacing w:after="80" w:before="0" w:line="276" w:lineRule="auto"/>
        <w:jc w:val="left"/>
      </w:pPr>
      <w:r>
        <w:rPr>
          <w:rFonts w:ascii="Noto Sans Arabic" w:hAnsi="Noto Sans Arabic" w:cs="Noto Sans Arabic"/>
          <w:b w:val="0"/>
          <w:color w:val="22262D"/>
          <w:sz w:val="20"/>
        </w:rPr>
        <w:t>Accessible Dialogs</w:t>
      </w:r>
    </w:p>
    <w:p>
      <w:pPr>
        <w:pStyle w:val="ListBullet"/>
        <w:spacing w:after="80" w:before="0" w:line="276" w:lineRule="auto"/>
        <w:jc w:val="left"/>
      </w:pPr>
      <w:r>
        <w:rPr>
          <w:rFonts w:ascii="Noto Sans Arabic" w:hAnsi="Noto Sans Arabic" w:cs="Noto Sans Arabic"/>
          <w:b w:val="0"/>
          <w:color w:val="22262D"/>
          <w:sz w:val="20"/>
        </w:rPr>
        <w:t>RTL/LTR</w:t>
      </w:r>
    </w:p>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49. Responsive Behavior</w:t>
      </w:r>
    </w:p>
    <w:p>
      <w:pPr>
        <w:spacing w:after="80" w:before="0" w:line="276" w:lineRule="auto"/>
        <w:jc w:val="left"/>
      </w:pPr>
      <w:r>
        <w:rPr>
          <w:rFonts w:ascii="Noto Sans Arabic" w:hAnsi="Noto Sans Arabic" w:cs="Noto Sans Arabic"/>
          <w:b w:val="0"/>
          <w:color w:val="22262D"/>
          <w:sz w:val="20"/>
        </w:rPr>
        <w:t>Public:</w:t>
      </w:r>
    </w:p>
    <w:p>
      <w:pPr>
        <w:spacing w:after="80" w:before="0" w:line="276" w:lineRule="auto"/>
        <w:jc w:val="left"/>
      </w:pPr>
      <w:r>
        <w:rPr>
          <w:rFonts w:ascii="Noto Sans Arabic" w:hAnsi="Noto Sans Arabic" w:cs="Noto Sans Arabic"/>
          <w:b/>
          <w:color w:val="22262D"/>
          <w:sz w:val="20"/>
        </w:rPr>
        <w:t>Mobile priority</w:t>
      </w:r>
    </w:p>
    <w:p>
      <w:pPr>
        <w:spacing w:after="80" w:before="0" w:line="276" w:lineRule="auto"/>
        <w:jc w:val="left"/>
      </w:pPr>
      <w:r>
        <w:rPr>
          <w:rFonts w:ascii="Noto Sans Arabic" w:hAnsi="Noto Sans Arabic" w:cs="Noto Sans Arabic"/>
          <w:b w:val="0"/>
          <w:color w:val="22262D"/>
          <w:sz w:val="20"/>
        </w:rPr>
        <w:t>Admin:</w:t>
      </w:r>
    </w:p>
    <w:p>
      <w:pPr>
        <w:spacing w:after="80" w:before="0" w:line="276" w:lineRule="auto"/>
        <w:jc w:val="left"/>
      </w:pPr>
      <w:r>
        <w:rPr>
          <w:rFonts w:ascii="Noto Sans Arabic" w:hAnsi="Noto Sans Arabic" w:cs="Noto Sans Arabic"/>
          <w:b/>
          <w:color w:val="22262D"/>
          <w:sz w:val="20"/>
        </w:rPr>
        <w:t>Desktop analytical priority</w:t>
      </w:r>
    </w:p>
    <w:p>
      <w:pPr>
        <w:spacing w:after="80" w:before="0" w:line="276" w:lineRule="auto"/>
        <w:jc w:val="left"/>
      </w:pPr>
      <w:r>
        <w:rPr>
          <w:rFonts w:ascii="Noto Sans Arabic" w:hAnsi="Noto Sans Arabic" w:cs="Noto Sans Arabic"/>
          <w:b w:val="0"/>
          <w:color w:val="22262D"/>
          <w:sz w:val="20"/>
        </w:rPr>
        <w:t>Tablet:</w:t>
      </w:r>
    </w:p>
    <w:p>
      <w:pPr>
        <w:spacing w:after="80" w:before="0" w:line="276" w:lineRule="auto"/>
        <w:jc w:val="left"/>
      </w:pPr>
      <w:r>
        <w:rPr>
          <w:rFonts w:ascii="Noto Sans Arabic" w:hAnsi="Noto Sans Arabic" w:cs="Noto Sans Arabic"/>
          <w:b/>
          <w:color w:val="22262D"/>
          <w:sz w:val="20"/>
        </w:rPr>
        <w:t>Review mode</w:t>
      </w:r>
    </w:p>
    <w:p>
      <w:pPr>
        <w:spacing w:after="80" w:before="0" w:line="276" w:lineRule="auto"/>
        <w:jc w:val="left"/>
      </w:pPr>
      <w:r>
        <w:rPr>
          <w:rFonts w:ascii="Noto Sans Arabic" w:hAnsi="Noto Sans Arabic" w:cs="Noto Sans Arabic"/>
          <w:b w:val="0"/>
          <w:color w:val="22262D"/>
          <w:sz w:val="20"/>
        </w:rPr>
        <w:t>Admin Mobile:</w:t>
      </w:r>
    </w:p>
    <w:p>
      <w:pPr>
        <w:spacing w:after="80" w:before="0" w:line="276" w:lineRule="auto"/>
        <w:jc w:val="left"/>
      </w:pPr>
      <w:r>
        <w:rPr>
          <w:rFonts w:ascii="Noto Sans Arabic" w:hAnsi="Noto Sans Arabic" w:cs="Noto Sans Arabic"/>
          <w:b/>
          <w:color w:val="22262D"/>
          <w:sz w:val="20"/>
        </w:rPr>
        <w:t>Limited complexity</w:t>
      </w:r>
    </w:p>
    <w:p>
      <w:pPr>
        <w:bidi w:val="1"/>
        <w:spacing w:after="80" w:before="0" w:line="276" w:lineRule="auto"/>
        <w:jc w:val="right"/>
      </w:pPr>
      <w:r>
        <w:rPr>
          <w:rFonts w:ascii="Noto Sans Arabic" w:hAnsi="Noto Sans Arabic" w:cs="Noto Sans Arabic"/>
          <w:b w:val="0"/>
          <w:color w:val="22262D"/>
          <w:sz w:val="20"/>
        </w:rPr>
        <w:t>لا يتم إجبار analytical workspace كثيفة على هاتف إذا أضر ذلك بسلامة المراجعة.</w:t>
      </w:r>
    </w:p>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50. RTL / LTR</w:t>
      </w:r>
    </w:p>
    <w:p>
      <w:pPr>
        <w:spacing w:after="80" w:before="0" w:line="276" w:lineRule="auto"/>
        <w:jc w:val="left"/>
      </w:pPr>
      <w:r>
        <w:rPr>
          <w:rFonts w:ascii="Noto Sans Arabic" w:hAnsi="Noto Sans Arabic" w:cs="Noto Sans Arabic"/>
          <w:b w:val="0"/>
          <w:color w:val="22262D"/>
          <w:sz w:val="20"/>
        </w:rPr>
        <w:t>Arabic:</w:t>
      </w:r>
    </w:p>
    <w:p>
      <w:pPr>
        <w:spacing w:after="80" w:before="0" w:line="276" w:lineRule="auto"/>
        <w:jc w:val="left"/>
      </w:pPr>
      <w:r>
        <w:rPr>
          <w:rFonts w:ascii="DejaVu Sans Mono" w:hAnsi="DejaVu Sans Mono" w:cs="DejaVu Sans Mono"/>
          <w:b w:val="0"/>
          <w:color w:val="8E6D27"/>
          <w:sz w:val="18"/>
        </w:rPr>
        <w:t>lang="ar" dir="rtl"</w:t>
      </w:r>
    </w:p>
    <w:p>
      <w:pPr>
        <w:spacing w:after="80" w:before="0" w:line="276" w:lineRule="auto"/>
        <w:jc w:val="left"/>
      </w:pPr>
      <w:r>
        <w:rPr>
          <w:rFonts w:ascii="Noto Sans Arabic" w:hAnsi="Noto Sans Arabic" w:cs="Noto Sans Arabic"/>
          <w:b w:val="0"/>
          <w:color w:val="22262D"/>
          <w:sz w:val="20"/>
        </w:rPr>
        <w:t>English:</w:t>
      </w:r>
    </w:p>
    <w:p>
      <w:pPr>
        <w:spacing w:after="80" w:before="0" w:line="276" w:lineRule="auto"/>
        <w:jc w:val="left"/>
      </w:pPr>
      <w:r>
        <w:rPr>
          <w:rFonts w:ascii="DejaVu Sans Mono" w:hAnsi="DejaVu Sans Mono" w:cs="DejaVu Sans Mono"/>
          <w:b w:val="0"/>
          <w:color w:val="8E6D27"/>
          <w:sz w:val="18"/>
        </w:rPr>
        <w:t>lang="en" dir="ltr"</w:t>
      </w:r>
    </w:p>
    <w:p>
      <w:pPr>
        <w:spacing w:after="80" w:before="0" w:line="276" w:lineRule="auto"/>
        <w:jc w:val="left"/>
      </w:pPr>
      <w:r>
        <w:rPr>
          <w:rFonts w:ascii="Noto Sans Arabic" w:hAnsi="Noto Sans Arabic" w:cs="Noto Sans Arabic"/>
          <w:b w:val="0"/>
          <w:color w:val="22262D"/>
          <w:sz w:val="20"/>
        </w:rPr>
        <w:t>Code / JSON / technical contracts:</w:t>
      </w:r>
    </w:p>
    <w:p>
      <w:pPr>
        <w:spacing w:after="80" w:before="0" w:line="276" w:lineRule="auto"/>
        <w:jc w:val="left"/>
      </w:pPr>
      <w:r>
        <w:rPr>
          <w:rFonts w:ascii="Noto Sans Arabic" w:hAnsi="Noto Sans Arabic" w:cs="Noto Sans Arabic"/>
          <w:b w:val="0"/>
          <w:color w:val="22262D"/>
          <w:sz w:val="20"/>
        </w:rPr>
        <w:t>LTR.</w:t>
      </w:r>
    </w:p>
    <w:p>
      <w:pPr>
        <w:bidi w:val="1"/>
        <w:spacing w:after="80" w:before="0" w:line="276" w:lineRule="auto"/>
        <w:jc w:val="right"/>
      </w:pPr>
      <w:r>
        <w:rPr>
          <w:rFonts w:ascii="Noto Sans Arabic" w:hAnsi="Noto Sans Arabic" w:cs="Noto Sans Arabic"/>
          <w:b w:val="0"/>
          <w:color w:val="22262D"/>
          <w:sz w:val="20"/>
        </w:rPr>
        <w:t>ويجب أن تكون directionality جزءًا من component system.</w:t>
      </w:r>
    </w:p>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51. Security by Design</w:t>
      </w:r>
    </w:p>
    <w:p>
      <w:pPr>
        <w:bidi w:val="1"/>
        <w:spacing w:after="80" w:before="0" w:line="276" w:lineRule="auto"/>
        <w:jc w:val="right"/>
      </w:pPr>
      <w:r>
        <w:rPr>
          <w:rFonts w:ascii="Noto Sans Arabic" w:hAnsi="Noto Sans Arabic" w:cs="Noto Sans Arabic"/>
          <w:b w:val="0"/>
          <w:color w:val="22262D"/>
          <w:sz w:val="20"/>
        </w:rPr>
        <w:t>الحماية لا تعتمد على:</w:t>
      </w:r>
    </w:p>
    <w:p>
      <w:pPr>
        <w:spacing w:after="80" w:before="0" w:line="276" w:lineRule="auto"/>
        <w:jc w:val="left"/>
      </w:pPr>
      <w:r>
        <w:rPr>
          <w:rFonts w:ascii="DejaVu Sans Mono" w:hAnsi="DejaVu Sans Mono" w:cs="DejaVu Sans Mono"/>
          <w:b w:val="0"/>
          <w:color w:val="8E6D27"/>
          <w:sz w:val="18"/>
        </w:rPr>
        <w:t>display:none</w:t>
      </w:r>
    </w:p>
    <w:p>
      <w:pPr>
        <w:bidi w:val="1"/>
        <w:spacing w:after="80" w:before="0" w:line="276" w:lineRule="auto"/>
        <w:jc w:val="right"/>
      </w:pPr>
      <w:r>
        <w:rPr>
          <w:rFonts w:ascii="Noto Sans Arabic" w:hAnsi="Noto Sans Arabic" w:cs="Noto Sans Arabic"/>
          <w:b w:val="0"/>
          <w:color w:val="22262D"/>
          <w:sz w:val="20"/>
        </w:rPr>
        <w:t>ولا conditional rendering وحده.</w:t>
      </w:r>
    </w:p>
    <w:p>
      <w:pPr>
        <w:bidi w:val="1"/>
        <w:spacing w:after="80" w:before="0" w:line="276" w:lineRule="auto"/>
        <w:jc w:val="right"/>
      </w:pPr>
      <w:r>
        <w:rPr>
          <w:rFonts w:ascii="Noto Sans Arabic" w:hAnsi="Noto Sans Arabic" w:cs="Noto Sans Arabic"/>
          <w:b w:val="0"/>
          <w:color w:val="22262D"/>
          <w:sz w:val="20"/>
        </w:rPr>
        <w:t>بل على:</w:t>
      </w:r>
    </w:p>
    <w:tbl>
      <w:tblPr>
        <w:tblW w:type="auto" w:w="0"/>
        <w:jc w:val="center"/>
        <w:tblLayout w:type="fixed"/>
        <w:tblLook w:firstColumn="1" w:firstRow="1" w:lastColumn="0" w:lastRow="0" w:noHBand="0" w:noVBand="1" w:val="04A0"/>
      </w:tblPr>
      <w:tblGrid>
        <w:gridCol w:w="9866"/>
      </w:tblGrid>
      <w:tr>
        <w:tc>
          <w:tcPr>
            <w:tcW w:type="dxa" w:w="9866"/>
            <w:shd w:fill="F1F3F5"/>
            <w:tcMar>
              <w:top w:w="90" w:type="dxa"/>
              <w:start w:w="100" w:type="dxa"/>
              <w:bottom w:w="90" w:type="dxa"/>
              <w:end w:w="100" w:type="dxa"/>
            </w:tcMar>
          </w:tcPr>
          <w:p>
            <w:pPr>
              <w:spacing w:after="0" w:line="228" w:lineRule="auto"/>
              <w:jc w:val="left"/>
            </w:pPr>
            <w:r>
              <w:rPr>
                <w:rFonts w:ascii="DejaVu Sans Mono" w:hAnsi="DejaVu Sans Mono" w:cs="DejaVu Sans Mono"/>
                <w:b w:val="0"/>
                <w:color w:val="30343B"/>
                <w:sz w:val="12"/>
              </w:rPr>
              <w:t>Feature Registry</w:t>
              <w:br/>
              <w:t>+ Route Boundary</w:t>
              <w:br/>
              <w:t>+ API Boundary</w:t>
              <w:br/>
              <w:t>+ Authentication</w:t>
              <w:br/>
              <w:t>+ Authorization</w:t>
              <w:br/>
              <w:t>+ RBAC</w:t>
              <w:br/>
              <w:t>+ Exposure Registry</w:t>
              <w:br/>
              <w:t>+ Governance</w:t>
              <w:br/>
              <w:t>+ Tests</w:t>
            </w:r>
          </w:p>
        </w:tc>
      </w:tr>
    </w:tbl>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52. Public vs Admin/Review Exposure</w:t>
      </w:r>
    </w:p>
    <w:tbl>
      <w:tblPr>
        <w:tblW w:type="auto" w:w="0"/>
        <w:jc w:val="center"/>
        <w:tblLayout w:type="fixed"/>
        <w:tblLook w:firstColumn="1" w:firstRow="1" w:lastColumn="0" w:lastRow="0" w:noHBand="0" w:noVBand="1" w:val="04A0"/>
      </w:tblPr>
      <w:tblGrid>
        <w:gridCol w:w="9866"/>
      </w:tblGrid>
      <w:tr>
        <w:tc>
          <w:tcPr>
            <w:tcW w:type="dxa" w:w="9866"/>
            <w:shd w:fill="F1F3F5"/>
            <w:tcMar>
              <w:top w:w="90" w:type="dxa"/>
              <w:start w:w="100" w:type="dxa"/>
              <w:bottom w:w="90" w:type="dxa"/>
              <w:end w:w="100" w:type="dxa"/>
            </w:tcMar>
          </w:tcPr>
          <w:p>
            <w:pPr>
              <w:spacing w:after="0" w:line="228" w:lineRule="auto"/>
              <w:jc w:val="left"/>
            </w:pPr>
            <w:r>
              <w:rPr>
                <w:rFonts w:ascii="DejaVu Sans Mono" w:hAnsi="DejaVu Sans Mono" w:cs="DejaVu Sans Mono"/>
                <w:b w:val="0"/>
                <w:color w:val="30343B"/>
                <w:sz w:val="12"/>
              </w:rPr>
              <w:t>PUBLIC</w:t>
              <w:br/>
              <w:t>────────────────────────────</w:t>
              <w:br/>
              <w:t>CORE Public Projection</w:t>
              <w:br/>
              <w:t>Market Context</w:t>
              <w:br/>
              <w:t>Public Evidence</w:t>
              <w:br/>
              <w:t>Public Explainability</w:t>
              <w:br/>
              <w:t>Methodology</w:t>
              <w:br/>
              <w:t>Account</w:t>
              <w:br/>
              <w:t>────────────────────────────</w:t>
              <w:br/>
              <w:t>AUTHORIZATION / GOVERNANCE</w:t>
              <w:br/>
              <w:t>BOUNDARY</w:t>
              <w:br/>
              <w:t>────────────────────────────</w:t>
              <w:br/>
              <w:t>ADMIN / REVIEW</w:t>
              <w:br/>
              <w:t>Data Intelligence</w:t>
              <w:br/>
              <w:t>Market Intelligence</w:t>
              <w:br/>
              <w:t>Institutional Intelligence</w:t>
              <w:br/>
              <w:t>Theory Lab</w:t>
              <w:br/>
              <w:t>TDL</w:t>
              <w:br/>
              <w:t>Scenarios</w:t>
              <w:br/>
              <w:t>NMP</w:t>
              <w:br/>
              <w:t>Golden</w:t>
              <w:br/>
              <w:t>CORE Review</w:t>
              <w:br/>
              <w:t>Decision Intelligence</w:t>
              <w:br/>
              <w:t>Scoring</w:t>
              <w:br/>
              <w:t>Governance</w:t>
              <w:br/>
              <w:t>Shadow / Review</w:t>
              <w:br/>
              <w:t>Capability Matrix</w:t>
              <w:br/>
              <w:t>Explainability Explorer</w:t>
              <w:br/>
              <w:t>Operations &amp; Security</w:t>
              <w:br/>
              <w:t>────────────────────────────</w:t>
            </w:r>
          </w:p>
        </w:tc>
      </w:tr>
    </w:tbl>
    <w:p>
      <w:pPr>
        <w:pBdr>
          <w:bottom w:val="single" w:sz="8" w:space="1" w:color="B8953F"/>
        </w:pBdr>
        <w:spacing w:after="100"/>
      </w:pPr>
    </w:p>
    <w:p>
      <w:pPr>
        <w:sectPr>
          <w:pgSz w:w="11906" w:h="16838"/>
          <w:pgMar w:top="964" w:right="1020" w:bottom="964" w:left="1020" w:header="720" w:footer="720" w:gutter="0"/>
          <w:cols w:space="720"/>
          <w:titlePg/>
          <w:docGrid w:linePitch="360"/>
        </w:sectPr>
      </w:pPr>
    </w:p>
    <w:p>
      <w:pPr>
        <w:spacing w:after="120"/>
        <w:jc w:val="center"/>
      </w:pPr>
      <w:r>
        <w:rPr>
          <w:rFonts w:ascii="Noto Kufi Arabic" w:hAnsi="Noto Kufi Arabic" w:cs="Noto Kufi Arabic"/>
          <w:b/>
          <w:color w:val="8E6D27"/>
          <w:sz w:val="26"/>
        </w:rPr>
        <w:t>Figure UI-03 — NDSP Public vs Admin/Review Exposure Architecture</w:t>
      </w:r>
    </w:p>
    <w:p>
      <w:pPr>
        <w:jc w:val="center"/>
      </w:pPr>
      <w:r>
        <w:drawing>
          <wp:inline xmlns:a="http://schemas.openxmlformats.org/drawingml/2006/main" xmlns:pic="http://schemas.openxmlformats.org/drawingml/2006/picture">
            <wp:extent cx="9631959" cy="1476775"/>
            <wp:docPr id="3" name="Picture 3" title="Figure UI-03 — NDSP Public vs Admin/Review Exposure Architecture" descr="مرجع بصري للفصل بين Public وAdmin/Review، RBAC/Authorization، CORE Public Projection، ومنع وصول الواجهات مباشرة إلى قواعد البيانات الداخلية."/>
            <wp:cNvGraphicFramePr>
              <a:graphicFrameLocks noChangeAspect="1"/>
            </wp:cNvGraphicFramePr>
            <a:graphic>
              <a:graphicData uri="http://schemas.openxmlformats.org/drawingml/2006/picture">
                <pic:pic>
                  <pic:nvPicPr>
                    <pic:cNvPr id="0" name="22222222222222222222222222222222222222222222222222222222(1).png"/>
                    <pic:cNvPicPr/>
                  </pic:nvPicPr>
                  <pic:blipFill>
                    <a:blip r:embed="rId15"/>
                    <a:stretch>
                      <a:fillRect/>
                    </a:stretch>
                  </pic:blipFill>
                  <pic:spPr>
                    <a:xfrm>
                      <a:off x="0" y="0"/>
                      <a:ext cx="9631959" cy="1476775"/>
                    </a:xfrm>
                    <a:prstGeom prst="rect"/>
                  </pic:spPr>
                </pic:pic>
              </a:graphicData>
            </a:graphic>
          </wp:inline>
        </w:drawing>
      </w:r>
    </w:p>
    <w:p>
      <w:pPr>
        <w:spacing w:before="80"/>
        <w:jc w:val="right"/>
        <w:bidi w:val="1"/>
      </w:pPr>
      <w:r>
        <w:rPr>
          <w:rFonts w:ascii="Noto Sans Arabic" w:hAnsi="Noto Sans Arabic" w:cs="Noto Sans Arabic"/>
          <w:b w:val="0"/>
          <w:color w:val="5E6673"/>
          <w:sz w:val="17"/>
        </w:rPr>
        <w:t>مرجع بصري للفصل بين Public وAdmin/Review، RBAC/Authorization، CORE Public Projection، ومنع وصول الواجهات مباشرة إلى قواعد البيانات الداخلية.</w:t>
      </w:r>
    </w:p>
    <w:p>
      <w:pPr>
        <w:sectPr>
          <w:pgSz w:w="16838" w:h="11906" w:orient="landscape"/>
          <w:pgMar w:top="680" w:right="680" w:bottom="680" w:left="680" w:header="720" w:footer="720" w:gutter="0"/>
          <w:cols w:space="720"/>
          <w:titlePg/>
          <w:docGrid w:linePitch="360"/>
        </w:sectPr>
      </w:pPr>
    </w:p>
    <w:p>
      <w:pPr>
        <w:pStyle w:val="Heading1"/>
        <w:keepNext/>
        <w:bidi w:val="1"/>
        <w:spacing w:before="240" w:after="100"/>
        <w:jc w:val="right"/>
      </w:pPr>
      <w:r>
        <w:rPr>
          <w:rFonts w:ascii="Noto Kufi Arabic" w:hAnsi="Noto Kufi Arabic" w:cs="Noto Kufi Arabic"/>
          <w:b/>
          <w:color w:val="8E6D27"/>
          <w:sz w:val="36"/>
        </w:rPr>
        <w:t>53. الصور المرجعية المعتمدة</w:t>
      </w:r>
    </w:p>
    <w:p>
      <w:pPr>
        <w:bidi w:val="1"/>
        <w:spacing w:after="80" w:before="0" w:line="276" w:lineRule="auto"/>
        <w:jc w:val="right"/>
      </w:pPr>
      <w:r>
        <w:rPr>
          <w:rFonts w:ascii="Noto Sans Arabic" w:hAnsi="Noto Sans Arabic" w:cs="Noto Sans Arabic"/>
          <w:b w:val="0"/>
          <w:color w:val="22262D"/>
          <w:sz w:val="20"/>
        </w:rPr>
        <w:t>يتم إدراج الصور الثلاث المرفقة في التقرير كما يلي:</w:t>
      </w:r>
    </w:p>
    <w:p>
      <w:pPr>
        <w:pStyle w:val="Heading2"/>
        <w:keepNext/>
        <w:spacing w:before="160" w:after="100"/>
        <w:jc w:val="left"/>
      </w:pPr>
      <w:r>
        <w:rPr>
          <w:rFonts w:ascii="Noto Kufi Arabic" w:hAnsi="Noto Kufi Arabic" w:cs="Noto Kufi Arabic"/>
          <w:b/>
          <w:color w:val="22262D"/>
          <w:sz w:val="28"/>
        </w:rPr>
        <w:t>Figure UI-01 — NDSP Visual Design System Mindmap</w:t>
      </w:r>
    </w:p>
    <w:p>
      <w:pPr>
        <w:bidi w:val="1"/>
        <w:spacing w:after="80" w:before="0" w:line="276" w:lineRule="auto"/>
        <w:jc w:val="right"/>
      </w:pPr>
      <w:r>
        <w:rPr>
          <w:rFonts w:ascii="Noto Sans Arabic" w:hAnsi="Noto Sans Arabic" w:cs="Noto Sans Arabic"/>
          <w:b/>
          <w:color w:val="22262D"/>
          <w:sz w:val="20"/>
        </w:rPr>
        <w:t>الصورة:</w:t>
      </w:r>
    </w:p>
    <w:p>
      <w:pPr>
        <w:spacing w:after="80" w:before="0" w:line="276" w:lineRule="auto"/>
        <w:jc w:val="left"/>
      </w:pPr>
      <w:r>
        <w:rPr>
          <w:rFonts w:ascii="DejaVu Sans Mono" w:hAnsi="DejaVu Sans Mono" w:cs="DejaVu Sans Mono"/>
          <w:b w:val="0"/>
          <w:color w:val="8E6D27"/>
          <w:sz w:val="18"/>
        </w:rPr>
        <w:t>888888888888888888888888888888888888888888888888888888888888.png</w:t>
      </w:r>
    </w:p>
    <w:p>
      <w:pPr>
        <w:bidi w:val="1"/>
        <w:spacing w:after="80" w:before="0" w:line="276" w:lineRule="auto"/>
        <w:jc w:val="right"/>
      </w:pPr>
      <w:r>
        <w:rPr>
          <w:rFonts w:ascii="Noto Sans Arabic" w:hAnsi="Noto Sans Arabic" w:cs="Noto Sans Arabic"/>
          <w:b w:val="0"/>
          <w:color w:val="22262D"/>
          <w:sz w:val="20"/>
        </w:rPr>
        <w:t>توضع بعد قسم:</w:t>
      </w:r>
    </w:p>
    <w:p>
      <w:pPr>
        <w:spacing w:after="80" w:before="0" w:line="276" w:lineRule="auto"/>
        <w:jc w:val="left"/>
      </w:pPr>
      <w:r>
        <w:rPr>
          <w:rFonts w:ascii="Noto Sans Arabic" w:hAnsi="Noto Sans Arabic" w:cs="Noto Sans Arabic"/>
          <w:b/>
          <w:color w:val="22262D"/>
          <w:sz w:val="20"/>
        </w:rPr>
        <w:t>Visual Design System</w:t>
      </w:r>
    </w:p>
    <w:p>
      <w:pPr>
        <w:bidi w:val="1"/>
        <w:spacing w:after="80" w:before="0" w:line="276" w:lineRule="auto"/>
        <w:jc w:val="right"/>
      </w:pPr>
      <w:r>
        <w:rPr>
          <w:rFonts w:ascii="Noto Sans Arabic" w:hAnsi="Noto Sans Arabic" w:cs="Noto Sans Arabic"/>
          <w:b w:val="0"/>
          <w:color w:val="22262D"/>
          <w:sz w:val="20"/>
        </w:rPr>
        <w:t>وتمثل:</w:t>
      </w:r>
    </w:p>
    <w:p>
      <w:pPr>
        <w:pStyle w:val="ListBullet"/>
        <w:spacing w:after="80" w:before="0" w:line="276" w:lineRule="auto"/>
        <w:jc w:val="left"/>
      </w:pPr>
      <w:r>
        <w:rPr>
          <w:rFonts w:ascii="Noto Sans Arabic" w:hAnsi="Noto Sans Arabic" w:cs="Noto Sans Arabic"/>
          <w:b w:val="0"/>
          <w:color w:val="22262D"/>
          <w:sz w:val="20"/>
        </w:rPr>
        <w:t>Color System</w:t>
      </w:r>
    </w:p>
    <w:p>
      <w:pPr>
        <w:pStyle w:val="ListBullet"/>
        <w:spacing w:after="80" w:before="0" w:line="276" w:lineRule="auto"/>
        <w:jc w:val="left"/>
      </w:pPr>
      <w:r>
        <w:rPr>
          <w:rFonts w:ascii="Noto Sans Arabic" w:hAnsi="Noto Sans Arabic" w:cs="Noto Sans Arabic"/>
          <w:b w:val="0"/>
          <w:color w:val="22262D"/>
          <w:sz w:val="20"/>
        </w:rPr>
        <w:t>Typography</w:t>
      </w:r>
    </w:p>
    <w:p>
      <w:pPr>
        <w:pStyle w:val="ListBullet"/>
        <w:spacing w:after="80" w:before="0" w:line="276" w:lineRule="auto"/>
        <w:jc w:val="left"/>
      </w:pPr>
      <w:r>
        <w:rPr>
          <w:rFonts w:ascii="Noto Sans Arabic" w:hAnsi="Noto Sans Arabic" w:cs="Noto Sans Arabic"/>
          <w:b w:val="0"/>
          <w:color w:val="22262D"/>
          <w:sz w:val="20"/>
        </w:rPr>
        <w:t>Grid</w:t>
      </w:r>
    </w:p>
    <w:p>
      <w:pPr>
        <w:pStyle w:val="ListBullet"/>
        <w:spacing w:after="80" w:before="0" w:line="276" w:lineRule="auto"/>
        <w:jc w:val="left"/>
      </w:pPr>
      <w:r>
        <w:rPr>
          <w:rFonts w:ascii="Noto Sans Arabic" w:hAnsi="Noto Sans Arabic" w:cs="Noto Sans Arabic"/>
          <w:b w:val="0"/>
          <w:color w:val="22262D"/>
          <w:sz w:val="20"/>
        </w:rPr>
        <w:t>Spacing</w:t>
      </w:r>
    </w:p>
    <w:p>
      <w:pPr>
        <w:pStyle w:val="ListBullet"/>
        <w:spacing w:after="80" w:before="0" w:line="276" w:lineRule="auto"/>
        <w:jc w:val="left"/>
      </w:pPr>
      <w:r>
        <w:rPr>
          <w:rFonts w:ascii="Noto Sans Arabic" w:hAnsi="Noto Sans Arabic" w:cs="Noto Sans Arabic"/>
          <w:b w:val="0"/>
          <w:color w:val="22262D"/>
          <w:sz w:val="20"/>
        </w:rPr>
        <w:t>Motion</w:t>
      </w:r>
    </w:p>
    <w:p>
      <w:pPr>
        <w:pStyle w:val="ListBullet"/>
        <w:spacing w:after="80" w:before="0" w:line="276" w:lineRule="auto"/>
        <w:jc w:val="left"/>
      </w:pPr>
      <w:r>
        <w:rPr>
          <w:rFonts w:ascii="Noto Sans Arabic" w:hAnsi="Noto Sans Arabic" w:cs="Noto Sans Arabic"/>
          <w:b w:val="0"/>
          <w:color w:val="22262D"/>
          <w:sz w:val="20"/>
        </w:rPr>
        <w:t>Public Experience</w:t>
      </w:r>
    </w:p>
    <w:p>
      <w:pPr>
        <w:pStyle w:val="ListBullet"/>
        <w:spacing w:after="80" w:before="0" w:line="276" w:lineRule="auto"/>
        <w:jc w:val="left"/>
      </w:pPr>
      <w:r>
        <w:rPr>
          <w:rFonts w:ascii="Noto Sans Arabic" w:hAnsi="Noto Sans Arabic" w:cs="Noto Sans Arabic"/>
          <w:b w:val="0"/>
          <w:color w:val="22262D"/>
          <w:sz w:val="20"/>
        </w:rPr>
        <w:t>Admin Review Experience</w:t>
      </w:r>
    </w:p>
    <w:p>
      <w:pPr>
        <w:pStyle w:val="ListBullet"/>
        <w:spacing w:after="80" w:before="0" w:line="276" w:lineRule="auto"/>
        <w:jc w:val="left"/>
      </w:pPr>
      <w:r>
        <w:rPr>
          <w:rFonts w:ascii="Noto Sans Arabic" w:hAnsi="Noto Sans Arabic" w:cs="Noto Sans Arabic"/>
          <w:b w:val="0"/>
          <w:color w:val="22262D"/>
          <w:sz w:val="20"/>
        </w:rPr>
        <w:t>Guardrails</w:t>
      </w:r>
    </w:p>
    <w:p>
      <w:pPr>
        <w:pStyle w:val="ListBullet"/>
        <w:spacing w:after="80" w:before="0" w:line="276" w:lineRule="auto"/>
        <w:jc w:val="left"/>
      </w:pPr>
      <w:r>
        <w:rPr>
          <w:rFonts w:ascii="Noto Sans Arabic" w:hAnsi="Noto Sans Arabic" w:cs="Noto Sans Arabic"/>
          <w:b w:val="0"/>
          <w:color w:val="22262D"/>
          <w:sz w:val="20"/>
        </w:rPr>
        <w:t>Components</w:t>
      </w:r>
    </w:p>
    <w:p>
      <w:pPr>
        <w:pStyle w:val="ListBullet"/>
        <w:spacing w:after="80" w:before="0" w:line="276" w:lineRule="auto"/>
        <w:jc w:val="left"/>
      </w:pPr>
      <w:r>
        <w:rPr>
          <w:rFonts w:ascii="Noto Sans Arabic" w:hAnsi="Noto Sans Arabic" w:cs="Noto Sans Arabic"/>
          <w:b w:val="0"/>
          <w:color w:val="22262D"/>
          <w:sz w:val="20"/>
        </w:rPr>
        <w:t>Accessibility</w:t>
      </w:r>
    </w:p>
    <w:p>
      <w:pPr>
        <w:pStyle w:val="ListBullet"/>
        <w:spacing w:after="80" w:before="0" w:line="276" w:lineRule="auto"/>
        <w:jc w:val="left"/>
      </w:pPr>
      <w:r>
        <w:rPr>
          <w:rFonts w:ascii="Noto Sans Arabic" w:hAnsi="Noto Sans Arabic" w:cs="Noto Sans Arabic"/>
          <w:b w:val="0"/>
          <w:color w:val="22262D"/>
          <w:sz w:val="20"/>
        </w:rPr>
        <w:t>Responsive Behavior</w:t>
      </w:r>
    </w:p>
    <w:p>
      <w:pPr>
        <w:pStyle w:val="ListBullet"/>
        <w:spacing w:after="80" w:before="0" w:line="276" w:lineRule="auto"/>
        <w:jc w:val="left"/>
      </w:pPr>
      <w:r>
        <w:rPr>
          <w:rFonts w:ascii="Noto Sans Arabic" w:hAnsi="Noto Sans Arabic" w:cs="Noto Sans Arabic"/>
          <w:b w:val="0"/>
          <w:color w:val="22262D"/>
          <w:sz w:val="20"/>
        </w:rPr>
        <w:t>System States</w:t>
      </w:r>
    </w:p>
    <w:p>
      <w:pPr>
        <w:bidi w:val="1"/>
        <w:spacing w:after="80" w:before="0" w:line="276" w:lineRule="auto"/>
        <w:jc w:val="right"/>
      </w:pPr>
      <w:r>
        <w:rPr>
          <w:rFonts w:ascii="Noto Sans Arabic" w:hAnsi="Noto Sans Arabic" w:cs="Noto Sans Arabic"/>
          <w:b w:val="0"/>
          <w:color w:val="22262D"/>
          <w:sz w:val="20"/>
        </w:rPr>
        <w:t>ويجب التعامل معها كـ:</w:t>
      </w:r>
    </w:p>
    <w:p>
      <w:pPr>
        <w:spacing w:after="80" w:before="0" w:line="276" w:lineRule="auto"/>
        <w:jc w:val="left"/>
      </w:pPr>
      <w:r>
        <w:rPr>
          <w:rFonts w:ascii="Noto Sans Arabic" w:hAnsi="Noto Sans Arabic" w:cs="Noto Sans Arabic"/>
          <w:b/>
          <w:color w:val="22262D"/>
          <w:sz w:val="20"/>
        </w:rPr>
        <w:t>Visual Design Reference</w:t>
      </w:r>
    </w:p>
    <w:p>
      <w:pPr>
        <w:bidi w:val="1"/>
        <w:spacing w:after="80" w:before="0" w:line="276" w:lineRule="auto"/>
        <w:jc w:val="right"/>
      </w:pPr>
      <w:r>
        <w:rPr>
          <w:rFonts w:ascii="Noto Sans Arabic" w:hAnsi="Noto Sans Arabic" w:cs="Noto Sans Arabic"/>
          <w:b w:val="0"/>
          <w:color w:val="22262D"/>
          <w:sz w:val="20"/>
        </w:rPr>
        <w:t>وليس backend architecture.</w:t>
      </w:r>
    </w:p>
    <w:p>
      <w:pPr>
        <w:pBdr>
          <w:bottom w:val="single" w:sz="8" w:space="1" w:color="B8953F"/>
        </w:pBdr>
        <w:spacing w:after="100"/>
      </w:pPr>
    </w:p>
    <w:p>
      <w:pPr>
        <w:pStyle w:val="Heading2"/>
        <w:keepNext/>
        <w:spacing w:before="160" w:after="100"/>
        <w:jc w:val="left"/>
      </w:pPr>
      <w:r>
        <w:rPr>
          <w:rFonts w:ascii="Noto Kufi Arabic" w:hAnsi="Noto Kufi Arabic" w:cs="Noto Kufi Arabic"/>
          <w:b/>
          <w:color w:val="22262D"/>
          <w:sz w:val="28"/>
        </w:rPr>
        <w:t>Figure UI-02 — NDSP UI/UX Information Architecture Mindmap</w:t>
      </w:r>
    </w:p>
    <w:p>
      <w:pPr>
        <w:bidi w:val="1"/>
        <w:spacing w:after="80" w:before="0" w:line="276" w:lineRule="auto"/>
        <w:jc w:val="right"/>
      </w:pPr>
      <w:r>
        <w:rPr>
          <w:rFonts w:ascii="Noto Sans Arabic" w:hAnsi="Noto Sans Arabic" w:cs="Noto Sans Arabic"/>
          <w:b/>
          <w:color w:val="22262D"/>
          <w:sz w:val="20"/>
        </w:rPr>
        <w:t>الصورة:</w:t>
      </w:r>
    </w:p>
    <w:p>
      <w:pPr>
        <w:spacing w:after="80" w:before="0" w:line="276" w:lineRule="auto"/>
        <w:jc w:val="left"/>
      </w:pPr>
      <w:r>
        <w:rPr>
          <w:rFonts w:ascii="DejaVu Sans Mono" w:hAnsi="DejaVu Sans Mono" w:cs="DejaVu Sans Mono"/>
          <w:b w:val="0"/>
          <w:color w:val="8E6D27"/>
          <w:sz w:val="18"/>
        </w:rPr>
        <w:t>111111111111111111111111111111111111111111111111111111111111111111111111111111.png</w:t>
      </w:r>
    </w:p>
    <w:p>
      <w:pPr>
        <w:bidi w:val="1"/>
        <w:spacing w:after="80" w:before="0" w:line="276" w:lineRule="auto"/>
        <w:jc w:val="right"/>
      </w:pPr>
      <w:r>
        <w:rPr>
          <w:rFonts w:ascii="Noto Sans Arabic" w:hAnsi="Noto Sans Arabic" w:cs="Noto Sans Arabic"/>
          <w:b w:val="0"/>
          <w:color w:val="22262D"/>
          <w:sz w:val="20"/>
        </w:rPr>
        <w:t>توضع بعد قسم:</w:t>
      </w:r>
    </w:p>
    <w:p>
      <w:pPr>
        <w:spacing w:after="80" w:before="0" w:line="276" w:lineRule="auto"/>
        <w:jc w:val="left"/>
      </w:pPr>
      <w:r>
        <w:rPr>
          <w:rFonts w:ascii="Noto Sans Arabic" w:hAnsi="Noto Sans Arabic" w:cs="Noto Sans Arabic"/>
          <w:b/>
          <w:color w:val="22262D"/>
          <w:sz w:val="20"/>
        </w:rPr>
        <w:t>UI/UX Information Architecture</w:t>
      </w:r>
    </w:p>
    <w:p>
      <w:pPr>
        <w:bidi w:val="1"/>
        <w:spacing w:after="80" w:before="0" w:line="276" w:lineRule="auto"/>
        <w:jc w:val="right"/>
      </w:pPr>
      <w:r>
        <w:rPr>
          <w:rFonts w:ascii="Noto Sans Arabic" w:hAnsi="Noto Sans Arabic" w:cs="Noto Sans Arabic"/>
          <w:b w:val="0"/>
          <w:color w:val="22262D"/>
          <w:sz w:val="20"/>
        </w:rPr>
        <w:t>وتمثل:</w:t>
      </w:r>
    </w:p>
    <w:p>
      <w:pPr>
        <w:pStyle w:val="ListBullet"/>
        <w:spacing w:after="80" w:before="0" w:line="276" w:lineRule="auto"/>
        <w:jc w:val="left"/>
      </w:pPr>
      <w:r>
        <w:rPr>
          <w:rFonts w:ascii="Noto Sans Arabic" w:hAnsi="Noto Sans Arabic" w:cs="Noto Sans Arabic"/>
          <w:b w:val="0"/>
          <w:color w:val="22262D"/>
          <w:sz w:val="20"/>
        </w:rPr>
        <w:t>Public Experience</w:t>
      </w:r>
    </w:p>
    <w:p>
      <w:pPr>
        <w:pStyle w:val="ListBullet"/>
        <w:spacing w:after="80" w:before="0" w:line="276" w:lineRule="auto"/>
        <w:jc w:val="left"/>
      </w:pPr>
      <w:r>
        <w:rPr>
          <w:rFonts w:ascii="Noto Sans Arabic" w:hAnsi="Noto Sans Arabic" w:cs="Noto Sans Arabic"/>
          <w:b w:val="0"/>
          <w:color w:val="22262D"/>
          <w:sz w:val="20"/>
        </w:rPr>
        <w:t>Public User Workspace</w:t>
      </w:r>
    </w:p>
    <w:p>
      <w:pPr>
        <w:pStyle w:val="ListBullet"/>
        <w:spacing w:after="80" w:before="0" w:line="276" w:lineRule="auto"/>
        <w:jc w:val="left"/>
      </w:pPr>
      <w:r>
        <w:rPr>
          <w:rFonts w:ascii="Noto Sans Arabic" w:hAnsi="Noto Sans Arabic" w:cs="Noto Sans Arabic"/>
          <w:b w:val="0"/>
          <w:color w:val="22262D"/>
          <w:sz w:val="20"/>
        </w:rPr>
        <w:t>Public Detail Pages</w:t>
      </w:r>
    </w:p>
    <w:p>
      <w:pPr>
        <w:pStyle w:val="ListBullet"/>
        <w:spacing w:after="80" w:before="0" w:line="276" w:lineRule="auto"/>
        <w:jc w:val="left"/>
      </w:pPr>
      <w:r>
        <w:rPr>
          <w:rFonts w:ascii="Noto Sans Arabic" w:hAnsi="Noto Sans Arabic" w:cs="Noto Sans Arabic"/>
          <w:b w:val="0"/>
          <w:color w:val="22262D"/>
          <w:sz w:val="20"/>
        </w:rPr>
        <w:t>Public Guardrails</w:t>
      </w:r>
    </w:p>
    <w:p>
      <w:pPr>
        <w:pStyle w:val="ListBullet"/>
        <w:spacing w:after="80" w:before="0" w:line="276" w:lineRule="auto"/>
        <w:jc w:val="left"/>
      </w:pPr>
      <w:r>
        <w:rPr>
          <w:rFonts w:ascii="Noto Sans Arabic" w:hAnsi="Noto Sans Arabic" w:cs="Noto Sans Arabic"/>
          <w:b w:val="0"/>
          <w:color w:val="22262D"/>
          <w:sz w:val="20"/>
        </w:rPr>
        <w:t>Admin Review Experience</w:t>
      </w:r>
    </w:p>
    <w:p>
      <w:pPr>
        <w:pStyle w:val="ListBullet"/>
        <w:spacing w:after="80" w:before="0" w:line="276" w:lineRule="auto"/>
        <w:jc w:val="left"/>
      </w:pPr>
      <w:r>
        <w:rPr>
          <w:rFonts w:ascii="Noto Sans Arabic" w:hAnsi="Noto Sans Arabic" w:cs="Noto Sans Arabic"/>
          <w:b w:val="0"/>
          <w:color w:val="22262D"/>
          <w:sz w:val="20"/>
        </w:rPr>
        <w:t>Domain Workspaces</w:t>
      </w:r>
    </w:p>
    <w:p>
      <w:pPr>
        <w:pStyle w:val="ListBullet"/>
        <w:spacing w:after="80" w:before="0" w:line="276" w:lineRule="auto"/>
        <w:jc w:val="left"/>
      </w:pPr>
      <w:r>
        <w:rPr>
          <w:rFonts w:ascii="Noto Sans Arabic" w:hAnsi="Noto Sans Arabic" w:cs="Noto Sans Arabic"/>
          <w:b w:val="0"/>
          <w:color w:val="22262D"/>
          <w:sz w:val="20"/>
        </w:rPr>
        <w:t>Governance Center</w:t>
      </w:r>
    </w:p>
    <w:p>
      <w:pPr>
        <w:pStyle w:val="ListBullet"/>
        <w:spacing w:after="80" w:before="0" w:line="276" w:lineRule="auto"/>
        <w:jc w:val="left"/>
      </w:pPr>
      <w:r>
        <w:rPr>
          <w:rFonts w:ascii="Noto Sans Arabic" w:hAnsi="Noto Sans Arabic" w:cs="Noto Sans Arabic"/>
          <w:b w:val="0"/>
          <w:color w:val="22262D"/>
          <w:sz w:val="20"/>
        </w:rPr>
        <w:t>Decision Intelligence</w:t>
      </w:r>
    </w:p>
    <w:p>
      <w:pPr>
        <w:pStyle w:val="ListBullet"/>
        <w:spacing w:after="80" w:before="0" w:line="276" w:lineRule="auto"/>
        <w:jc w:val="left"/>
      </w:pPr>
      <w:r>
        <w:rPr>
          <w:rFonts w:ascii="Noto Sans Arabic" w:hAnsi="Noto Sans Arabic" w:cs="Noto Sans Arabic"/>
          <w:b w:val="0"/>
          <w:color w:val="22262D"/>
          <w:sz w:val="20"/>
        </w:rPr>
        <w:t>Scoring</w:t>
      </w:r>
    </w:p>
    <w:p>
      <w:pPr>
        <w:pStyle w:val="ListBullet"/>
        <w:spacing w:after="80" w:before="0" w:line="276" w:lineRule="auto"/>
        <w:jc w:val="left"/>
      </w:pPr>
      <w:r>
        <w:rPr>
          <w:rFonts w:ascii="Noto Sans Arabic" w:hAnsi="Noto Sans Arabic" w:cs="Noto Sans Arabic"/>
          <w:b w:val="0"/>
          <w:color w:val="22262D"/>
          <w:sz w:val="20"/>
        </w:rPr>
        <w:t>TDL</w:t>
      </w:r>
    </w:p>
    <w:p>
      <w:pPr>
        <w:pStyle w:val="ListBullet"/>
        <w:spacing w:after="80" w:before="0" w:line="276" w:lineRule="auto"/>
        <w:jc w:val="left"/>
      </w:pPr>
      <w:r>
        <w:rPr>
          <w:rFonts w:ascii="Noto Sans Arabic" w:hAnsi="Noto Sans Arabic" w:cs="Noto Sans Arabic"/>
          <w:b w:val="0"/>
          <w:color w:val="22262D"/>
          <w:sz w:val="20"/>
        </w:rPr>
        <w:t>NMP</w:t>
      </w:r>
    </w:p>
    <w:p>
      <w:pPr>
        <w:pStyle w:val="ListBullet"/>
        <w:spacing w:after="80" w:before="0" w:line="276" w:lineRule="auto"/>
        <w:jc w:val="left"/>
      </w:pPr>
      <w:r>
        <w:rPr>
          <w:rFonts w:ascii="Noto Sans Arabic" w:hAnsi="Noto Sans Arabic" w:cs="Noto Sans Arabic"/>
          <w:b w:val="0"/>
          <w:color w:val="22262D"/>
          <w:sz w:val="20"/>
        </w:rPr>
        <w:t>Golden</w:t>
      </w:r>
    </w:p>
    <w:p>
      <w:pPr>
        <w:pStyle w:val="ListBullet"/>
        <w:spacing w:after="80" w:before="0" w:line="276" w:lineRule="auto"/>
        <w:jc w:val="left"/>
      </w:pPr>
      <w:r>
        <w:rPr>
          <w:rFonts w:ascii="Noto Sans Arabic" w:hAnsi="Noto Sans Arabic" w:cs="Noto Sans Arabic"/>
          <w:b w:val="0"/>
          <w:color w:val="22262D"/>
          <w:sz w:val="20"/>
        </w:rPr>
        <w:t>Capability Matrix</w:t>
      </w:r>
    </w:p>
    <w:p>
      <w:pPr>
        <w:pStyle w:val="ListBullet"/>
        <w:spacing w:after="80" w:before="0" w:line="276" w:lineRule="auto"/>
        <w:jc w:val="left"/>
      </w:pPr>
      <w:r>
        <w:rPr>
          <w:rFonts w:ascii="Noto Sans Arabic" w:hAnsi="Noto Sans Arabic" w:cs="Noto Sans Arabic"/>
          <w:b w:val="0"/>
          <w:color w:val="22262D"/>
          <w:sz w:val="20"/>
        </w:rPr>
        <w:t>Explainability</w:t>
      </w:r>
    </w:p>
    <w:p>
      <w:pPr>
        <w:pStyle w:val="ListBullet"/>
        <w:spacing w:after="80" w:before="0" w:line="276" w:lineRule="auto"/>
        <w:jc w:val="left"/>
      </w:pPr>
      <w:r>
        <w:rPr>
          <w:rFonts w:ascii="Noto Sans Arabic" w:hAnsi="Noto Sans Arabic" w:cs="Noto Sans Arabic"/>
          <w:b w:val="0"/>
          <w:color w:val="22262D"/>
          <w:sz w:val="20"/>
        </w:rPr>
        <w:t>Operations &amp; Security</w:t>
      </w:r>
    </w:p>
    <w:p>
      <w:pPr>
        <w:bidi w:val="1"/>
        <w:spacing w:after="80" w:before="0" w:line="276" w:lineRule="auto"/>
        <w:jc w:val="right"/>
      </w:pPr>
      <w:r>
        <w:rPr>
          <w:rFonts w:ascii="Noto Sans Arabic" w:hAnsi="Noto Sans Arabic" w:cs="Noto Sans Arabic"/>
          <w:b w:val="0"/>
          <w:color w:val="22262D"/>
          <w:sz w:val="20"/>
        </w:rPr>
        <w:t>وتعد:</w:t>
      </w:r>
    </w:p>
    <w:p>
      <w:pPr>
        <w:spacing w:after="80" w:before="0" w:line="276" w:lineRule="auto"/>
        <w:jc w:val="left"/>
      </w:pPr>
      <w:r>
        <w:rPr>
          <w:rFonts w:ascii="Noto Sans Arabic" w:hAnsi="Noto Sans Arabic" w:cs="Noto Sans Arabic"/>
          <w:b/>
          <w:color w:val="22262D"/>
          <w:sz w:val="20"/>
        </w:rPr>
        <w:t>Information Architecture Reference</w:t>
      </w:r>
    </w:p>
    <w:p>
      <w:pPr>
        <w:pBdr>
          <w:bottom w:val="single" w:sz="8" w:space="1" w:color="B8953F"/>
        </w:pBdr>
        <w:spacing w:after="100"/>
      </w:pPr>
    </w:p>
    <w:p>
      <w:pPr>
        <w:pStyle w:val="Heading2"/>
        <w:keepNext/>
        <w:spacing w:before="160" w:after="100"/>
        <w:jc w:val="left"/>
      </w:pPr>
      <w:r>
        <w:rPr>
          <w:rFonts w:ascii="Noto Kufi Arabic" w:hAnsi="Noto Kufi Arabic" w:cs="Noto Kufi Arabic"/>
          <w:b/>
          <w:color w:val="22262D"/>
          <w:sz w:val="28"/>
        </w:rPr>
        <w:t>Figure UI-03 — NDSP Public vs Admin/Review Exposure Architecture</w:t>
      </w:r>
    </w:p>
    <w:p>
      <w:pPr>
        <w:bidi w:val="1"/>
        <w:spacing w:after="80" w:before="0" w:line="276" w:lineRule="auto"/>
        <w:jc w:val="right"/>
      </w:pPr>
      <w:r>
        <w:rPr>
          <w:rFonts w:ascii="Noto Sans Arabic" w:hAnsi="Noto Sans Arabic" w:cs="Noto Sans Arabic"/>
          <w:b/>
          <w:color w:val="22262D"/>
          <w:sz w:val="20"/>
        </w:rPr>
        <w:t>الصورة:</w:t>
      </w:r>
    </w:p>
    <w:p>
      <w:pPr>
        <w:spacing w:after="80" w:before="0" w:line="276" w:lineRule="auto"/>
        <w:jc w:val="left"/>
      </w:pPr>
      <w:r>
        <w:rPr>
          <w:rFonts w:ascii="DejaVu Sans Mono" w:hAnsi="DejaVu Sans Mono" w:cs="DejaVu Sans Mono"/>
          <w:b w:val="0"/>
          <w:color w:val="8E6D27"/>
          <w:sz w:val="18"/>
        </w:rPr>
        <w:t>22222222222222222222222222222222222222222222222222222222.png</w:t>
      </w:r>
    </w:p>
    <w:p>
      <w:pPr>
        <w:bidi w:val="1"/>
        <w:spacing w:after="80" w:before="0" w:line="276" w:lineRule="auto"/>
        <w:jc w:val="right"/>
      </w:pPr>
      <w:r>
        <w:rPr>
          <w:rFonts w:ascii="Noto Sans Arabic" w:hAnsi="Noto Sans Arabic" w:cs="Noto Sans Arabic"/>
          <w:b w:val="0"/>
          <w:color w:val="22262D"/>
          <w:sz w:val="20"/>
        </w:rPr>
        <w:t>توضع بعد قسم:</w:t>
      </w:r>
    </w:p>
    <w:p>
      <w:pPr>
        <w:spacing w:after="80" w:before="0" w:line="276" w:lineRule="auto"/>
        <w:jc w:val="left"/>
      </w:pPr>
      <w:r>
        <w:rPr>
          <w:rFonts w:ascii="Noto Sans Arabic" w:hAnsi="Noto Sans Arabic" w:cs="Noto Sans Arabic"/>
          <w:b/>
          <w:color w:val="22262D"/>
          <w:sz w:val="20"/>
        </w:rPr>
        <w:t>Security / Exposure Architecture</w:t>
      </w:r>
    </w:p>
    <w:p>
      <w:pPr>
        <w:bidi w:val="1"/>
        <w:spacing w:after="80" w:before="0" w:line="276" w:lineRule="auto"/>
        <w:jc w:val="right"/>
      </w:pPr>
      <w:r>
        <w:rPr>
          <w:rFonts w:ascii="Noto Sans Arabic" w:hAnsi="Noto Sans Arabic" w:cs="Noto Sans Arabic"/>
          <w:b w:val="0"/>
          <w:color w:val="22262D"/>
          <w:sz w:val="20"/>
        </w:rPr>
        <w:t>وتمثل الحد الحاكم:</w:t>
      </w:r>
    </w:p>
    <w:tbl>
      <w:tblPr>
        <w:tblW w:type="auto" w:w="0"/>
        <w:jc w:val="center"/>
        <w:tblLayout w:type="fixed"/>
        <w:tblLook w:firstColumn="1" w:firstRow="1" w:lastColumn="0" w:lastRow="0" w:noHBand="0" w:noVBand="1" w:val="04A0"/>
      </w:tblPr>
      <w:tblGrid>
        <w:gridCol w:w="9866"/>
      </w:tblGrid>
      <w:tr>
        <w:tc>
          <w:tcPr>
            <w:tcW w:type="dxa" w:w="9866"/>
            <w:shd w:fill="F1F3F5"/>
            <w:tcMar>
              <w:top w:w="90" w:type="dxa"/>
              <w:start w:w="100" w:type="dxa"/>
              <w:bottom w:w="90" w:type="dxa"/>
              <w:end w:w="100" w:type="dxa"/>
            </w:tcMar>
          </w:tcPr>
          <w:p>
            <w:pPr>
              <w:spacing w:after="0" w:line="228" w:lineRule="auto"/>
              <w:jc w:val="left"/>
            </w:pPr>
            <w:r>
              <w:rPr>
                <w:rFonts w:ascii="DejaVu Sans Mono" w:hAnsi="DejaVu Sans Mono" w:cs="DejaVu Sans Mono"/>
                <w:b w:val="0"/>
                <w:color w:val="30343B"/>
                <w:sz w:val="12"/>
              </w:rPr>
              <w:t>Internal Intelligence Stores</w:t>
              <w:br/>
              <w:t xml:space="preserve">        │</w:t>
              <w:br/>
              <w:t xml:space="preserve">        ├── Admin / Review Path</w:t>
              <w:br/>
              <w:t xml:space="preserve">        │</w:t>
              <w:br/>
              <w:t xml:space="preserve">        └── Governance-controlled Public Path</w:t>
              <w:br/>
              <w:t xml:space="preserve">                     ↓</w:t>
              <w:br/>
              <w:t xml:space="preserve">             CORE Public Projection</w:t>
              <w:br/>
              <w:t xml:space="preserve">                     ↓</w:t>
              <w:br/>
              <w:t xml:space="preserve">                 Public API</w:t>
              <w:br/>
              <w:t xml:space="preserve">                     ↓</w:t>
              <w:br/>
              <w:t xml:space="preserve">              Public Frontend</w:t>
            </w:r>
          </w:p>
        </w:tc>
      </w:tr>
    </w:tbl>
    <w:p>
      <w:pPr>
        <w:bidi w:val="1"/>
        <w:spacing w:after="80" w:before="0" w:line="276" w:lineRule="auto"/>
        <w:jc w:val="right"/>
      </w:pPr>
      <w:r>
        <w:rPr>
          <w:rFonts w:ascii="Noto Sans Arabic" w:hAnsi="Noto Sans Arabic" w:cs="Noto Sans Arabic"/>
          <w:b w:val="0"/>
          <w:color w:val="22262D"/>
          <w:sz w:val="20"/>
        </w:rPr>
        <w:t>وتعد:</w:t>
      </w:r>
    </w:p>
    <w:p>
      <w:pPr>
        <w:spacing w:after="80" w:before="0" w:line="276" w:lineRule="auto"/>
        <w:jc w:val="left"/>
      </w:pPr>
      <w:r>
        <w:rPr>
          <w:rFonts w:ascii="Noto Sans Arabic" w:hAnsi="Noto Sans Arabic" w:cs="Noto Sans Arabic"/>
          <w:b/>
          <w:color w:val="22262D"/>
          <w:sz w:val="20"/>
        </w:rPr>
        <w:t>Exposure Boundary Reference</w:t>
      </w:r>
    </w:p>
    <w:p>
      <w:pPr>
        <w:bidi w:val="1"/>
        <w:spacing w:after="80" w:before="0" w:line="276" w:lineRule="auto"/>
        <w:jc w:val="right"/>
      </w:pPr>
      <w:r>
        <w:rPr>
          <w:rFonts w:ascii="Noto Sans Arabic" w:hAnsi="Noto Sans Arabic" w:cs="Noto Sans Arabic"/>
          <w:b w:val="0"/>
          <w:color w:val="22262D"/>
          <w:sz w:val="20"/>
        </w:rPr>
        <w:t>ولا تستخدم لإثبات producer أو contract غير مثبت.</w:t>
      </w:r>
    </w:p>
    <w:p>
      <w:pPr>
        <w:pBdr>
          <w:bottom w:val="single" w:sz="8" w:space="1" w:color="B8953F"/>
        </w:pBdr>
        <w:spacing w:after="100"/>
      </w:pPr>
    </w:p>
    <w:p>
      <w:pPr>
        <w:pStyle w:val="Heading1"/>
        <w:keepNext/>
        <w:bidi w:val="1"/>
        <w:spacing w:before="240" w:after="100"/>
        <w:jc w:val="right"/>
      </w:pPr>
      <w:r>
        <w:rPr>
          <w:rFonts w:ascii="Noto Kufi Arabic" w:hAnsi="Noto Kufi Arabic" w:cs="Noto Kufi Arabic"/>
          <w:b/>
          <w:color w:val="8E6D27"/>
          <w:sz w:val="36"/>
        </w:rPr>
        <w:t>54. ترتيب الصور في التقرير</w:t>
      </w:r>
    </w:p>
    <w:p>
      <w:pPr>
        <w:bidi w:val="1"/>
        <w:spacing w:after="80" w:before="0" w:line="276" w:lineRule="auto"/>
        <w:jc w:val="right"/>
      </w:pPr>
      <w:r>
        <w:rPr>
          <w:rFonts w:ascii="Noto Sans Arabic" w:hAnsi="Noto Sans Arabic" w:cs="Noto Sans Arabic"/>
          <w:b w:val="0"/>
          <w:color w:val="22262D"/>
          <w:sz w:val="20"/>
        </w:rPr>
        <w:t>الترتيب المعتمد:</w:t>
      </w:r>
    </w:p>
    <w:tbl>
      <w:tblPr>
        <w:tblW w:type="auto" w:w="0"/>
        <w:jc w:val="center"/>
        <w:tblLayout w:type="fixed"/>
        <w:tblLook w:firstColumn="1" w:firstRow="1" w:lastColumn="0" w:lastRow="0" w:noHBand="0" w:noVBand="1" w:val="04A0"/>
      </w:tblPr>
      <w:tblGrid>
        <w:gridCol w:w="9866"/>
      </w:tblGrid>
      <w:tr>
        <w:tc>
          <w:tcPr>
            <w:tcW w:type="dxa" w:w="9866"/>
            <w:shd w:fill="F1F3F5"/>
            <w:tcMar>
              <w:top w:w="90" w:type="dxa"/>
              <w:start w:w="100" w:type="dxa"/>
              <w:bottom w:w="90" w:type="dxa"/>
              <w:end w:w="100" w:type="dxa"/>
            </w:tcMar>
          </w:tcPr>
          <w:p>
            <w:pPr>
              <w:spacing w:after="0" w:line="228" w:lineRule="auto"/>
              <w:jc w:val="left"/>
            </w:pPr>
            <w:r>
              <w:rPr>
                <w:rFonts w:ascii="DejaVu Sans Mono" w:hAnsi="DejaVu Sans Mono" w:cs="DejaVu Sans Mono"/>
                <w:b w:val="0"/>
                <w:color w:val="30343B"/>
                <w:sz w:val="12"/>
              </w:rPr>
              <w:t>UI/UX Information Architecture</w:t>
              <w:br/>
              <w:t xml:space="preserve">        ↓</w:t>
              <w:br/>
              <w:t>Figure UI-02</w:t>
              <w:br/>
              <w:t xml:space="preserve">        ↓</w:t>
              <w:br/>
              <w:t>Visual Design System</w:t>
              <w:br/>
              <w:t xml:space="preserve">        ↓</w:t>
              <w:br/>
              <w:t>Figure UI-01</w:t>
              <w:br/>
              <w:t xml:space="preserve">        ↓</w:t>
              <w:br/>
              <w:t>Security / Exposure Architecture</w:t>
              <w:br/>
              <w:t xml:space="preserve">        ↓</w:t>
              <w:br/>
              <w:t>Figure UI-03</w:t>
            </w:r>
          </w:p>
        </w:tc>
      </w:tr>
    </w:tbl>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55. Design Governance Rule</w:t>
      </w:r>
    </w:p>
    <w:p>
      <w:pPr>
        <w:bidi w:val="1"/>
        <w:spacing w:after="80" w:before="0" w:line="276" w:lineRule="auto"/>
        <w:jc w:val="right"/>
      </w:pPr>
      <w:r>
        <w:rPr>
          <w:rFonts w:ascii="Noto Sans Arabic" w:hAnsi="Noto Sans Arabic" w:cs="Noto Sans Arabic"/>
          <w:b w:val="0"/>
          <w:color w:val="22262D"/>
          <w:sz w:val="20"/>
        </w:rPr>
        <w:t>أي صفحة جديدة يجب أن تجيب قبل تنفيذها:</w:t>
      </w:r>
    </w:p>
    <w:p>
      <w:pPr>
        <w:pStyle w:val="ListNumber"/>
        <w:bidi w:val="1"/>
        <w:spacing w:after="80" w:before="0" w:line="276" w:lineRule="auto"/>
        <w:jc w:val="right"/>
      </w:pPr>
      <w:r>
        <w:rPr>
          <w:rFonts w:ascii="Noto Sans Arabic" w:hAnsi="Noto Sans Arabic" w:cs="Noto Sans Arabic"/>
          <w:b w:val="0"/>
          <w:color w:val="22262D"/>
          <w:sz w:val="20"/>
        </w:rPr>
        <w:t>هل هي Public أم Admin/Review؟</w:t>
      </w:r>
    </w:p>
    <w:p>
      <w:pPr>
        <w:pStyle w:val="ListNumber"/>
        <w:bidi w:val="1"/>
        <w:spacing w:after="80" w:before="0" w:line="276" w:lineRule="auto"/>
        <w:jc w:val="right"/>
      </w:pPr>
      <w:r>
        <w:rPr>
          <w:rFonts w:ascii="Noto Sans Arabic" w:hAnsi="Noto Sans Arabic" w:cs="Noto Sans Arabic"/>
          <w:b w:val="0"/>
          <w:color w:val="22262D"/>
          <w:sz w:val="20"/>
        </w:rPr>
        <w:t>ما Exposure Classification؟</w:t>
      </w:r>
    </w:p>
    <w:p>
      <w:pPr>
        <w:pStyle w:val="ListNumber"/>
        <w:bidi w:val="1"/>
        <w:spacing w:after="80" w:before="0" w:line="276" w:lineRule="auto"/>
        <w:jc w:val="right"/>
      </w:pPr>
      <w:r>
        <w:rPr>
          <w:rFonts w:ascii="Noto Sans Arabic" w:hAnsi="Noto Sans Arabic" w:cs="Noto Sans Arabic"/>
          <w:b w:val="0"/>
          <w:color w:val="22262D"/>
          <w:sz w:val="20"/>
        </w:rPr>
        <w:t>ما API Contract؟</w:t>
      </w:r>
    </w:p>
    <w:p>
      <w:pPr>
        <w:pStyle w:val="ListNumber"/>
        <w:bidi w:val="1"/>
        <w:spacing w:after="80" w:before="0" w:line="276" w:lineRule="auto"/>
        <w:jc w:val="right"/>
      </w:pPr>
      <w:r>
        <w:rPr>
          <w:rFonts w:ascii="Noto Sans Arabic" w:hAnsi="Noto Sans Arabic" w:cs="Noto Sans Arabic"/>
          <w:b w:val="0"/>
          <w:color w:val="22262D"/>
          <w:sz w:val="20"/>
        </w:rPr>
        <w:t>هل البيانات Governance-authorized؟</w:t>
      </w:r>
    </w:p>
    <w:p>
      <w:pPr>
        <w:pStyle w:val="ListNumber"/>
        <w:bidi w:val="1"/>
        <w:spacing w:after="80" w:before="0" w:line="276" w:lineRule="auto"/>
        <w:jc w:val="right"/>
      </w:pPr>
      <w:r>
        <w:rPr>
          <w:rFonts w:ascii="Noto Sans Arabic" w:hAnsi="Noto Sans Arabic" w:cs="Noto Sans Arabic"/>
          <w:b w:val="0"/>
          <w:color w:val="22262D"/>
          <w:sz w:val="20"/>
        </w:rPr>
        <w:t>ما Primary Insight؟</w:t>
      </w:r>
    </w:p>
    <w:p>
      <w:pPr>
        <w:pStyle w:val="ListNumber"/>
        <w:bidi w:val="1"/>
        <w:spacing w:after="80" w:before="0" w:line="276" w:lineRule="auto"/>
        <w:jc w:val="right"/>
      </w:pPr>
      <w:r>
        <w:rPr>
          <w:rFonts w:ascii="Noto Sans Arabic" w:hAnsi="Noto Sans Arabic" w:cs="Noto Sans Arabic"/>
          <w:b w:val="0"/>
          <w:color w:val="22262D"/>
          <w:sz w:val="20"/>
        </w:rPr>
        <w:t>ما Evidence Path؟</w:t>
      </w:r>
    </w:p>
    <w:p>
      <w:pPr>
        <w:pStyle w:val="ListNumber"/>
        <w:bidi w:val="1"/>
        <w:spacing w:after="80" w:before="0" w:line="276" w:lineRule="auto"/>
        <w:jc w:val="right"/>
      </w:pPr>
      <w:r>
        <w:rPr>
          <w:rFonts w:ascii="Noto Sans Arabic" w:hAnsi="Noto Sans Arabic" w:cs="Noto Sans Arabic"/>
          <w:b w:val="0"/>
          <w:color w:val="22262D"/>
          <w:sz w:val="20"/>
        </w:rPr>
        <w:t>ما Freshness State؟</w:t>
      </w:r>
    </w:p>
    <w:p>
      <w:pPr>
        <w:pStyle w:val="ListNumber"/>
        <w:bidi w:val="1"/>
        <w:spacing w:after="80" w:before="0" w:line="276" w:lineRule="auto"/>
        <w:jc w:val="right"/>
      </w:pPr>
      <w:r>
        <w:rPr>
          <w:rFonts w:ascii="Noto Sans Arabic" w:hAnsi="Noto Sans Arabic" w:cs="Noto Sans Arabic"/>
          <w:b w:val="0"/>
          <w:color w:val="22262D"/>
          <w:sz w:val="20"/>
        </w:rPr>
        <w:t>ما Error/Blocked State؟</w:t>
      </w:r>
    </w:p>
    <w:p>
      <w:pPr>
        <w:pStyle w:val="ListNumber"/>
        <w:bidi w:val="1"/>
        <w:spacing w:after="80" w:before="0" w:line="276" w:lineRule="auto"/>
        <w:jc w:val="right"/>
      </w:pPr>
      <w:r>
        <w:rPr>
          <w:rFonts w:ascii="Noto Sans Arabic" w:hAnsi="Noto Sans Arabic" w:cs="Noto Sans Arabic"/>
          <w:b w:val="0"/>
          <w:color w:val="22262D"/>
          <w:sz w:val="20"/>
        </w:rPr>
        <w:t>هل تدعم RTL/LTR؟</w:t>
      </w:r>
    </w:p>
    <w:p>
      <w:pPr>
        <w:pStyle w:val="ListNumber"/>
        <w:bidi w:val="1"/>
        <w:spacing w:after="80" w:before="0" w:line="276" w:lineRule="auto"/>
        <w:jc w:val="right"/>
      </w:pPr>
      <w:r>
        <w:rPr>
          <w:rFonts w:ascii="Noto Sans Arabic" w:hAnsi="Noto Sans Arabic" w:cs="Noto Sans Arabic"/>
          <w:b w:val="0"/>
          <w:color w:val="22262D"/>
          <w:sz w:val="20"/>
        </w:rPr>
        <w:t>هل تدعم Accessibility؟</w:t>
      </w:r>
    </w:p>
    <w:p>
      <w:pPr>
        <w:pStyle w:val="ListNumber"/>
        <w:bidi w:val="1"/>
        <w:spacing w:after="80" w:before="0" w:line="276" w:lineRule="auto"/>
        <w:jc w:val="right"/>
      </w:pPr>
      <w:r>
        <w:rPr>
          <w:rFonts w:ascii="Noto Sans Arabic" w:hAnsi="Noto Sans Arabic" w:cs="Noto Sans Arabic"/>
          <w:b w:val="0"/>
          <w:color w:val="22262D"/>
          <w:sz w:val="20"/>
        </w:rPr>
        <w:t>هل تحتوي معلومات داخلية غير مسموحة؟</w:t>
      </w:r>
    </w:p>
    <w:p>
      <w:pPr>
        <w:pStyle w:val="ListNumber"/>
        <w:bidi w:val="1"/>
        <w:spacing w:after="80" w:before="0" w:line="276" w:lineRule="auto"/>
        <w:jc w:val="right"/>
      </w:pPr>
      <w:r>
        <w:rPr>
          <w:rFonts w:ascii="Noto Sans Arabic" w:hAnsi="Noto Sans Arabic" w:cs="Noto Sans Arabic"/>
          <w:b w:val="0"/>
          <w:color w:val="22262D"/>
          <w:sz w:val="20"/>
        </w:rPr>
        <w:t>هل اخترع التصميم business logic غير مثبت؟</w:t>
      </w:r>
    </w:p>
    <w:p>
      <w:pPr>
        <w:bidi w:val="1"/>
        <w:spacing w:after="80" w:before="0" w:line="276" w:lineRule="auto"/>
        <w:jc w:val="right"/>
      </w:pPr>
      <w:r>
        <w:rPr>
          <w:rFonts w:ascii="Noto Sans Arabic" w:hAnsi="Noto Sans Arabic" w:cs="Noto Sans Arabic"/>
          <w:b w:val="0"/>
          <w:color w:val="22262D"/>
          <w:sz w:val="20"/>
        </w:rPr>
        <w:t>إذا كانت الإجابة على السؤال الأخير نعم:</w:t>
      </w:r>
    </w:p>
    <w:p>
      <w:pPr>
        <w:spacing w:after="80" w:before="0" w:line="276" w:lineRule="auto"/>
        <w:jc w:val="left"/>
      </w:pPr>
      <w:r>
        <w:rPr>
          <w:rFonts w:ascii="Noto Sans Arabic" w:hAnsi="Noto Sans Arabic" w:cs="Noto Sans Arabic"/>
          <w:b/>
          <w:color w:val="22262D"/>
          <w:sz w:val="20"/>
        </w:rPr>
        <w:t>STOP — TECHNICAL FREEZE REQUIRED</w:t>
      </w:r>
    </w:p>
    <w:p>
      <w:pPr>
        <w:pBdr>
          <w:bottom w:val="single" w:sz="8" w:space="1" w:color="B8953F"/>
        </w:pBdr>
        <w:spacing w:after="100"/>
      </w:pPr>
    </w:p>
    <w:p>
      <w:pPr>
        <w:pStyle w:val="Heading1"/>
        <w:keepNext/>
        <w:bidi w:val="1"/>
        <w:spacing w:before="240" w:after="100"/>
        <w:jc w:val="right"/>
      </w:pPr>
      <w:r>
        <w:rPr>
          <w:rFonts w:ascii="Noto Kufi Arabic" w:hAnsi="Noto Kufi Arabic" w:cs="Noto Kufi Arabic"/>
          <w:b/>
          <w:color w:val="8E6D27"/>
          <w:sz w:val="36"/>
        </w:rPr>
        <w:t>56. قاعدة عدم الاختراع</w:t>
      </w:r>
    </w:p>
    <w:p>
      <w:pPr>
        <w:bidi w:val="1"/>
        <w:spacing w:after="80" w:before="0" w:line="276" w:lineRule="auto"/>
        <w:jc w:val="right"/>
      </w:pPr>
      <w:r>
        <w:rPr>
          <w:rFonts w:ascii="Noto Sans Arabic" w:hAnsi="Noto Sans Arabic" w:cs="Noto Sans Arabic"/>
          <w:b w:val="0"/>
          <w:color w:val="22262D"/>
          <w:sz w:val="20"/>
        </w:rPr>
        <w:t>التصميم لا يحدد من تلقاء نفسه:</w:t>
      </w:r>
    </w:p>
    <w:p>
      <w:pPr>
        <w:pStyle w:val="ListBullet"/>
        <w:spacing w:after="80" w:before="0" w:line="276" w:lineRule="auto"/>
        <w:jc w:val="left"/>
      </w:pPr>
      <w:r>
        <w:rPr>
          <w:rFonts w:ascii="Noto Sans Arabic" w:hAnsi="Noto Sans Arabic" w:cs="Noto Sans Arabic"/>
          <w:b w:val="0"/>
          <w:color w:val="22262D"/>
          <w:sz w:val="20"/>
        </w:rPr>
        <w:t>Producer</w:t>
      </w:r>
    </w:p>
    <w:p>
      <w:pPr>
        <w:pStyle w:val="ListBullet"/>
        <w:spacing w:after="80" w:before="0" w:line="276" w:lineRule="auto"/>
        <w:jc w:val="left"/>
      </w:pPr>
      <w:r>
        <w:rPr>
          <w:rFonts w:ascii="Noto Sans Arabic" w:hAnsi="Noto Sans Arabic" w:cs="Noto Sans Arabic"/>
          <w:b w:val="0"/>
          <w:color w:val="22262D"/>
          <w:sz w:val="20"/>
        </w:rPr>
        <w:t>Authority</w:t>
      </w:r>
    </w:p>
    <w:p>
      <w:pPr>
        <w:pStyle w:val="ListBullet"/>
        <w:spacing w:after="80" w:before="0" w:line="276" w:lineRule="auto"/>
        <w:jc w:val="left"/>
      </w:pPr>
      <w:r>
        <w:rPr>
          <w:rFonts w:ascii="Noto Sans Arabic" w:hAnsi="Noto Sans Arabic" w:cs="Noto Sans Arabic"/>
          <w:b w:val="0"/>
          <w:color w:val="22262D"/>
          <w:sz w:val="20"/>
        </w:rPr>
        <w:t>Formula</w:t>
      </w:r>
    </w:p>
    <w:p>
      <w:pPr>
        <w:pStyle w:val="ListBullet"/>
        <w:spacing w:after="80" w:before="0" w:line="276" w:lineRule="auto"/>
        <w:jc w:val="left"/>
      </w:pPr>
      <w:r>
        <w:rPr>
          <w:rFonts w:ascii="Noto Sans Arabic" w:hAnsi="Noto Sans Arabic" w:cs="Noto Sans Arabic"/>
          <w:b w:val="0"/>
          <w:color w:val="22262D"/>
          <w:sz w:val="20"/>
        </w:rPr>
        <w:t>Contract</w:t>
      </w:r>
    </w:p>
    <w:p>
      <w:pPr>
        <w:pStyle w:val="ListBullet"/>
        <w:spacing w:after="80" w:before="0" w:line="276" w:lineRule="auto"/>
        <w:jc w:val="left"/>
      </w:pPr>
      <w:r>
        <w:rPr>
          <w:rFonts w:ascii="Noto Sans Arabic" w:hAnsi="Noto Sans Arabic" w:cs="Noto Sans Arabic"/>
          <w:b w:val="0"/>
          <w:color w:val="22262D"/>
          <w:sz w:val="20"/>
        </w:rPr>
        <w:t>Capability Name</w:t>
      </w:r>
    </w:p>
    <w:p>
      <w:pPr>
        <w:pStyle w:val="ListBullet"/>
        <w:spacing w:after="80" w:before="0" w:line="276" w:lineRule="auto"/>
        <w:jc w:val="left"/>
      </w:pPr>
      <w:r>
        <w:rPr>
          <w:rFonts w:ascii="Noto Sans Arabic" w:hAnsi="Noto Sans Arabic" w:cs="Noto Sans Arabic"/>
          <w:b w:val="0"/>
          <w:color w:val="22262D"/>
          <w:sz w:val="20"/>
        </w:rPr>
        <w:t>Decision Layer Name</w:t>
      </w:r>
    </w:p>
    <w:p>
      <w:pPr>
        <w:pStyle w:val="ListBullet"/>
        <w:spacing w:after="80" w:before="0" w:line="276" w:lineRule="auto"/>
        <w:jc w:val="left"/>
      </w:pPr>
      <w:r>
        <w:rPr>
          <w:rFonts w:ascii="Noto Sans Arabic" w:hAnsi="Noto Sans Arabic" w:cs="Noto Sans Arabic"/>
          <w:b w:val="0"/>
          <w:color w:val="22262D"/>
          <w:sz w:val="20"/>
        </w:rPr>
        <w:t>TDL Mode Behavior</w:t>
      </w:r>
    </w:p>
    <w:p>
      <w:pPr>
        <w:pStyle w:val="ListBullet"/>
        <w:spacing w:after="80" w:before="0" w:line="276" w:lineRule="auto"/>
        <w:jc w:val="left"/>
      </w:pPr>
      <w:r>
        <w:rPr>
          <w:rFonts w:ascii="Noto Sans Arabic" w:hAnsi="Noto Sans Arabic" w:cs="Noto Sans Arabic"/>
          <w:b w:val="0"/>
          <w:color w:val="22262D"/>
          <w:sz w:val="20"/>
        </w:rPr>
        <w:t>Shadow Logic</w:t>
      </w:r>
    </w:p>
    <w:p>
      <w:pPr>
        <w:pStyle w:val="ListBullet"/>
        <w:spacing w:after="80" w:before="0" w:line="276" w:lineRule="auto"/>
        <w:jc w:val="left"/>
      </w:pPr>
      <w:r>
        <w:rPr>
          <w:rFonts w:ascii="Noto Sans Arabic" w:hAnsi="Noto Sans Arabic" w:cs="Noto Sans Arabic"/>
          <w:b w:val="0"/>
          <w:color w:val="22262D"/>
          <w:sz w:val="20"/>
        </w:rPr>
        <w:t>Review Logic</w:t>
      </w:r>
    </w:p>
    <w:p>
      <w:pPr>
        <w:pStyle w:val="ListBullet"/>
        <w:spacing w:after="80" w:before="0" w:line="276" w:lineRule="auto"/>
        <w:jc w:val="left"/>
      </w:pPr>
      <w:r>
        <w:rPr>
          <w:rFonts w:ascii="Noto Sans Arabic" w:hAnsi="Noto Sans Arabic" w:cs="Noto Sans Arabic"/>
          <w:b w:val="0"/>
          <w:color w:val="22262D"/>
          <w:sz w:val="20"/>
        </w:rPr>
        <w:t>Scoring Formula</w:t>
      </w:r>
    </w:p>
    <w:p>
      <w:pPr>
        <w:pStyle w:val="ListBullet"/>
        <w:spacing w:after="80" w:before="0" w:line="276" w:lineRule="auto"/>
        <w:jc w:val="left"/>
      </w:pPr>
      <w:r>
        <w:rPr>
          <w:rFonts w:ascii="Noto Sans Arabic" w:hAnsi="Noto Sans Arabic" w:cs="Noto Sans Arabic"/>
          <w:b w:val="0"/>
          <w:color w:val="22262D"/>
          <w:sz w:val="20"/>
        </w:rPr>
        <w:t>Governance Rule</w:t>
      </w:r>
    </w:p>
    <w:p>
      <w:pPr>
        <w:bidi w:val="1"/>
        <w:spacing w:after="80" w:before="0" w:line="276" w:lineRule="auto"/>
        <w:jc w:val="right"/>
      </w:pPr>
      <w:r>
        <w:rPr>
          <w:rFonts w:ascii="Noto Sans Arabic" w:hAnsi="Noto Sans Arabic" w:cs="Noto Sans Arabic"/>
          <w:b w:val="0"/>
          <w:color w:val="22262D"/>
          <w:sz w:val="20"/>
        </w:rPr>
        <w:t>غير المثبت.</w:t>
      </w:r>
    </w:p>
    <w:p>
      <w:pPr>
        <w:bidi w:val="1"/>
        <w:spacing w:after="80" w:before="0" w:line="276" w:lineRule="auto"/>
        <w:jc w:val="right"/>
      </w:pPr>
      <w:r>
        <w:rPr>
          <w:rFonts w:ascii="Noto Sans Arabic" w:hAnsi="Noto Sans Arabic" w:cs="Noto Sans Arabic"/>
          <w:b w:val="0"/>
          <w:color w:val="22262D"/>
          <w:sz w:val="20"/>
        </w:rPr>
        <w:t>يستخدم:</w:t>
      </w:r>
    </w:p>
    <w:p>
      <w:pPr>
        <w:spacing w:after="80" w:before="0" w:line="276" w:lineRule="auto"/>
        <w:jc w:val="left"/>
      </w:pPr>
      <w:r>
        <w:rPr>
          <w:rFonts w:ascii="DejaVu Sans Mono" w:hAnsi="DejaVu Sans Mono" w:cs="DejaVu Sans Mono"/>
          <w:b w:val="0"/>
          <w:color w:val="8E6D27"/>
          <w:sz w:val="18"/>
        </w:rPr>
        <w:t>TBD — requires technical freeze evidence</w:t>
      </w:r>
    </w:p>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57. NMP Freeze</w:t>
      </w:r>
    </w:p>
    <w:tbl>
      <w:tblPr>
        <w:tblW w:type="auto" w:w="0"/>
        <w:jc w:val="center"/>
        <w:tblLayout w:type="fixed"/>
        <w:tblLook w:firstColumn="1" w:firstRow="1" w:lastColumn="0" w:lastRow="0" w:noHBand="0" w:noVBand="1" w:val="04A0"/>
      </w:tblPr>
      <w:tblGrid>
        <w:gridCol w:w="9866"/>
      </w:tblGrid>
      <w:tr>
        <w:tc>
          <w:tcPr>
            <w:tcW w:type="dxa" w:w="9866"/>
            <w:shd w:fill="F1F3F5"/>
            <w:tcMar>
              <w:top w:w="90" w:type="dxa"/>
              <w:start w:w="100" w:type="dxa"/>
              <w:bottom w:w="90" w:type="dxa"/>
              <w:end w:w="100" w:type="dxa"/>
            </w:tcMar>
          </w:tcPr>
          <w:p>
            <w:r>
              <w:t>NMP_STATUS=FROZEN</w:t>
              <w:br/>
              <w:t>NMP_NEW_DEVELOPMENT=NO</w:t>
              <w:br/>
              <w:t>NMP_CLASSIFICATION=EXPERIMENTAL_REVIEW_INTERNAL</w:t>
              <w:br/>
              <w:t>NMP_INTERNAL_DATA_EXPOSURE=ADMIN_REVIEW_ONLY</w:t>
              <w:br/>
              <w:t>NMP_CUSTOMER_SAFE_NAME_ONLY_EXPOSURE=ENTITLEMENT_AUTHORIZED</w:t>
              <w:br/>
              <w:t>NMP_LOGIC_FORMULA_STATE_OUTPUT_EXPOSURE=FORBIDDEN</w:t>
            </w:r>
          </w:p>
        </w:tc>
      </w:tr>
    </w:tbl>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58. Public Projection Rule</w:t>
      </w:r>
    </w:p>
    <w:tbl>
      <w:tblPr>
        <w:tblW w:type="auto" w:w="0"/>
        <w:jc w:val="center"/>
        <w:tblLayout w:type="fixed"/>
        <w:tblLook w:firstColumn="1" w:firstRow="1" w:lastColumn="0" w:lastRow="0" w:noHBand="0" w:noVBand="1" w:val="04A0"/>
      </w:tblPr>
      <w:tblGrid>
        <w:gridCol w:w="9866"/>
      </w:tblGrid>
      <w:tr>
        <w:tc>
          <w:tcPr>
            <w:tcW w:type="dxa" w:w="9866"/>
            <w:shd w:fill="F1F3F5"/>
            <w:tcMar>
              <w:top w:w="90" w:type="dxa"/>
              <w:start w:w="100" w:type="dxa"/>
              <w:bottom w:w="90" w:type="dxa"/>
              <w:end w:w="100" w:type="dxa"/>
            </w:tcMar>
          </w:tcPr>
          <w:p>
            <w:pPr>
              <w:spacing w:after="0" w:line="228" w:lineRule="auto"/>
              <w:jc w:val="left"/>
            </w:pPr>
            <w:r>
              <w:rPr>
                <w:rFonts w:ascii="DejaVu Sans Mono" w:hAnsi="DejaVu Sans Mono" w:cs="DejaVu Sans Mono"/>
                <w:b w:val="0"/>
                <w:color w:val="30343B"/>
                <w:sz w:val="12"/>
              </w:rPr>
              <w:t>INTERNAL_EXISTENCE</w:t>
              <w:br/>
              <w:t>≠</w:t>
              <w:br/>
              <w:t>PUBLIC_AUTHORIZATION</w:t>
            </w:r>
          </w:p>
        </w:tc>
      </w:tr>
    </w:tbl>
    <w:p>
      <w:pPr>
        <w:bidi w:val="1"/>
        <w:spacing w:after="80" w:before="0" w:line="276" w:lineRule="auto"/>
        <w:jc w:val="right"/>
      </w:pPr>
      <w:r>
        <w:rPr>
          <w:rFonts w:ascii="Noto Sans Arabic" w:hAnsi="Noto Sans Arabic" w:cs="Noto Sans Arabic"/>
          <w:b w:val="0"/>
          <w:color w:val="22262D"/>
          <w:sz w:val="20"/>
        </w:rPr>
        <w:t>ولا يصبح شيء Public إلا عبر:</w:t>
      </w:r>
    </w:p>
    <w:tbl>
      <w:tblPr>
        <w:tblW w:type="auto" w:w="0"/>
        <w:jc w:val="center"/>
        <w:tblLayout w:type="fixed"/>
        <w:tblLook w:firstColumn="1" w:firstRow="1" w:lastColumn="0" w:lastRow="0" w:noHBand="0" w:noVBand="1" w:val="04A0"/>
      </w:tblPr>
      <w:tblGrid>
        <w:gridCol w:w="9866"/>
      </w:tblGrid>
      <w:tr>
        <w:tc>
          <w:tcPr>
            <w:tcW w:type="dxa" w:w="9866"/>
            <w:shd w:fill="F1F3F5"/>
            <w:tcMar>
              <w:top w:w="90" w:type="dxa"/>
              <w:start w:w="100" w:type="dxa"/>
              <w:bottom w:w="90" w:type="dxa"/>
              <w:end w:w="100" w:type="dxa"/>
            </w:tcMar>
          </w:tcPr>
          <w:p>
            <w:pPr>
              <w:spacing w:after="0" w:line="228" w:lineRule="auto"/>
              <w:jc w:val="left"/>
            </w:pPr>
            <w:r>
              <w:rPr>
                <w:rFonts w:ascii="DejaVu Sans Mono" w:hAnsi="DejaVu Sans Mono" w:cs="DejaVu Sans Mono"/>
                <w:b w:val="0"/>
                <w:color w:val="30343B"/>
                <w:sz w:val="12"/>
              </w:rPr>
              <w:t>Governance</w:t>
              <w:br/>
              <w:t>→ Authorized Public Output</w:t>
              <w:br/>
              <w:t>→ CORE Public Projection</w:t>
              <w:br/>
              <w:t>→ Public API</w:t>
              <w:br/>
              <w:t>→ Public Experience</w:t>
            </w:r>
          </w:p>
        </w:tc>
      </w:tr>
    </w:tbl>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59. Visual Design Approval State</w:t>
      </w:r>
    </w:p>
    <w:tbl>
      <w:tblPr>
        <w:tblW w:type="auto" w:w="0"/>
        <w:jc w:val="center"/>
        <w:tblLayout w:type="fixed"/>
        <w:tblLook w:firstColumn="1" w:firstRow="1" w:lastColumn="0" w:lastRow="0" w:noHBand="0" w:noVBand="1" w:val="04A0"/>
      </w:tblPr>
      <w:tblGrid>
        <w:gridCol w:w="9866"/>
      </w:tblGrid>
      <w:tr>
        <w:tc>
          <w:tcPr>
            <w:tcW w:type="dxa" w:w="9866"/>
            <w:shd w:fill="F1F3F5"/>
            <w:tcMar>
              <w:top w:w="90" w:type="dxa"/>
              <w:start w:w="100" w:type="dxa"/>
              <w:bottom w:w="90" w:type="dxa"/>
              <w:end w:w="100" w:type="dxa"/>
            </w:tcMar>
          </w:tcPr>
          <w:p>
            <w:r>
              <w:t>NDSP_VISUAL_IDENTITY=INSTITUTIONAL_DECISION_INTELLIGENCE</w:t>
              <w:br/>
              <w:t>LOGO_COMPLEXITY=3_OF_10</w:t>
              <w:br/>
              <w:t>BRAND_FOUNDATION=DEEP_CHARCOAL_NEAR_BLACK</w:t>
              <w:br/>
              <w:t>BRAND_AUTHORITY_ACCENT=WARM_REFINED_METALLIC_GOLD</w:t>
              <w:br/>
              <w:t>ANALYTICAL_SECONDARY_ACCENT=CONTROLLED_SKY_BLUE</w:t>
              <w:br/>
              <w:t>PRIMARY_TEXT=WHITE_OFF_WHITE</w:t>
              <w:br/>
              <w:t>INDIGO_VIOLET_AS_PRIMARY_BRAND=SUPERSEDED</w:t>
              <w:br/>
              <w:t>PURPLE_USAGE=REVIEW_EXPERIMENTAL_SEMANTIC_ONLY</w:t>
              <w:br/>
              <w:t>PUBLIC_STYLE=CALM_EXECUTIVE_INTELLIGENCE</w:t>
              <w:br/>
              <w:t>ADMIN_STYLE=DEEP_ANALYTICAL_MISSION_CONTROL</w:t>
              <w:br/>
              <w:t>CORE_VISUAL_PRIORITY=HIGHEST</w:t>
              <w:br/>
              <w:t>SEMANTIC_COLOR_SYSTEM=REQUIRED</w:t>
              <w:br/>
              <w:t>SYSTEM_STATE_LANGUAGE=REQUIRED</w:t>
              <w:br/>
              <w:t>MOTION=SUBTLE_ONLY</w:t>
              <w:br/>
              <w:t>REDUCED_MOTION=REQUIRED</w:t>
              <w:br/>
              <w:t>ADMIN_GRID=12_COLUMN_DESKTOP</w:t>
              <w:br/>
              <w:t>TABLET_GRID=8_COLUMN</w:t>
              <w:br/>
              <w:t>MOBILE_GRID=4_COLUMN</w:t>
              <w:br/>
              <w:t>SPACING_BASE=4PX</w:t>
              <w:br/>
              <w:t>PUBLIC_WHITESPACE=GENEROUS</w:t>
              <w:br/>
              <w:t>ADMIN_INFORMATION_DENSITY=CONTROLLED_HIGH</w:t>
              <w:br/>
              <w:t>RESULT_WHY_EVIDENCE_SOURCE=PRIMARY_EXPLAINABILITY_PATTERN</w:t>
              <w:br/>
              <w:t>ACCESSIBILITY=REQUIRED</w:t>
              <w:br/>
              <w:t>RTL_LTR=REQUIRED</w:t>
            </w:r>
          </w:p>
        </w:tc>
      </w:tr>
    </w:tbl>
    <w:p>
      <w:pPr>
        <w:pBdr>
          <w:bottom w:val="single" w:sz="8" w:space="1" w:color="B8953F"/>
        </w:pBdr>
        <w:spacing w:after="100"/>
      </w:pPr>
    </w:p>
    <w:p>
      <w:pPr>
        <w:pStyle w:val="Heading1"/>
        <w:keepNext/>
        <w:spacing w:before="240" w:after="100"/>
        <w:jc w:val="left"/>
      </w:pPr>
      <w:r>
        <w:rPr>
          <w:rFonts w:ascii="Noto Kufi Arabic" w:hAnsi="Noto Kufi Arabic" w:cs="Noto Kufi Arabic"/>
          <w:b/>
          <w:color w:val="8E6D27"/>
          <w:sz w:val="36"/>
        </w:rPr>
        <w:t>60. UI/UX Architecture Approval State</w:t>
      </w:r>
    </w:p>
    <w:tbl>
      <w:tblPr>
        <w:tblW w:type="auto" w:w="0"/>
        <w:jc w:val="center"/>
        <w:tblLayout w:type="fixed"/>
        <w:tblLook w:firstColumn="1" w:firstRow="1" w:lastColumn="0" w:lastRow="0" w:noHBand="0" w:noVBand="1" w:val="04A0"/>
      </w:tblPr>
      <w:tblGrid>
        <w:gridCol w:w="9866"/>
      </w:tblGrid>
      <w:tr>
        <w:tc>
          <w:tcPr>
            <w:tcW w:type="dxa" w:w="9866"/>
            <w:shd w:fill="F1F3F5"/>
            <w:tcMar>
              <w:top w:w="90" w:type="dxa"/>
              <w:start w:w="100" w:type="dxa"/>
              <w:bottom w:w="90" w:type="dxa"/>
              <w:end w:w="100" w:type="dxa"/>
            </w:tcMar>
          </w:tcPr>
          <w:p>
            <w:r>
              <w:t>PUBLIC_ADMIN_BOUNDARY=REQUIRED</w:t>
              <w:br/>
              <w:t>PUBLIC_PROJECTION_ONLY=REQUIRED</w:t>
              <w:br/>
              <w:t>PUBLIC_DIRECT_INTERNAL_DB_ACCESS=FORBIDDEN</w:t>
              <w:br/>
              <w:t>ADMIN_DIRECT_INTERNAL_DB_ACCESS=FORBIDDEN</w:t>
              <w:br/>
              <w:t>ADMIN_REVIEW_AUTHORIZATION=REQUIRED</w:t>
              <w:br/>
              <w:t>RBAC=REQUIRED</w:t>
              <w:br/>
              <w:t>PUBLIC_DISPLAY_REGISTRY=REQUIRED</w:t>
              <w:br/>
              <w:t>SUBSCRIPTION_ENTITLEMENT_SERVER_SIDE=REQUIRED</w:t>
              <w:br/>
              <w:t>CSS_ONLY_LOCKING=FORBIDDEN</w:t>
              <w:br/>
              <w:t>UNAUTHORIZED_DATA_TO_BROWSER=FORBIDDEN</w:t>
              <w:br/>
              <w:t>CUSTOMER_VISIBLE_LAYER_NAMES=5</w:t>
              <w:br/>
              <w:t>VISIBLE_NAME_01=TDL</w:t>
              <w:br/>
              <w:t>VISIBLE_NAME_02=NMP</w:t>
              <w:br/>
              <w:t>VISIBLE_NAME_03=NAWAF_GOLDEN_SIGNAL</w:t>
              <w:br/>
              <w:t>VISIBLE_NAME_04=ENHANCED_NAWAF_GOLDEN_SIGNAL</w:t>
              <w:br/>
              <w:t>VISIBLE_NAME_05=DEVILS_ADVOCATE</w:t>
              <w:br/>
              <w:t>TDL_INTERNAL_EXPOSURE=FORBIDDEN</w:t>
              <w:br/>
              <w:t>TDL_NAME_ONLY_EXPOSURE=ENTITLEMENT_AUTHORIZED</w:t>
              <w:br/>
              <w:t>NMP_INTERNAL_EXPOSURE=FORBIDDEN</w:t>
              <w:br/>
              <w:t>NMP_NAME_ONLY_EXPOSURE=ENTITLEMENT_AUTHORIZED</w:t>
              <w:br/>
              <w:t>HIDDEN_11_INTERNAL_LAYER_NAMES_EXPOSURE=FORBIDDEN</w:t>
              <w:br/>
              <w:t>LAYER_LOGIC_FORMULAS_WEIGHTS_INPUTS_SOURCES_CONTRACTS=FORBIDDEN</w:t>
              <w:br/>
              <w:t>SHADOW_PUBLIC_EXPOSURE=FORBIDDEN</w:t>
              <w:br/>
              <w:t>REVIEW_PUBLIC_EXPOSURE=FORBIDDEN</w:t>
              <w:br/>
              <w:t>CAPABILITY_MATRIX_PUBLIC_EXPOSURE=FORBIDDEN</w:t>
              <w:br/>
              <w:t>ONE_CANONICAL_COT_DATASET=PRESERVED</w:t>
              <w:br/>
              <w:t>DECISION_LAYERS=01_TO_16_LOGICAL_INTERNAL</w:t>
              <w:br/>
              <w:t>CAPABILITIES=01_TO_28_LOGICAL</w:t>
              <w:br/>
              <w:t>CORE_AUTHORITY_METADATA=TECHNICAL_FREEZE_REQUIRED</w:t>
            </w:r>
          </w:p>
        </w:tc>
      </w:tr>
    </w:tbl>
    <w:p>
      <w:pPr>
        <w:pBdr>
          <w:bottom w:val="single" w:sz="8" w:space="1" w:color="B8953F"/>
        </w:pBdr>
        <w:spacing w:after="100"/>
      </w:pPr>
    </w:p>
    <w:p>
      <w:pPr>
        <w:pStyle w:val="Heading1"/>
        <w:keepNext/>
        <w:bidi w:val="1"/>
        <w:spacing w:before="240" w:after="100"/>
        <w:jc w:val="right"/>
      </w:pPr>
      <w:r>
        <w:t>61. القاعدة الحاكمة الأساسية</w:t>
      </w:r>
    </w:p>
    <w:p>
      <w:pPr>
        <w:bidi w:val="1"/>
        <w:spacing w:after="80" w:before="0" w:line="276" w:lineRule="auto"/>
        <w:jc w:val="right"/>
      </w:pPr>
      <w:r>
        <w:rPr>
          <w:rFonts w:ascii="Noto Sans Arabic" w:hAnsi="Noto Sans Arabic" w:cs="Noto Sans Arabic"/>
          <w:b w:val="0"/>
          <w:color w:val="22262D"/>
          <w:sz w:val="20"/>
        </w:rPr>
        <w:t>NDSP لا يُصمم كـTrading Dashboard.</w:t>
      </w:r>
    </w:p>
    <w:p>
      <w:pPr>
        <w:bidi w:val="1"/>
        <w:spacing w:after="80" w:before="0" w:line="276" w:lineRule="auto"/>
        <w:jc w:val="right"/>
      </w:pPr>
      <w:r>
        <w:rPr>
          <w:rFonts w:ascii="Noto Sans Arabic" w:hAnsi="Noto Sans Arabic" w:cs="Noto Sans Arabic"/>
          <w:b w:val="0"/>
          <w:color w:val="22262D"/>
          <w:sz w:val="20"/>
        </w:rPr>
        <w:t>NDSP يُصمم كـ:</w:t>
      </w:r>
    </w:p>
    <w:p>
      <w:pPr>
        <w:spacing w:after="80" w:before="0" w:line="276" w:lineRule="auto"/>
        <w:jc w:val="left"/>
      </w:pPr>
      <w:r>
        <w:rPr>
          <w:rFonts w:ascii="Noto Sans Arabic" w:hAnsi="Noto Sans Arabic" w:cs="Noto Sans Arabic"/>
          <w:b/>
          <w:color w:val="22262D"/>
          <w:sz w:val="20"/>
        </w:rPr>
        <w:t>Governed Institutional Decision Intelligence Platform</w:t>
      </w:r>
    </w:p>
    <w:p>
      <w:pPr>
        <w:bidi w:val="1"/>
        <w:spacing w:after="80" w:before="0" w:line="276" w:lineRule="auto"/>
        <w:jc w:val="right"/>
      </w:pPr>
      <w:r>
        <w:rPr>
          <w:rFonts w:ascii="Noto Sans Arabic" w:hAnsi="Noto Sans Arabic" w:cs="Noto Sans Arabic"/>
          <w:b w:val="0"/>
          <w:color w:val="22262D"/>
          <w:sz w:val="20"/>
        </w:rPr>
        <w:t>Public يرى:</w:t>
      </w:r>
    </w:p>
    <w:p>
      <w:pPr>
        <w:bidi w:val="1"/>
        <w:spacing w:after="80" w:before="0" w:line="276" w:lineRule="auto"/>
        <w:jc w:val="right"/>
      </w:pPr>
      <w:r>
        <w:rPr>
          <w:rFonts w:ascii="Noto Sans Arabic" w:hAnsi="Noto Sans Arabic" w:cs="Noto Sans Arabic"/>
          <w:b/>
          <w:color w:val="22262D"/>
          <w:sz w:val="20"/>
        </w:rPr>
        <w:t>النتيجة الرسمية المصرح بها + السياق + الأدلة العامة + الشفافية.</w:t>
      </w:r>
    </w:p>
    <w:p>
      <w:pPr>
        <w:bidi w:val="1"/>
        <w:spacing w:after="80" w:before="0" w:line="276" w:lineRule="auto"/>
        <w:jc w:val="right"/>
      </w:pPr>
      <w:r>
        <w:rPr>
          <w:rFonts w:ascii="Noto Sans Arabic" w:hAnsi="Noto Sans Arabic" w:cs="Noto Sans Arabic"/>
          <w:b w:val="0"/>
          <w:color w:val="22262D"/>
          <w:sz w:val="20"/>
        </w:rPr>
        <w:t>Admin/Review يرى:</w:t>
      </w:r>
    </w:p>
    <w:p>
      <w:pPr>
        <w:bidi w:val="1"/>
        <w:spacing w:after="80" w:before="0" w:line="276" w:lineRule="auto"/>
        <w:jc w:val="right"/>
      </w:pPr>
      <w:r>
        <w:rPr>
          <w:rFonts w:ascii="Noto Sans Arabic" w:hAnsi="Noto Sans Arabic" w:cs="Noto Sans Arabic"/>
          <w:b/>
          <w:color w:val="22262D"/>
          <w:sz w:val="20"/>
        </w:rPr>
        <w:t>الذكاء + الأدلة + العلاقات + القرار + Scoring + Governance + التشغيل</w:t>
      </w:r>
    </w:p>
    <w:p>
      <w:pPr>
        <w:bidi w:val="1"/>
        <w:spacing w:after="80" w:before="0" w:line="276" w:lineRule="auto"/>
        <w:jc w:val="right"/>
      </w:pPr>
      <w:r>
        <w:rPr>
          <w:rFonts w:ascii="Noto Sans Arabic" w:hAnsi="Noto Sans Arabic" w:cs="Noto Sans Arabic"/>
          <w:b w:val="0"/>
          <w:color w:val="22262D"/>
          <w:sz w:val="20"/>
        </w:rPr>
        <w:t>وفق الصلاحيات.</w:t>
      </w:r>
    </w:p>
    <w:p>
      <w:pPr>
        <w:bidi w:val="1"/>
        <w:spacing w:after="80" w:before="0" w:line="276" w:lineRule="auto"/>
        <w:jc w:val="right"/>
      </w:pPr>
      <w:r>
        <w:rPr>
          <w:rFonts w:ascii="Noto Sans Arabic" w:hAnsi="Noto Sans Arabic" w:cs="Noto Sans Arabic"/>
          <w:b w:val="0"/>
          <w:color w:val="22262D"/>
          <w:sz w:val="20"/>
        </w:rPr>
        <w:t>والقاعدة النهائية:</w:t>
      </w:r>
    </w:p>
    <w:tbl>
      <w:tblPr>
        <w:tblW w:type="auto" w:w="0"/>
        <w:jc w:val="center"/>
        <w:tblLayout w:type="fixed"/>
        <w:tblLook w:firstColumn="1" w:firstRow="1" w:lastColumn="0" w:lastRow="0" w:noHBand="0" w:noVBand="1" w:val="04A0"/>
      </w:tblPr>
      <w:tblGrid>
        <w:gridCol w:w="9071"/>
      </w:tblGrid>
      <w:tr>
        <w:tc>
          <w:tcPr>
            <w:tcW w:type="dxa" w:w="9866"/>
            <w:shd w:fill="F7F3E8"/>
            <w:tcMar>
              <w:top w:w="120" w:type="dxa"/>
              <w:start w:w="180" w:type="dxa"/>
              <w:bottom w:w="120" w:type="dxa"/>
              <w:end w:w="180" w:type="dxa"/>
            </w:tcMar>
          </w:tcPr>
          <w:p>
            <w:pPr>
              <w:spacing w:after="80" w:before="0" w:line="276" w:lineRule="auto"/>
              <w:jc w:val="left"/>
            </w:pPr>
            <w:r>
              <w:rPr>
                <w:rFonts w:ascii="Noto Sans Arabic" w:hAnsi="Noto Sans Arabic" w:cs="Noto Sans Arabic"/>
                <w:b w:val="0"/>
                <w:color w:val="22262D"/>
                <w:sz w:val="19"/>
              </w:rPr>
              <w:t>Public sees only what Governance explicitly authorizes for public projection.</w:t>
            </w:r>
          </w:p>
        </w:tc>
      </w:tr>
    </w:tbl>
    <w:tbl>
      <w:tblPr>
        <w:tblW w:type="auto" w:w="0"/>
        <w:jc w:val="center"/>
        <w:tblLayout w:type="fixed"/>
        <w:tblLook w:firstColumn="1" w:firstRow="1" w:lastColumn="0" w:lastRow="0" w:noHBand="0" w:noVBand="1" w:val="04A0"/>
      </w:tblPr>
      <w:tblGrid>
        <w:gridCol w:w="9071"/>
      </w:tblGrid>
      <w:tr>
        <w:tc>
          <w:tcPr>
            <w:tcW w:type="dxa" w:w="9866"/>
            <w:shd w:fill="F7F3E8"/>
            <w:tcMar>
              <w:top w:w="120" w:type="dxa"/>
              <w:start w:w="180" w:type="dxa"/>
              <w:bottom w:w="120" w:type="dxa"/>
              <w:end w:w="180" w:type="dxa"/>
            </w:tcMar>
          </w:tcPr>
          <w:p>
            <w:pPr>
              <w:spacing w:after="80" w:before="0" w:line="276" w:lineRule="auto"/>
              <w:jc w:val="left"/>
            </w:pPr>
            <w:r>
              <w:rPr>
                <w:rFonts w:ascii="Noto Sans Arabic" w:hAnsi="Noto Sans Arabic" w:cs="Noto Sans Arabic"/>
                <w:b w:val="0"/>
                <w:color w:val="22262D"/>
                <w:sz w:val="19"/>
              </w:rPr>
              <w:t>Admin/Review receives internal analytical exposure only through authenticated and authorized boundaries.</w:t>
            </w:r>
          </w:p>
        </w:tc>
      </w:tr>
    </w:tbl>
    <w:tbl>
      <w:tblPr>
        <w:tblW w:type="auto" w:w="0"/>
        <w:jc w:val="center"/>
        <w:tblLayout w:type="fixed"/>
        <w:tblLook w:firstColumn="1" w:firstRow="1" w:lastColumn="0" w:lastRow="0" w:noHBand="0" w:noVBand="1" w:val="04A0"/>
      </w:tblPr>
      <w:tblGrid>
        <w:gridCol w:w="9071"/>
      </w:tblGrid>
      <w:tr>
        <w:tc>
          <w:tcPr>
            <w:tcW w:type="dxa" w:w="9866"/>
            <w:shd w:fill="F7F3E8"/>
            <w:tcMar>
              <w:top w:w="120" w:type="dxa"/>
              <w:start w:w="180" w:type="dxa"/>
              <w:bottom w:w="120" w:type="dxa"/>
              <w:end w:w="180" w:type="dxa"/>
            </w:tcMar>
          </w:tcPr>
          <w:p>
            <w:pPr>
              <w:spacing w:after="80" w:before="0" w:line="276" w:lineRule="auto"/>
              <w:jc w:val="left"/>
            </w:pPr>
            <w:r>
              <w:rPr>
                <w:rFonts w:ascii="Noto Sans Arabic" w:hAnsi="Noto Sans Arabic" w:cs="Noto Sans Arabic"/>
                <w:b w:val="0"/>
                <w:color w:val="22262D"/>
                <w:sz w:val="19"/>
              </w:rPr>
              <w:t>Visual design must reinforce architecture, never bypass it.</w:t>
            </w:r>
          </w:p>
        </w:tc>
      </w:tr>
    </w:tbl>
    <w:p>
      <w:pPr>
        <w:pBdr>
          <w:bottom w:val="single" w:sz="8" w:space="1" w:color="B8953F"/>
        </w:pBdr>
        <w:spacing w:after="100"/>
      </w:pPr>
    </w:p>
    <w:p>
      <w:pPr>
        <w:pStyle w:val="Heading1"/>
        <w:jc w:val="right"/>
        <w:bidi w:val="1"/>
      </w:pPr>
      <w:r>
        <w:rPr>
          <w:b w:val="0"/>
        </w:rPr>
        <w:t>62. حوكمة المصطلحات الحساسة وحماية الأسرار</w:t>
      </w:r>
    </w:p>
    <w:p>
      <w:pPr>
        <w:jc w:val="right"/>
        <w:bidi w:val="1"/>
      </w:pPr>
      <w:r>
        <w:rPr>
          <w:b w:val="0"/>
        </w:rPr>
        <w:t>NDSP يحتوي على ملكية فكرية ومنطق تحليلي داخلي لا يجوز أن يصل إلى العميل لمجرد وجوده في Backend أو API أو Database أو Source Code أو Design Documentation. القاعدة الحاكمة هي: Internal existence ≠ Public authorization.</w:t>
      </w:r>
    </w:p>
    <w:p>
      <w:pPr>
        <w:pStyle w:val="ListBullet"/>
        <w:jc w:val="right"/>
        <w:bidi w:val="1"/>
      </w:pPr>
      <w:r>
        <w:rPr>
          <w:b w:val="0"/>
        </w:rPr>
        <w:t>يُحظر كشف أسماء المحركات أو الخوارزميات أو العقود أو المعادلات أو الأوزان أو Inputs أو Producers أو Sources أو العلاقات الداخلية أو Database paths أو Service names غير المصرح بها.</w:t>
      </w:r>
    </w:p>
    <w:p>
      <w:pPr>
        <w:pStyle w:val="ListBullet"/>
        <w:jc w:val="right"/>
        <w:bidi w:val="1"/>
      </w:pPr>
      <w:r>
        <w:rPr>
          <w:b w:val="0"/>
        </w:rPr>
        <w:t>يُحظر تسريب المصطلحات عبر HTML IDs، CSS classes، routes، URLs، query parameters، aria-labels، alt text، analytics event names، browser logs، source maps، error messages أو hidden DOM.</w:t>
      </w:r>
    </w:p>
    <w:p>
      <w:pPr>
        <w:pStyle w:val="ListBullet"/>
        <w:jc w:val="right"/>
        <w:bidi w:val="1"/>
      </w:pPr>
      <w:r>
        <w:rPr>
          <w:b w:val="0"/>
        </w:rPr>
        <w:t>لا يجوز إرسال السر إلى المتصفح ثم إخفاؤه. المنع يجب أن يحدث قبل الاستجابة، عبر Governance + Exposure Policy + Entitlement على الخادم.</w:t>
      </w:r>
    </w:p>
    <w:p>
      <w:pPr>
        <w:pStyle w:val="ListBullet"/>
        <w:jc w:val="right"/>
        <w:bidi w:val="1"/>
      </w:pPr>
      <w:r>
        <w:rPr>
          <w:b w:val="0"/>
        </w:rPr>
        <w:t>أي اسم عام يجب أن يأتي من Public Display Registry/Contract معتمد، ولا يُشتق تلقائيًا من internal_name أو engine_name أو layer_name أو contract_name.</w:t>
      </w:r>
    </w:p>
    <w:p>
      <w:pPr>
        <w:pStyle w:val="Heading1"/>
        <w:jc w:val="right"/>
        <w:bidi w:val="1"/>
      </w:pPr>
      <w:r>
        <w:rPr>
          <w:b w:val="0"/>
        </w:rPr>
        <w:t>63. الأسماء الخمسة الوحيدة المسموح للعميل برؤيتها</w:t>
      </w:r>
    </w:p>
    <w:p>
      <w:pPr>
        <w:jc w:val="right"/>
        <w:bidi w:val="1"/>
      </w:pPr>
      <w:r>
        <w:rPr>
          <w:b w:val="0"/>
        </w:rPr>
        <w:t>يعتمد المالك خمسة أسماء Customer-Facing فقط. السماح هنا هو NAME-ONLY EXPOSURE ولا يساوي كشف المنطق أو النتائج الداخلية:</w:t>
      </w:r>
    </w:p>
    <w:p>
      <w:pPr>
        <w:pStyle w:val="ListNumber"/>
        <w:jc w:val="right"/>
        <w:bidi w:val="1"/>
      </w:pPr>
      <w:r>
        <w:rPr>
          <w:b w:val="0"/>
        </w:rPr>
        <w:t>1. TDL - Temporal Decision Logic</w:t>
      </w:r>
    </w:p>
    <w:p>
      <w:pPr>
        <w:pStyle w:val="ListNumber"/>
        <w:jc w:val="right"/>
        <w:bidi w:val="1"/>
      </w:pPr>
      <w:r>
        <w:rPr>
          <w:b w:val="0"/>
        </w:rPr>
        <w:t>2. NMP - Nawaf Meet Point</w:t>
      </w:r>
    </w:p>
    <w:p>
      <w:pPr>
        <w:pStyle w:val="ListNumber"/>
        <w:jc w:val="right"/>
        <w:bidi w:val="1"/>
      </w:pPr>
      <w:r>
        <w:rPr>
          <w:b w:val="0"/>
        </w:rPr>
        <w:t>3. Nawaf Golden Signal - إشارة نواف الذهبية</w:t>
      </w:r>
    </w:p>
    <w:p>
      <w:pPr>
        <w:pStyle w:val="ListNumber"/>
        <w:jc w:val="right"/>
        <w:bidi w:val="1"/>
      </w:pPr>
      <w:r>
        <w:rPr>
          <w:b w:val="0"/>
        </w:rPr>
        <w:t>4. Enhanced Nawaf Golden Signal - إشارة نواف الذهبية المعززة</w:t>
      </w:r>
    </w:p>
    <w:p>
      <w:pPr>
        <w:pStyle w:val="ListNumber"/>
        <w:jc w:val="right"/>
        <w:bidi w:val="1"/>
      </w:pPr>
      <w:r>
        <w:rPr>
          <w:b w:val="0"/>
        </w:rPr>
        <w:t>5. Devil’s Advocate - محامي الشيطان</w:t>
      </w:r>
    </w:p>
    <w:p>
      <w:pPr>
        <w:jc w:val="right"/>
        <w:bidi w:val="1"/>
      </w:pPr>
      <w:r>
        <w:rPr>
          <w:b w:val="0"/>
        </w:rPr>
        <w:t>لا تُستخدم هذه الأسماء لتسمية Decision Layers 01-16 داخليًا أو لإثبات تطابق 1:1 مع ترقيمها. هي طبقة عرض تجارية/Customer Display Abstraction تحمي البنية الداخلية.</w:t>
      </w:r>
    </w:p>
    <w:p>
      <w:pPr>
        <w:jc w:val="right"/>
        <w:bidi w:val="1"/>
      </w:pPr>
      <w:r>
        <w:rPr>
          <w:b w:val="0"/>
        </w:rPr>
        <w:t>أسماء الـ11 المتبقية من البنية الداخلية لا تظهر مطلقًا للعميل. تُعرض - إن لزم - بصياغة عامة مثل Protected Intelligence / Additional Analytical Depth دون أسماء أو ترتيب أو وصف كاشف.</w:t>
      </w:r>
    </w:p>
    <w:p>
      <w:pPr>
        <w:pStyle w:val="Heading1"/>
        <w:jc w:val="right"/>
        <w:bidi w:val="1"/>
      </w:pPr>
      <w:r>
        <w:rPr>
          <w:b w:val="0"/>
        </w:rPr>
        <w:t>64. حدود NAME-ONLY Exposure</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vAlign w:val="center"/>
            <w:shd w:fill="171A1F"/>
          </w:tcPr>
          <w:p>
            <w:pPr>
              <w:jc w:val="right"/>
              <w:bidi w:val="1"/>
            </w:pPr>
            <w:r/>
            <w:r>
              <w:rPr>
                <w:b/>
                <w:color w:val="F6F4EE"/>
              </w:rPr>
              <w:t>مسموح للعميل</w:t>
            </w:r>
          </w:p>
        </w:tc>
        <w:tc>
          <w:tcPr>
            <w:tcW w:type="dxa" w:w="4933"/>
            <w:vAlign w:val="center"/>
            <w:shd w:fill="171A1F"/>
          </w:tcPr>
          <w:p>
            <w:pPr>
              <w:jc w:val="right"/>
              <w:bidi w:val="1"/>
            </w:pPr>
            <w:r/>
            <w:r>
              <w:rPr>
                <w:b/>
                <w:color w:val="F6F4EE"/>
              </w:rPr>
              <w:t>ممنوع كشفه</w:t>
            </w:r>
          </w:p>
        </w:tc>
      </w:tr>
      <w:tr>
        <w:tc>
          <w:tcPr>
            <w:tcW w:type="dxa" w:w="4933"/>
            <w:vAlign w:val="center"/>
          </w:tcPr>
          <w:p>
            <w:pPr>
              <w:jc w:val="right"/>
              <w:bidi w:val="1"/>
            </w:pPr>
            <w:r/>
            <w:r>
              <w:rPr>
                <w:b w:val="0"/>
              </w:rPr>
              <w:t>اسم الطبقة المصرح به حسب الباقة</w:t>
            </w:r>
          </w:p>
        </w:tc>
        <w:tc>
          <w:tcPr>
            <w:tcW w:type="dxa" w:w="4933"/>
            <w:vAlign w:val="center"/>
          </w:tcPr>
          <w:p>
            <w:pPr>
              <w:jc w:val="right"/>
              <w:bidi w:val="1"/>
            </w:pPr>
            <w:r/>
            <w:r>
              <w:rPr>
                <w:b w:val="0"/>
              </w:rPr>
              <w:t>المنطق، الخوارزمية، المعادلات، الأوزان</w:t>
            </w:r>
          </w:p>
        </w:tc>
      </w:tr>
      <w:tr>
        <w:tc>
          <w:tcPr>
            <w:tcW w:type="dxa" w:w="4933"/>
            <w:vAlign w:val="center"/>
          </w:tcPr>
          <w:p>
            <w:pPr>
              <w:jc w:val="right"/>
              <w:bidi w:val="1"/>
            </w:pPr>
            <w:r/>
            <w:r>
              <w:rPr>
                <w:b w:val="0"/>
              </w:rPr>
              <w:t>حالة entitlement: متاح / غير متاح</w:t>
            </w:r>
          </w:p>
        </w:tc>
        <w:tc>
          <w:tcPr>
            <w:tcW w:type="dxa" w:w="4933"/>
            <w:vAlign w:val="center"/>
          </w:tcPr>
          <w:p>
            <w:pPr>
              <w:jc w:val="right"/>
              <w:bidi w:val="1"/>
            </w:pPr>
            <w:r/>
            <w:r>
              <w:rPr>
                <w:b w:val="0"/>
              </w:rPr>
              <w:t>Inputs الداخلية، raw values، layer-level outputs/results</w:t>
            </w:r>
          </w:p>
        </w:tc>
      </w:tr>
      <w:tr>
        <w:tc>
          <w:tcPr>
            <w:tcW w:type="dxa" w:w="4933"/>
            <w:vAlign w:val="center"/>
          </w:tcPr>
          <w:p>
            <w:pPr>
              <w:jc w:val="right"/>
              <w:bidi w:val="1"/>
            </w:pPr>
            <w:r/>
            <w:r>
              <w:rPr>
                <w:b w:val="0"/>
              </w:rPr>
              <w:t>وصف تجاري عام للقيمة</w:t>
            </w:r>
          </w:p>
        </w:tc>
        <w:tc>
          <w:tcPr>
            <w:tcW w:type="dxa" w:w="4933"/>
            <w:vAlign w:val="center"/>
          </w:tcPr>
          <w:p>
            <w:pPr>
              <w:jc w:val="right"/>
              <w:bidi w:val="1"/>
            </w:pPr>
            <w:r/>
            <w:r>
              <w:rPr>
                <w:b w:val="0"/>
              </w:rPr>
              <w:t>Producer، Source، Contract، dependencies</w:t>
            </w:r>
          </w:p>
        </w:tc>
      </w:tr>
      <w:tr>
        <w:tc>
          <w:tcPr>
            <w:tcW w:type="dxa" w:w="4933"/>
            <w:vAlign w:val="center"/>
          </w:tcPr>
          <w:p>
            <w:pPr>
              <w:jc w:val="right"/>
              <w:bidi w:val="1"/>
            </w:pPr>
            <w:r/>
            <w:r>
              <w:rPr>
                <w:b w:val="0"/>
              </w:rPr>
              <w:t>زر ترقية أو مقارنة باقة</w:t>
            </w:r>
          </w:p>
        </w:tc>
        <w:tc>
          <w:tcPr>
            <w:tcW w:type="dxa" w:w="4933"/>
            <w:vAlign w:val="center"/>
          </w:tcPr>
          <w:p>
            <w:pPr>
              <w:jc w:val="right"/>
              <w:bidi w:val="1"/>
            </w:pPr>
            <w:r/>
            <w:r>
              <w:rPr>
                <w:b w:val="0"/>
              </w:rPr>
              <w:t>الأسماء الـ11 المحمية أو ترتيبها</w:t>
            </w:r>
          </w:p>
        </w:tc>
      </w:tr>
      <w:tr>
        <w:tc>
          <w:tcPr>
            <w:tcW w:type="dxa" w:w="4933"/>
            <w:vAlign w:val="center"/>
          </w:tcPr>
          <w:p>
            <w:pPr>
              <w:jc w:val="right"/>
              <w:bidi w:val="1"/>
            </w:pPr>
            <w:r/>
            <w:r>
              <w:rPr>
                <w:b w:val="0"/>
              </w:rPr>
              <w:t>اسم الباقة وحالة الاشتراك</w:t>
            </w:r>
          </w:p>
        </w:tc>
        <w:tc>
          <w:tcPr>
            <w:tcW w:type="dxa" w:w="4933"/>
            <w:vAlign w:val="center"/>
          </w:tcPr>
          <w:p>
            <w:pPr>
              <w:jc w:val="right"/>
              <w:bidi w:val="1"/>
            </w:pPr>
            <w:r/>
            <w:r>
              <w:rPr>
                <w:b w:val="0"/>
              </w:rPr>
              <w:t>DB paths، service names، internal IDs، debug metadata</w:t>
            </w:r>
          </w:p>
        </w:tc>
      </w:tr>
    </w:tbl>
    <w:p>
      <w:pPr>
        <w:jc w:val="right"/>
        <w:bidi w:val="1"/>
      </w:pPr>
      <w:r>
        <w:rPr>
          <w:b w:val="0"/>
        </w:rPr>
        <w:t>أي نتيجة خاصة بطبقة منفردة غير الاسم تحتاج Public Contract مستقل وموافقة Governance صريحة. هذا التقرير لا يمنح هذا الإذن.</w:t>
      </w:r>
    </w:p>
    <w:p>
      <w:pPr>
        <w:pStyle w:val="Heading1"/>
        <w:jc w:val="right"/>
        <w:bidi w:val="1"/>
      </w:pPr>
      <w:r>
        <w:rPr>
          <w:b w:val="0"/>
        </w:rPr>
        <w:t>65. الباقات الأربع المعتمدة في تجربة العميل</w:t>
      </w:r>
    </w:p>
    <w:p>
      <w:pPr>
        <w:jc w:val="right"/>
        <w:bidi w:val="1"/>
      </w:pPr>
      <w:r>
        <w:rPr>
          <w:b w:val="0"/>
        </w:rPr>
        <w:t>يُوحّد العرض الحالي على أربع باقات Customer-Facing: Free، Pro، Elite، Institutional. الأسماء القديمة مثل Insight / NMP Pro / Elite 16 / NDSP SaaS تُعامل كمسميات Legacy داخل السجل التاريخي ولا تُستخدم في التصميم الجديد.</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3289"/>
            <w:vAlign w:val="center"/>
            <w:shd w:fill="171A1F"/>
          </w:tcPr>
          <w:p>
            <w:pPr>
              <w:jc w:val="right"/>
              <w:bidi w:val="1"/>
            </w:pPr>
            <w:r/>
            <w:r>
              <w:rPr>
                <w:b/>
                <w:color w:val="F6F4EE"/>
              </w:rPr>
              <w:t>السياق / الباقة</w:t>
            </w:r>
          </w:p>
        </w:tc>
        <w:tc>
          <w:tcPr>
            <w:tcW w:type="dxa" w:w="3289"/>
            <w:vAlign w:val="center"/>
            <w:shd w:fill="171A1F"/>
          </w:tcPr>
          <w:p>
            <w:pPr>
              <w:jc w:val="right"/>
              <w:bidi w:val="1"/>
            </w:pPr>
            <w:r/>
            <w:r>
              <w:rPr>
                <w:b/>
                <w:color w:val="F6F4EE"/>
              </w:rPr>
              <w:t>أسماء الطبقات التي يراها العميل</w:t>
            </w:r>
          </w:p>
        </w:tc>
        <w:tc>
          <w:tcPr>
            <w:tcW w:type="dxa" w:w="3289"/>
            <w:vAlign w:val="center"/>
            <w:shd w:fill="171A1F"/>
          </w:tcPr>
          <w:p>
            <w:pPr>
              <w:jc w:val="right"/>
              <w:bidi w:val="1"/>
            </w:pPr>
            <w:r/>
            <w:r>
              <w:rPr>
                <w:b/>
                <w:color w:val="F6F4EE"/>
              </w:rPr>
              <w:t>قاعدة الحماية</w:t>
            </w:r>
          </w:p>
        </w:tc>
      </w:tr>
      <w:tr>
        <w:tc>
          <w:tcPr>
            <w:tcW w:type="dxa" w:w="3289"/>
            <w:vAlign w:val="center"/>
          </w:tcPr>
          <w:p>
            <w:pPr>
              <w:jc w:val="right"/>
              <w:bidi w:val="1"/>
            </w:pPr>
            <w:r/>
            <w:r>
              <w:rPr>
                <w:b w:val="0"/>
              </w:rPr>
              <w:t>16-Day Trial</w:t>
            </w:r>
          </w:p>
        </w:tc>
        <w:tc>
          <w:tcPr>
            <w:tcW w:type="dxa" w:w="3289"/>
            <w:vAlign w:val="center"/>
          </w:tcPr>
          <w:p>
            <w:pPr>
              <w:jc w:val="right"/>
              <w:bidi w:val="1"/>
            </w:pPr>
            <w:r/>
            <w:r>
              <w:rPr>
                <w:b w:val="0"/>
              </w:rPr>
              <w:t>TDL + NMP + Nawaf Golden Signal + Enhanced Nawaf Golden Signal + Devil’s Advocate</w:t>
            </w:r>
          </w:p>
        </w:tc>
        <w:tc>
          <w:tcPr>
            <w:tcW w:type="dxa" w:w="3289"/>
            <w:vAlign w:val="center"/>
          </w:tcPr>
          <w:p>
            <w:pPr>
              <w:jc w:val="right"/>
              <w:bidi w:val="1"/>
            </w:pPr>
            <w:r/>
            <w:r>
              <w:rPr>
                <w:b w:val="0"/>
              </w:rPr>
              <w:t>الأسماء فقط طوال التجربة؛ لا منطق ولا أسرار ولا layer-level raw outputs</w:t>
            </w:r>
          </w:p>
        </w:tc>
      </w:tr>
      <w:tr>
        <w:tc>
          <w:tcPr>
            <w:tcW w:type="dxa" w:w="3289"/>
            <w:vAlign w:val="center"/>
          </w:tcPr>
          <w:p>
            <w:pPr>
              <w:jc w:val="right"/>
              <w:bidi w:val="1"/>
            </w:pPr>
            <w:r/>
            <w:r>
              <w:rPr>
                <w:b w:val="0"/>
              </w:rPr>
              <w:t>Free</w:t>
            </w:r>
          </w:p>
        </w:tc>
        <w:tc>
          <w:tcPr>
            <w:tcW w:type="dxa" w:w="3289"/>
            <w:vAlign w:val="center"/>
          </w:tcPr>
          <w:p>
            <w:pPr>
              <w:jc w:val="right"/>
              <w:bidi w:val="1"/>
            </w:pPr>
            <w:r/>
            <w:r>
              <w:rPr>
                <w:b w:val="0"/>
              </w:rPr>
              <w:t>TDL</w:t>
            </w:r>
          </w:p>
        </w:tc>
        <w:tc>
          <w:tcPr>
            <w:tcW w:type="dxa" w:w="3289"/>
            <w:vAlign w:val="center"/>
          </w:tcPr>
          <w:p>
            <w:pPr>
              <w:jc w:val="right"/>
              <w:bidi w:val="1"/>
            </w:pPr>
            <w:r/>
            <w:r>
              <w:rPr>
                <w:b w:val="0"/>
              </w:rPr>
              <w:t>Name-only. بعد انتهاء التجربة إذا لم تتم الترقية يعود الحساب إلى baseline المجاني وفق العقد</w:t>
            </w:r>
          </w:p>
        </w:tc>
      </w:tr>
      <w:tr>
        <w:tc>
          <w:tcPr>
            <w:tcW w:type="dxa" w:w="3289"/>
            <w:vAlign w:val="center"/>
          </w:tcPr>
          <w:p>
            <w:pPr>
              <w:jc w:val="right"/>
              <w:bidi w:val="1"/>
            </w:pPr>
            <w:r/>
            <w:r>
              <w:rPr>
                <w:b w:val="0"/>
              </w:rPr>
              <w:t>Pro</w:t>
            </w:r>
          </w:p>
        </w:tc>
        <w:tc>
          <w:tcPr>
            <w:tcW w:type="dxa" w:w="3289"/>
            <w:vAlign w:val="center"/>
          </w:tcPr>
          <w:p>
            <w:pPr>
              <w:jc w:val="right"/>
              <w:bidi w:val="1"/>
            </w:pPr>
            <w:r/>
            <w:r>
              <w:rPr>
                <w:b w:val="0"/>
              </w:rPr>
              <w:t>TDL + NMP</w:t>
            </w:r>
          </w:p>
        </w:tc>
        <w:tc>
          <w:tcPr>
            <w:tcW w:type="dxa" w:w="3289"/>
            <w:vAlign w:val="center"/>
          </w:tcPr>
          <w:p>
            <w:pPr>
              <w:jc w:val="right"/>
              <w:bidi w:val="1"/>
            </w:pPr>
            <w:r/>
            <w:r>
              <w:rPr>
                <w:b w:val="0"/>
              </w:rPr>
              <w:t>Name-only، مع Entitlement مفروض من الخادم</w:t>
            </w:r>
          </w:p>
        </w:tc>
      </w:tr>
      <w:tr>
        <w:tc>
          <w:tcPr>
            <w:tcW w:type="dxa" w:w="3289"/>
            <w:vAlign w:val="center"/>
          </w:tcPr>
          <w:p>
            <w:pPr>
              <w:jc w:val="right"/>
              <w:bidi w:val="1"/>
            </w:pPr>
            <w:r/>
            <w:r>
              <w:rPr>
                <w:b w:val="0"/>
              </w:rPr>
              <w:t>Elite</w:t>
            </w:r>
          </w:p>
        </w:tc>
        <w:tc>
          <w:tcPr>
            <w:tcW w:type="dxa" w:w="3289"/>
            <w:vAlign w:val="center"/>
          </w:tcPr>
          <w:p>
            <w:pPr>
              <w:jc w:val="right"/>
              <w:bidi w:val="1"/>
            </w:pPr>
            <w:r/>
            <w:r>
              <w:rPr>
                <w:b w:val="0"/>
              </w:rPr>
              <w:t>الخمس جميعًا</w:t>
            </w:r>
          </w:p>
        </w:tc>
        <w:tc>
          <w:tcPr>
            <w:tcW w:type="dxa" w:w="3289"/>
            <w:vAlign w:val="center"/>
          </w:tcPr>
          <w:p>
            <w:pPr>
              <w:jc w:val="right"/>
              <w:bidi w:val="1"/>
            </w:pPr>
            <w:r/>
            <w:r>
              <w:rPr>
                <w:b w:val="0"/>
              </w:rPr>
              <w:t>Name-only؛ أعلى عمق تجاري لا يعني كشف الملكية الفكرية</w:t>
            </w:r>
          </w:p>
        </w:tc>
      </w:tr>
      <w:tr>
        <w:tc>
          <w:tcPr>
            <w:tcW w:type="dxa" w:w="3289"/>
            <w:vAlign w:val="center"/>
          </w:tcPr>
          <w:p>
            <w:pPr>
              <w:jc w:val="right"/>
              <w:bidi w:val="1"/>
            </w:pPr>
            <w:r/>
            <w:r>
              <w:rPr>
                <w:b w:val="0"/>
              </w:rPr>
              <w:t>Institutional</w:t>
            </w:r>
          </w:p>
        </w:tc>
        <w:tc>
          <w:tcPr>
            <w:tcW w:type="dxa" w:w="3289"/>
            <w:vAlign w:val="center"/>
          </w:tcPr>
          <w:p>
            <w:pPr>
              <w:jc w:val="right"/>
              <w:bidi w:val="1"/>
            </w:pPr>
            <w:r/>
            <w:r>
              <w:rPr>
                <w:b w:val="0"/>
              </w:rPr>
              <w:t>الخمس جميعًا</w:t>
            </w:r>
          </w:p>
        </w:tc>
        <w:tc>
          <w:tcPr>
            <w:tcW w:type="dxa" w:w="3289"/>
            <w:vAlign w:val="center"/>
          </w:tcPr>
          <w:p>
            <w:pPr>
              <w:jc w:val="right"/>
              <w:bidi w:val="1"/>
            </w:pPr>
            <w:r/>
            <w:r>
              <w:rPr>
                <w:b w:val="0"/>
              </w:rPr>
              <w:t>Name-only + مزايا مؤسسية متعاقد عليها؛ لا كشف للمنطق الداخلي</w:t>
            </w:r>
          </w:p>
        </w:tc>
      </w:tr>
    </w:tbl>
    <w:p>
      <w:pPr>
        <w:jc w:val="right"/>
        <w:bidi w:val="1"/>
      </w:pPr>
      <w:r>
        <w:rPr>
          <w:b w:val="0"/>
        </w:rPr>
        <w:t>الأسعار، حدود الأصول، API allowances، user limits، retention، وSLA تُقرأ من Billing/Subscription Contract أو Configuration ولا تُدفن داخل مكونات UI. لا يغيّر هذا القسم Backend architecture.</w:t>
      </w:r>
    </w:p>
    <w:p>
      <w:pPr>
        <w:pStyle w:val="Heading1"/>
        <w:jc w:val="right"/>
        <w:bidi w:val="1"/>
      </w:pPr>
      <w:r>
        <w:rPr>
          <w:b w:val="0"/>
        </w:rPr>
        <w:t>66. تجربة الترقية والباقات</w:t>
      </w:r>
    </w:p>
    <w:p>
      <w:pPr>
        <w:pStyle w:val="ListBullet"/>
        <w:jc w:val="right"/>
        <w:bidi w:val="1"/>
      </w:pPr>
      <w:r>
        <w:rPr>
          <w:b w:val="0"/>
        </w:rPr>
        <w:t>Pricing/Plans تعرض أربع بطاقات: Free / Pro / Elite / Institutional مع Feature Matrix واضحة.</w:t>
      </w:r>
    </w:p>
    <w:p>
      <w:pPr>
        <w:pStyle w:val="ListBullet"/>
        <w:jc w:val="right"/>
        <w:bidi w:val="1"/>
      </w:pPr>
      <w:r>
        <w:rPr>
          <w:b w:val="0"/>
        </w:rPr>
        <w:t>القيمة التجارية تُصاغ بمفاهيم مثل Analytical Depth وEvidence Context وDecision Intelligence، لا بأسماء أسرار داخلية.</w:t>
      </w:r>
    </w:p>
    <w:p>
      <w:pPr>
        <w:pStyle w:val="ListBullet"/>
        <w:jc w:val="right"/>
        <w:bidi w:val="1"/>
      </w:pPr>
      <w:r>
        <w:rPr>
          <w:b w:val="0"/>
        </w:rPr>
        <w:t>Locked state لا يعرض النص السري خلف blur أو asterisks؛ المحتوى السري لا يصل أصلًا إلى Frontend.</w:t>
      </w:r>
    </w:p>
    <w:p>
      <w:pPr>
        <w:pStyle w:val="ListBullet"/>
        <w:jc w:val="right"/>
        <w:bidi w:val="1"/>
      </w:pPr>
      <w:r>
        <w:rPr>
          <w:b w:val="0"/>
        </w:rPr>
        <w:t>عند نهاية تجربة 16 يومًا، يتحول العرض تلقائيًا إلى Entitlement الباقة المختارة أو Free baseline إذا لم توجد ترقية مدفوعة معتمدة.</w:t>
      </w:r>
    </w:p>
    <w:p>
      <w:pPr>
        <w:pStyle w:val="ListBullet"/>
        <w:jc w:val="right"/>
        <w:bidi w:val="1"/>
      </w:pPr>
      <w:r>
        <w:rPr>
          <w:b w:val="0"/>
        </w:rPr>
        <w:t>Admin/Owner authorization منفصل تمامًا عن Subscription Entitlement؛ شراء باقة لا يمنح RBAC داخليًا.</w:t>
      </w:r>
    </w:p>
    <w:p>
      <w:pPr>
        <w:pStyle w:val="Heading1"/>
        <w:jc w:val="right"/>
        <w:bidi w:val="1"/>
      </w:pPr>
      <w:r>
        <w:rPr>
          <w:b w:val="0"/>
        </w:rPr>
        <w:t>67. مكوّن Decision Intelligence Access</w:t>
      </w:r>
    </w:p>
    <w:p>
      <w:pPr>
        <w:jc w:val="right"/>
        <w:bidi w:val="1"/>
      </w:pPr>
      <w:r>
        <w:rPr>
          <w:b w:val="0"/>
        </w:rPr>
        <w:t>يبنى مكوّن موحد يوضح ما هو متاح للعميل دون رسم خريطة البنية السرية. لا يُعرض 01-16 كقائمة أسماء. يمكن إظهار الأسماء المصرح بها فقط، ثم عبارة عامة مثل Additional Protected Intelligence للبقية.</w:t>
      </w:r>
    </w:p>
    <w:p>
      <w:pPr>
        <w:pStyle w:val="ListBullet"/>
        <w:jc w:val="right"/>
        <w:bidi w:val="1"/>
      </w:pPr>
      <w:r>
        <w:rPr>
          <w:b w:val="0"/>
        </w:rPr>
        <w:t>Visible Name + Entitlement Badge</w:t>
      </w:r>
    </w:p>
    <w:p>
      <w:pPr>
        <w:pStyle w:val="ListBullet"/>
        <w:jc w:val="right"/>
        <w:bidi w:val="1"/>
      </w:pPr>
      <w:r>
        <w:rPr>
          <w:b w:val="0"/>
        </w:rPr>
        <w:t>Protected Intelligence summary without hidden name</w:t>
      </w:r>
    </w:p>
    <w:p>
      <w:pPr>
        <w:pStyle w:val="ListBullet"/>
        <w:jc w:val="right"/>
        <w:bidi w:val="1"/>
      </w:pPr>
      <w:r>
        <w:rPr>
          <w:b w:val="0"/>
        </w:rPr>
        <w:t>Current Plan</w:t>
      </w:r>
    </w:p>
    <w:p>
      <w:pPr>
        <w:pStyle w:val="ListBullet"/>
        <w:jc w:val="right"/>
        <w:bidi w:val="1"/>
      </w:pPr>
      <w:r>
        <w:rPr>
          <w:b w:val="0"/>
        </w:rPr>
        <w:t>Upgrade CTA عند الحاجة</w:t>
      </w:r>
    </w:p>
    <w:p>
      <w:pPr>
        <w:pStyle w:val="ListBullet"/>
        <w:jc w:val="right"/>
        <w:bidi w:val="1"/>
      </w:pPr>
      <w:r>
        <w:rPr>
          <w:b w:val="0"/>
        </w:rPr>
        <w:t>No secret labels in DOM/API/metadata</w:t>
      </w:r>
    </w:p>
    <w:p>
      <w:pPr>
        <w:pStyle w:val="Heading1"/>
        <w:jc w:val="right"/>
        <w:bidi w:val="1"/>
      </w:pPr>
      <w:r>
        <w:rPr>
          <w:b w:val="0"/>
        </w:rPr>
        <w:t>68. الصفحة العامة مقابل مساحة العميل</w:t>
      </w:r>
    </w:p>
    <w:p>
      <w:pPr>
        <w:jc w:val="right"/>
        <w:bidi w:val="1"/>
      </w:pPr>
      <w:r>
        <w:rPr>
          <w:b w:val="0"/>
        </w:rPr>
        <w:t>Landing/Public غير المسجل يبقى CORE-first ولا يتحول إلى مخطط تقني. يمكن أن تشرح صفحة Pricing أن الخطط تمنح طبقات مسماة معتمدة، لكن لا تكشف أي أسماء غير الخمسة. Customer Workspace بعد المصادقة هو المكان الأساسي لتطبيق Entitlement الأسماء.</w:t>
      </w:r>
    </w:p>
    <w:p>
      <w:pPr>
        <w:pStyle w:val="Heading1"/>
        <w:jc w:val="right"/>
        <w:bidi w:val="1"/>
      </w:pPr>
      <w:r>
        <w:rPr>
          <w:b w:val="0"/>
        </w:rPr>
        <w:t>69. Final UI/UX + Confidentiality Approval State</w:t>
      </w:r>
    </w:p>
    <w:tbl>
      <w:tblPr>
        <w:tblStyle w:val="TableGrid"/>
        <w:tblW w:type="auto" w:w="0"/>
        <w:jc w:val="center"/>
        <w:tblLook w:firstColumn="1" w:firstRow="1" w:lastColumn="0" w:lastRow="0" w:noHBand="0" w:noVBand="1" w:val="04A0"/>
      </w:tblPr>
      <w:tblGrid>
        <w:gridCol w:w="9866"/>
      </w:tblGrid>
      <w:tr>
        <w:tc>
          <w:tcPr>
            <w:tcW w:type="dxa" w:w="9866"/>
            <w:shd w:fill="171A1F"/>
          </w:tcPr>
          <w:p>
            <w:r>
              <w:rPr>
                <w:b/>
                <w:color w:val="F6F4EE"/>
              </w:rPr>
              <w:t>OWNER_REVISION=2026-08-08</w:t>
            </w:r>
          </w:p>
        </w:tc>
      </w:tr>
      <w:tr>
        <w:tc>
          <w:tcPr>
            <w:tcW w:type="dxa" w:w="9866"/>
          </w:tcPr>
          <w:p>
            <w:r>
              <w:t>VISUAL_IDENTITY=CHARCOAL_GOLD_SKYBLUE</w:t>
            </w:r>
          </w:p>
        </w:tc>
      </w:tr>
      <w:tr>
        <w:tc>
          <w:tcPr>
            <w:tcW w:type="dxa" w:w="9866"/>
          </w:tcPr>
          <w:p>
            <w:r>
              <w:t>LOGO_COMPLEXITY=3_OF_10</w:t>
            </w:r>
          </w:p>
        </w:tc>
      </w:tr>
      <w:tr>
        <w:tc>
          <w:tcPr>
            <w:tcW w:type="dxa" w:w="9866"/>
          </w:tcPr>
          <w:p>
            <w:r>
              <w:t>CUSTOMER_VISIBLE_NAMES=5_NAME_ONLY</w:t>
            </w:r>
          </w:p>
        </w:tc>
      </w:tr>
      <w:tr>
        <w:tc>
          <w:tcPr>
            <w:tcW w:type="dxa" w:w="9866"/>
          </w:tcPr>
          <w:p>
            <w:r>
              <w:t>HIDDEN_INTERNAL_NAMES=11_PLUS_ALL_UNAPPROVED_TERMS</w:t>
            </w:r>
          </w:p>
        </w:tc>
      </w:tr>
      <w:tr>
        <w:tc>
          <w:tcPr>
            <w:tcW w:type="dxa" w:w="9866"/>
          </w:tcPr>
          <w:p>
            <w:r>
              <w:t>TRIAL_DAYS=16</w:t>
            </w:r>
          </w:p>
        </w:tc>
      </w:tr>
      <w:tr>
        <w:tc>
          <w:tcPr>
            <w:tcW w:type="dxa" w:w="9866"/>
          </w:tcPr>
          <w:p>
            <w:r>
              <w:t>CUSTOMER_PLANS=FREE_PRO_ELITE_INSTITUTIONAL</w:t>
            </w:r>
          </w:p>
        </w:tc>
      </w:tr>
      <w:tr>
        <w:tc>
          <w:tcPr>
            <w:tcW w:type="dxa" w:w="9866"/>
          </w:tcPr>
          <w:p>
            <w:r>
              <w:t>ENTITLEMENT_ENFORCEMENT=SERVER_SIDE</w:t>
            </w:r>
          </w:p>
        </w:tc>
      </w:tr>
      <w:tr>
        <w:tc>
          <w:tcPr>
            <w:tcW w:type="dxa" w:w="9866"/>
          </w:tcPr>
          <w:p>
            <w:r>
              <w:t>SECRETS_SENT_TO_BROWSER=FORBIDDEN</w:t>
            </w:r>
          </w:p>
        </w:tc>
      </w:tr>
      <w:tr>
        <w:tc>
          <w:tcPr>
            <w:tcW w:type="dxa" w:w="9866"/>
          </w:tcPr>
          <w:p>
            <w:r>
              <w:t>UNIQUE_CONTENT_PRESERVED=YES</w:t>
            </w:r>
          </w:p>
        </w:tc>
      </w:tr>
      <w:tr>
        <w:tc>
          <w:tcPr>
            <w:tcW w:type="dxa" w:w="9866"/>
          </w:tcPr>
          <w:p>
            <w:r>
              <w:t>TRUE_DUPLICATES_CONSOLIDATED=YES</w:t>
            </w:r>
          </w:p>
        </w:tc>
      </w:tr>
    </w:tbl>
    <w:p>
      <w:pPr>
        <w:jc w:val="right"/>
        <w:bidi w:val="1"/>
      </w:pPr>
      <w:r>
        <w:rPr>
          <w:b/>
        </w:rPr>
        <w:t>القاعدة الختامية: NDSP يجب أن يبيّن عمق الذكاء الذي يقدمه، دون أن يقدّم للمستخدم أو المنافس خريطة مجانية لأسرار هذا الذكاء.</w:t>
      </w:r>
    </w:p>
    <w:p>
      <w:pPr>
        <w:spacing w:after="80" w:before="0" w:line="276" w:lineRule="auto"/>
        <w:jc w:val="left"/>
      </w:pPr>
      <w:r>
        <w:rPr>
          <w:rFonts w:ascii="Noto Sans Arabic" w:hAnsi="Noto Sans Arabic" w:cs="Noto Sans Arabic"/>
          <w:b/>
          <w:color w:val="22262D"/>
          <w:sz w:val="20"/>
        </w:rPr>
        <w:t>END OF NDSP UI/UX + VISUAL DESIGN GOVERNANCE</w:t>
      </w:r>
    </w:p>
    <w:p>
      <w:r>
        <w:br w:type="page"/>
      </w:r>
    </w:p>
    <w:p>
      <w:pPr>
        <w:jc w:val="right"/>
        <w:bidi w:val="1"/>
      </w:pPr>
      <w:r>
        <w:t>Revision note: any legacy references in preserved source material to “four visible layers”, “12 protected layers”, or older package names are superseded for current UI by the owner-approved five-name model and the Free / Pro / Elite / Institutional plan presentation in PART II. Historical wording may remain only as traceability, not as active UI specification.</w:t>
      </w:r>
    </w:p>
    <w:p>
      <w:pPr>
        <w:pStyle w:val="Heading1"/>
        <w:keepNext/>
        <w:spacing w:before="240" w:after="100"/>
        <w:jc w:val="left"/>
      </w:pPr>
      <w:r>
        <w:rPr>
          <w:rFonts w:ascii="Noto Kufi Arabic" w:hAnsi="Noto Kufi Arabic" w:cs="Noto Kufi Arabic"/>
          <w:b/>
          <w:color w:val="8E6D27"/>
          <w:sz w:val="36"/>
        </w:rPr>
        <w:t>PART III — Frontend Engineering Reference Preserved from the Original Report</w:t>
      </w:r>
    </w:p>
    <w:p>
      <w:pPr>
        <w:bidi w:val="1"/>
        <w:spacing w:after="80" w:before="0" w:line="276" w:lineRule="auto"/>
        <w:jc w:val="right"/>
      </w:pPr>
      <w:r>
        <w:rPr>
          <w:rFonts w:ascii="Noto Sans Arabic" w:hAnsi="Noto Sans Arabic" w:cs="Noto Sans Arabic"/>
          <w:b w:val="0"/>
          <w:color w:val="22262D"/>
          <w:sz w:val="20"/>
        </w:rPr>
        <w:t>تبقى الأدوات والمكتبات والهندسة التقنية الواردة في التقرير الأصلي محفوظة. لا يُفهم من قسم التصميم الجديد إلغاء AG Grid أو Recharts أو Apache ECharts أو React Flow أو shadcn/ui/Radix أو TanStack Query أو بقية الأدوات المعتمدة؛ التغيير الحاكم يتعلق بالهوية، التوزيع، hierarchy، exposure، ومبادئ الاستخدام.</w:t>
      </w:r>
    </w:p>
    <w:tbl>
      <w:tblPr>
        <w:tblStyle w:val="TableGrid"/>
        <w:tblW w:type="auto" w:w="0"/>
        <w:jc w:val="center"/>
        <w:tblLook w:firstColumn="1" w:firstRow="1" w:lastColumn="0" w:lastRow="0" w:noHBand="0" w:noVBand="1" w:val="04A0"/>
      </w:tblPr>
      <w:tblGrid>
        <w:gridCol w:w="4933"/>
        <w:gridCol w:w="4933"/>
      </w:tblGrid>
      <w:tr>
        <w:tc>
          <w:tcPr>
            <w:tcW w:type="dxa" w:w="4933"/>
            <w:tcMar>
              <w:top w:w="90" w:type="dxa"/>
              <w:start w:w="100" w:type="dxa"/>
              <w:bottom w:w="90" w:type="dxa"/>
              <w:end w:w="100" w:type="dxa"/>
            </w:tcMar>
            <w:shd w:fill="171A1F"/>
          </w:tcPr>
          <w:p>
            <w:pPr>
              <w:spacing w:after="80" w:before="0" w:line="276" w:lineRule="auto"/>
              <w:jc w:val="left"/>
            </w:pPr>
            <w:r>
              <w:rPr>
                <w:rFonts w:ascii="Noto Sans Arabic" w:hAnsi="Noto Sans Arabic" w:cs="Noto Sans Arabic"/>
                <w:b/>
                <w:color w:val="FFFFFF"/>
                <w:sz w:val="18"/>
              </w:rPr>
              <w:t>Base UI</w:t>
            </w:r>
          </w:p>
        </w:tc>
        <w:tc>
          <w:tcPr>
            <w:tcW w:type="dxa" w:w="4933"/>
            <w:tcMar>
              <w:top w:w="90" w:type="dxa"/>
              <w:start w:w="100" w:type="dxa"/>
              <w:bottom w:w="90" w:type="dxa"/>
              <w:end w:w="100" w:type="dxa"/>
            </w:tcMar>
          </w:tcPr>
          <w:p>
            <w:pPr>
              <w:spacing w:after="80" w:before="0" w:line="276" w:lineRule="auto"/>
              <w:jc w:val="left"/>
            </w:pPr>
            <w:r>
              <w:rPr>
                <w:rFonts w:ascii="Noto Sans Arabic" w:hAnsi="Noto Sans Arabic" w:cs="Noto Sans Arabic"/>
                <w:b w:val="0"/>
                <w:color w:val="22262D"/>
                <w:sz w:val="18"/>
              </w:rPr>
              <w:t>shadcn/ui + Radix UI + Lucide React</w:t>
            </w:r>
          </w:p>
        </w:tc>
      </w:tr>
      <w:tr>
        <w:tc>
          <w:tcPr>
            <w:tcW w:type="dxa" w:w="4933"/>
            <w:tcMar>
              <w:top w:w="90" w:type="dxa"/>
              <w:start w:w="100" w:type="dxa"/>
              <w:bottom w:w="90" w:type="dxa"/>
              <w:end w:w="100" w:type="dxa"/>
            </w:tcMar>
            <w:shd w:fill="171A1F"/>
          </w:tcPr>
          <w:p>
            <w:pPr>
              <w:spacing w:after="80" w:before="0" w:line="276" w:lineRule="auto"/>
              <w:jc w:val="left"/>
            </w:pPr>
            <w:r>
              <w:rPr>
                <w:rFonts w:ascii="Noto Sans Arabic" w:hAnsi="Noto Sans Arabic" w:cs="Noto Sans Arabic"/>
                <w:b/>
                <w:color w:val="FFFFFF"/>
                <w:sz w:val="18"/>
              </w:rPr>
              <w:t>Forms</w:t>
            </w:r>
          </w:p>
        </w:tc>
        <w:tc>
          <w:tcPr>
            <w:tcW w:type="dxa" w:w="4933"/>
            <w:tcMar>
              <w:top w:w="90" w:type="dxa"/>
              <w:start w:w="100" w:type="dxa"/>
              <w:bottom w:w="90" w:type="dxa"/>
              <w:end w:w="100" w:type="dxa"/>
            </w:tcMar>
          </w:tcPr>
          <w:p>
            <w:pPr>
              <w:spacing w:after="80" w:before="0" w:line="276" w:lineRule="auto"/>
              <w:jc w:val="left"/>
            </w:pPr>
            <w:r>
              <w:rPr>
                <w:rFonts w:ascii="Noto Sans Arabic" w:hAnsi="Noto Sans Arabic" w:cs="Noto Sans Arabic"/>
                <w:b w:val="0"/>
                <w:color w:val="22262D"/>
                <w:sz w:val="18"/>
              </w:rPr>
              <w:t>React Hook Form + Zod</w:t>
            </w:r>
          </w:p>
        </w:tc>
      </w:tr>
      <w:tr>
        <w:tc>
          <w:tcPr>
            <w:tcW w:type="dxa" w:w="4933"/>
            <w:tcMar>
              <w:top w:w="90" w:type="dxa"/>
              <w:start w:w="100" w:type="dxa"/>
              <w:bottom w:w="90" w:type="dxa"/>
              <w:end w:w="100" w:type="dxa"/>
            </w:tcMar>
            <w:shd w:fill="171A1F"/>
          </w:tcPr>
          <w:p>
            <w:pPr>
              <w:spacing w:after="80" w:before="0" w:line="276" w:lineRule="auto"/>
              <w:jc w:val="left"/>
            </w:pPr>
            <w:r>
              <w:rPr>
                <w:rFonts w:ascii="Noto Sans Arabic" w:hAnsi="Noto Sans Arabic" w:cs="Noto Sans Arabic"/>
                <w:b/>
                <w:color w:val="FFFFFF"/>
                <w:sz w:val="18"/>
              </w:rPr>
              <w:t>Server State</w:t>
            </w:r>
          </w:p>
        </w:tc>
        <w:tc>
          <w:tcPr>
            <w:tcW w:type="dxa" w:w="4933"/>
            <w:tcMar>
              <w:top w:w="90" w:type="dxa"/>
              <w:start w:w="100" w:type="dxa"/>
              <w:bottom w:w="90" w:type="dxa"/>
              <w:end w:w="100" w:type="dxa"/>
            </w:tcMar>
          </w:tcPr>
          <w:p>
            <w:pPr>
              <w:spacing w:after="80" w:before="0" w:line="276" w:lineRule="auto"/>
              <w:jc w:val="left"/>
            </w:pPr>
            <w:r>
              <w:rPr>
                <w:rFonts w:ascii="Noto Sans Arabic" w:hAnsi="Noto Sans Arabic" w:cs="Noto Sans Arabic"/>
                <w:b w:val="0"/>
                <w:color w:val="22262D"/>
                <w:sz w:val="18"/>
              </w:rPr>
              <w:t>TanStack Query</w:t>
            </w:r>
          </w:p>
        </w:tc>
      </w:tr>
      <w:tr>
        <w:tc>
          <w:tcPr>
            <w:tcW w:type="dxa" w:w="4933"/>
            <w:tcMar>
              <w:top w:w="90" w:type="dxa"/>
              <w:start w:w="100" w:type="dxa"/>
              <w:bottom w:w="90" w:type="dxa"/>
              <w:end w:w="100" w:type="dxa"/>
            </w:tcMar>
            <w:shd w:fill="171A1F"/>
          </w:tcPr>
          <w:p>
            <w:pPr>
              <w:spacing w:after="80" w:before="0" w:line="276" w:lineRule="auto"/>
              <w:jc w:val="left"/>
            </w:pPr>
            <w:r>
              <w:rPr>
                <w:rFonts w:ascii="Noto Sans Arabic" w:hAnsi="Noto Sans Arabic" w:cs="Noto Sans Arabic"/>
                <w:b/>
                <w:color w:val="FFFFFF"/>
                <w:sz w:val="18"/>
              </w:rPr>
              <w:t>Routing</w:t>
            </w:r>
          </w:p>
        </w:tc>
        <w:tc>
          <w:tcPr>
            <w:tcW w:type="dxa" w:w="4933"/>
            <w:tcMar>
              <w:top w:w="90" w:type="dxa"/>
              <w:start w:w="100" w:type="dxa"/>
              <w:bottom w:w="90" w:type="dxa"/>
              <w:end w:w="100" w:type="dxa"/>
            </w:tcMar>
          </w:tcPr>
          <w:p>
            <w:pPr>
              <w:bidi w:val="1"/>
              <w:spacing w:after="80" w:before="0" w:line="276" w:lineRule="auto"/>
              <w:jc w:val="right"/>
            </w:pPr>
            <w:r>
              <w:rPr>
                <w:rFonts w:ascii="Noto Sans Arabic" w:hAnsi="Noto Sans Arabic" w:cs="Noto Sans Arabic"/>
                <w:b w:val="0"/>
                <w:color w:val="22262D"/>
                <w:sz w:val="18"/>
              </w:rPr>
              <w:t>React Router أو TanStack Router وفق التطبيق الحالي</w:t>
            </w:r>
          </w:p>
        </w:tc>
      </w:tr>
      <w:tr>
        <w:tc>
          <w:tcPr>
            <w:tcW w:type="dxa" w:w="4933"/>
            <w:tcMar>
              <w:top w:w="90" w:type="dxa"/>
              <w:start w:w="100" w:type="dxa"/>
              <w:bottom w:w="90" w:type="dxa"/>
              <w:end w:w="100" w:type="dxa"/>
            </w:tcMar>
            <w:shd w:fill="171A1F"/>
          </w:tcPr>
          <w:p>
            <w:pPr>
              <w:spacing w:after="80" w:before="0" w:line="276" w:lineRule="auto"/>
              <w:jc w:val="left"/>
            </w:pPr>
            <w:r>
              <w:rPr>
                <w:rFonts w:ascii="Noto Sans Arabic" w:hAnsi="Noto Sans Arabic" w:cs="Noto Sans Arabic"/>
                <w:b/>
                <w:color w:val="FFFFFF"/>
                <w:sz w:val="18"/>
              </w:rPr>
              <w:t>Simple Charts</w:t>
            </w:r>
          </w:p>
        </w:tc>
        <w:tc>
          <w:tcPr>
            <w:tcW w:type="dxa" w:w="4933"/>
            <w:tcMar>
              <w:top w:w="90" w:type="dxa"/>
              <w:start w:w="100" w:type="dxa"/>
              <w:bottom w:w="90" w:type="dxa"/>
              <w:end w:w="100" w:type="dxa"/>
            </w:tcMar>
          </w:tcPr>
          <w:p>
            <w:pPr>
              <w:spacing w:after="80" w:before="0" w:line="276" w:lineRule="auto"/>
              <w:jc w:val="left"/>
            </w:pPr>
            <w:r>
              <w:rPr>
                <w:rFonts w:ascii="Noto Sans Arabic" w:hAnsi="Noto Sans Arabic" w:cs="Noto Sans Arabic"/>
                <w:b w:val="0"/>
                <w:color w:val="22262D"/>
                <w:sz w:val="18"/>
              </w:rPr>
              <w:t>Recharts</w:t>
            </w:r>
          </w:p>
        </w:tc>
      </w:tr>
      <w:tr>
        <w:tc>
          <w:tcPr>
            <w:tcW w:type="dxa" w:w="4933"/>
            <w:tcMar>
              <w:top w:w="90" w:type="dxa"/>
              <w:start w:w="100" w:type="dxa"/>
              <w:bottom w:w="90" w:type="dxa"/>
              <w:end w:w="100" w:type="dxa"/>
            </w:tcMar>
            <w:shd w:fill="171A1F"/>
          </w:tcPr>
          <w:p>
            <w:pPr>
              <w:spacing w:after="80" w:before="0" w:line="276" w:lineRule="auto"/>
              <w:jc w:val="left"/>
            </w:pPr>
            <w:r>
              <w:rPr>
                <w:rFonts w:ascii="Noto Sans Arabic" w:hAnsi="Noto Sans Arabic" w:cs="Noto Sans Arabic"/>
                <w:b/>
                <w:color w:val="FFFFFF"/>
                <w:sz w:val="18"/>
              </w:rPr>
              <w:t>Advanced Analytics</w:t>
            </w:r>
          </w:p>
        </w:tc>
        <w:tc>
          <w:tcPr>
            <w:tcW w:type="dxa" w:w="4933"/>
            <w:tcMar>
              <w:top w:w="90" w:type="dxa"/>
              <w:start w:w="100" w:type="dxa"/>
              <w:bottom w:w="90" w:type="dxa"/>
              <w:end w:w="100" w:type="dxa"/>
            </w:tcMar>
          </w:tcPr>
          <w:p>
            <w:pPr>
              <w:spacing w:after="80" w:before="0" w:line="276" w:lineRule="auto"/>
              <w:jc w:val="left"/>
            </w:pPr>
            <w:r>
              <w:rPr>
                <w:rFonts w:ascii="Noto Sans Arabic" w:hAnsi="Noto Sans Arabic" w:cs="Noto Sans Arabic"/>
                <w:b w:val="0"/>
                <w:color w:val="22262D"/>
                <w:sz w:val="18"/>
              </w:rPr>
              <w:t>Apache ECharts</w:t>
            </w:r>
          </w:p>
        </w:tc>
      </w:tr>
      <w:tr>
        <w:tc>
          <w:tcPr>
            <w:tcW w:type="dxa" w:w="4933"/>
            <w:tcMar>
              <w:top w:w="90" w:type="dxa"/>
              <w:start w:w="100" w:type="dxa"/>
              <w:bottom w:w="90" w:type="dxa"/>
              <w:end w:w="100" w:type="dxa"/>
            </w:tcMar>
            <w:shd w:fill="171A1F"/>
          </w:tcPr>
          <w:p>
            <w:pPr>
              <w:spacing w:after="80" w:before="0" w:line="276" w:lineRule="auto"/>
              <w:jc w:val="left"/>
            </w:pPr>
            <w:r>
              <w:rPr>
                <w:rFonts w:ascii="Noto Sans Arabic" w:hAnsi="Noto Sans Arabic" w:cs="Noto Sans Arabic"/>
                <w:b/>
                <w:color w:val="FFFFFF"/>
                <w:sz w:val="18"/>
              </w:rPr>
              <w:t>Large Tables</w:t>
            </w:r>
          </w:p>
        </w:tc>
        <w:tc>
          <w:tcPr>
            <w:tcW w:type="dxa" w:w="4933"/>
            <w:tcMar>
              <w:top w:w="90" w:type="dxa"/>
              <w:start w:w="100" w:type="dxa"/>
              <w:bottom w:w="90" w:type="dxa"/>
              <w:end w:w="100" w:type="dxa"/>
            </w:tcMar>
          </w:tcPr>
          <w:p>
            <w:pPr>
              <w:spacing w:after="80" w:before="0" w:line="276" w:lineRule="auto"/>
              <w:jc w:val="left"/>
            </w:pPr>
            <w:r>
              <w:rPr>
                <w:rFonts w:ascii="Noto Sans Arabic" w:hAnsi="Noto Sans Arabic" w:cs="Noto Sans Arabic"/>
                <w:b w:val="0"/>
                <w:color w:val="22262D"/>
                <w:sz w:val="18"/>
              </w:rPr>
              <w:t>AG Grid</w:t>
            </w:r>
          </w:p>
        </w:tc>
      </w:tr>
      <w:tr>
        <w:tc>
          <w:tcPr>
            <w:tcW w:type="dxa" w:w="4933"/>
            <w:tcMar>
              <w:top w:w="90" w:type="dxa"/>
              <w:start w:w="100" w:type="dxa"/>
              <w:bottom w:w="90" w:type="dxa"/>
              <w:end w:w="100" w:type="dxa"/>
            </w:tcMar>
            <w:shd w:fill="171A1F"/>
          </w:tcPr>
          <w:p>
            <w:pPr>
              <w:spacing w:after="80" w:before="0" w:line="276" w:lineRule="auto"/>
              <w:jc w:val="left"/>
            </w:pPr>
            <w:r>
              <w:rPr>
                <w:rFonts w:ascii="Noto Sans Arabic" w:hAnsi="Noto Sans Arabic" w:cs="Noto Sans Arabic"/>
                <w:b/>
                <w:color w:val="FFFFFF"/>
                <w:sz w:val="18"/>
              </w:rPr>
              <w:t>Flows / Graphs</w:t>
            </w:r>
          </w:p>
        </w:tc>
        <w:tc>
          <w:tcPr>
            <w:tcW w:type="dxa" w:w="4933"/>
            <w:tcMar>
              <w:top w:w="90" w:type="dxa"/>
              <w:start w:w="100" w:type="dxa"/>
              <w:bottom w:w="90" w:type="dxa"/>
              <w:end w:w="100" w:type="dxa"/>
            </w:tcMar>
          </w:tcPr>
          <w:p>
            <w:pPr>
              <w:spacing w:after="80" w:before="0" w:line="276" w:lineRule="auto"/>
              <w:jc w:val="left"/>
            </w:pPr>
            <w:r>
              <w:rPr>
                <w:rFonts w:ascii="Noto Sans Arabic" w:hAnsi="Noto Sans Arabic" w:cs="Noto Sans Arabic"/>
                <w:b w:val="0"/>
                <w:color w:val="22262D"/>
                <w:sz w:val="18"/>
              </w:rPr>
              <w:t>React Flow</w:t>
            </w:r>
          </w:p>
        </w:tc>
      </w:tr>
      <w:tr>
        <w:tc>
          <w:tcPr>
            <w:tcW w:type="dxa" w:w="4933"/>
            <w:tcMar>
              <w:top w:w="90" w:type="dxa"/>
              <w:start w:w="100" w:type="dxa"/>
              <w:bottom w:w="90" w:type="dxa"/>
              <w:end w:w="100" w:type="dxa"/>
            </w:tcMar>
            <w:shd w:fill="171A1F"/>
          </w:tcPr>
          <w:p>
            <w:pPr>
              <w:spacing w:after="80" w:before="0" w:line="276" w:lineRule="auto"/>
              <w:jc w:val="left"/>
            </w:pPr>
            <w:r>
              <w:rPr>
                <w:rFonts w:ascii="Noto Sans Arabic" w:hAnsi="Noto Sans Arabic" w:cs="Noto Sans Arabic"/>
                <w:b/>
                <w:color w:val="FFFFFF"/>
                <w:sz w:val="18"/>
              </w:rPr>
              <w:t>Documentation</w:t>
            </w:r>
          </w:p>
        </w:tc>
        <w:tc>
          <w:tcPr>
            <w:tcW w:type="dxa" w:w="4933"/>
            <w:tcMar>
              <w:top w:w="90" w:type="dxa"/>
              <w:start w:w="100" w:type="dxa"/>
              <w:bottom w:w="90" w:type="dxa"/>
              <w:end w:w="100" w:type="dxa"/>
            </w:tcMar>
          </w:tcPr>
          <w:p>
            <w:pPr>
              <w:spacing w:after="80" w:before="0" w:line="276" w:lineRule="auto"/>
              <w:jc w:val="left"/>
            </w:pPr>
            <w:r>
              <w:rPr>
                <w:rFonts w:ascii="Noto Sans Arabic" w:hAnsi="Noto Sans Arabic" w:cs="Noto Sans Arabic"/>
                <w:b w:val="0"/>
                <w:color w:val="22262D"/>
                <w:sz w:val="18"/>
              </w:rPr>
              <w:t>TipTap</w:t>
            </w:r>
          </w:p>
        </w:tc>
      </w:tr>
      <w:tr>
        <w:tc>
          <w:tcPr>
            <w:tcW w:type="dxa" w:w="4933"/>
            <w:tcMar>
              <w:top w:w="90" w:type="dxa"/>
              <w:start w:w="100" w:type="dxa"/>
              <w:bottom w:w="90" w:type="dxa"/>
              <w:end w:w="100" w:type="dxa"/>
            </w:tcMar>
            <w:shd w:fill="171A1F"/>
          </w:tcPr>
          <w:p>
            <w:pPr>
              <w:spacing w:after="80" w:before="0" w:line="276" w:lineRule="auto"/>
              <w:jc w:val="left"/>
            </w:pPr>
            <w:r>
              <w:rPr>
                <w:rFonts w:ascii="Noto Sans Arabic" w:hAnsi="Noto Sans Arabic" w:cs="Noto Sans Arabic"/>
                <w:b/>
                <w:color w:val="FFFFFF"/>
                <w:sz w:val="18"/>
              </w:rPr>
              <w:t>Code / Contracts</w:t>
            </w:r>
          </w:p>
        </w:tc>
        <w:tc>
          <w:tcPr>
            <w:tcW w:type="dxa" w:w="4933"/>
            <w:tcMar>
              <w:top w:w="90" w:type="dxa"/>
              <w:start w:w="100" w:type="dxa"/>
              <w:bottom w:w="90" w:type="dxa"/>
              <w:end w:w="100" w:type="dxa"/>
            </w:tcMar>
          </w:tcPr>
          <w:p>
            <w:pPr>
              <w:spacing w:after="80" w:before="0" w:line="276" w:lineRule="auto"/>
              <w:jc w:val="left"/>
            </w:pPr>
            <w:r>
              <w:rPr>
                <w:rFonts w:ascii="Noto Sans Arabic" w:hAnsi="Noto Sans Arabic" w:cs="Noto Sans Arabic"/>
                <w:b w:val="0"/>
                <w:color w:val="22262D"/>
                <w:sz w:val="18"/>
              </w:rPr>
              <w:t>Monaco Editor</w:t>
            </w:r>
          </w:p>
        </w:tc>
      </w:tr>
      <w:tr>
        <w:tc>
          <w:tcPr>
            <w:tcW w:type="dxa" w:w="4933"/>
            <w:tcMar>
              <w:top w:w="90" w:type="dxa"/>
              <w:start w:w="100" w:type="dxa"/>
              <w:bottom w:w="90" w:type="dxa"/>
              <w:end w:w="100" w:type="dxa"/>
            </w:tcMar>
            <w:shd w:fill="171A1F"/>
          </w:tcPr>
          <w:p>
            <w:pPr>
              <w:spacing w:after="80" w:before="0" w:line="276" w:lineRule="auto"/>
              <w:jc w:val="left"/>
            </w:pPr>
            <w:r>
              <w:rPr>
                <w:rFonts w:ascii="Noto Sans Arabic" w:hAnsi="Noto Sans Arabic" w:cs="Noto Sans Arabic"/>
                <w:b/>
                <w:color w:val="FFFFFF"/>
                <w:sz w:val="18"/>
              </w:rPr>
              <w:t>Calendar</w:t>
            </w:r>
          </w:p>
        </w:tc>
        <w:tc>
          <w:tcPr>
            <w:tcW w:type="dxa" w:w="4933"/>
            <w:tcMar>
              <w:top w:w="90" w:type="dxa"/>
              <w:start w:w="100" w:type="dxa"/>
              <w:bottom w:w="90" w:type="dxa"/>
              <w:end w:w="100" w:type="dxa"/>
            </w:tcMar>
          </w:tcPr>
          <w:p>
            <w:pPr>
              <w:spacing w:after="80" w:before="0" w:line="276" w:lineRule="auto"/>
              <w:jc w:val="left"/>
            </w:pPr>
            <w:r>
              <w:rPr>
                <w:rFonts w:ascii="Noto Sans Arabic" w:hAnsi="Noto Sans Arabic" w:cs="Noto Sans Arabic"/>
                <w:b w:val="0"/>
                <w:color w:val="22262D"/>
                <w:sz w:val="18"/>
              </w:rPr>
              <w:t>FullCalendar</w:t>
            </w:r>
          </w:p>
        </w:tc>
      </w:tr>
      <w:tr>
        <w:tc>
          <w:tcPr>
            <w:tcW w:type="dxa" w:w="4933"/>
            <w:tcMar>
              <w:top w:w="90" w:type="dxa"/>
              <w:start w:w="100" w:type="dxa"/>
              <w:bottom w:w="90" w:type="dxa"/>
              <w:end w:w="100" w:type="dxa"/>
            </w:tcMar>
            <w:shd w:fill="171A1F"/>
          </w:tcPr>
          <w:p>
            <w:pPr>
              <w:spacing w:after="80" w:before="0" w:line="276" w:lineRule="auto"/>
              <w:jc w:val="left"/>
            </w:pPr>
            <w:r>
              <w:rPr>
                <w:rFonts w:ascii="Noto Sans Arabic" w:hAnsi="Noto Sans Arabic" w:cs="Noto Sans Arabic"/>
                <w:b/>
                <w:color w:val="FFFFFF"/>
                <w:sz w:val="18"/>
              </w:rPr>
              <w:t>Maps</w:t>
            </w:r>
          </w:p>
        </w:tc>
        <w:tc>
          <w:tcPr>
            <w:tcW w:type="dxa" w:w="4933"/>
            <w:tcMar>
              <w:top w:w="90" w:type="dxa"/>
              <w:start w:w="100" w:type="dxa"/>
              <w:bottom w:w="90" w:type="dxa"/>
              <w:end w:w="100" w:type="dxa"/>
            </w:tcMar>
          </w:tcPr>
          <w:p>
            <w:pPr>
              <w:spacing w:after="80" w:before="0" w:line="276" w:lineRule="auto"/>
              <w:jc w:val="left"/>
            </w:pPr>
            <w:r>
              <w:rPr>
                <w:rFonts w:ascii="Noto Sans Arabic" w:hAnsi="Noto Sans Arabic" w:cs="Noto Sans Arabic"/>
                <w:b w:val="0"/>
                <w:color w:val="22262D"/>
                <w:sz w:val="18"/>
              </w:rPr>
              <w:t>Leaflet default; MapLibre GL / Mapbox GL for advanced cases</w:t>
            </w:r>
          </w:p>
        </w:tc>
      </w:tr>
      <w:tr>
        <w:tc>
          <w:tcPr>
            <w:tcW w:type="dxa" w:w="4933"/>
            <w:tcMar>
              <w:top w:w="90" w:type="dxa"/>
              <w:start w:w="100" w:type="dxa"/>
              <w:bottom w:w="90" w:type="dxa"/>
              <w:end w:w="100" w:type="dxa"/>
            </w:tcMar>
            <w:shd w:fill="171A1F"/>
          </w:tcPr>
          <w:p>
            <w:pPr>
              <w:spacing w:after="80" w:before="0" w:line="276" w:lineRule="auto"/>
              <w:jc w:val="left"/>
            </w:pPr>
            <w:r>
              <w:rPr>
                <w:rFonts w:ascii="Noto Sans Arabic" w:hAnsi="Noto Sans Arabic" w:cs="Noto Sans Arabic"/>
                <w:b/>
                <w:color w:val="FFFFFF"/>
                <w:sz w:val="18"/>
              </w:rPr>
              <w:t>Testing</w:t>
            </w:r>
          </w:p>
        </w:tc>
        <w:tc>
          <w:tcPr>
            <w:tcW w:type="dxa" w:w="4933"/>
            <w:tcMar>
              <w:top w:w="90" w:type="dxa"/>
              <w:start w:w="100" w:type="dxa"/>
              <w:bottom w:w="90" w:type="dxa"/>
              <w:end w:w="100" w:type="dxa"/>
            </w:tcMar>
          </w:tcPr>
          <w:p>
            <w:pPr>
              <w:spacing w:after="80" w:before="0" w:line="276" w:lineRule="auto"/>
              <w:jc w:val="left"/>
            </w:pPr>
            <w:r>
              <w:rPr>
                <w:rFonts w:ascii="Noto Sans Arabic" w:hAnsi="Noto Sans Arabic" w:cs="Noto Sans Arabic"/>
                <w:b w:val="0"/>
                <w:color w:val="22262D"/>
                <w:sz w:val="18"/>
              </w:rPr>
              <w:t>Vitest + Testing Library + Playwright; MSW for tests/dev only</w:t>
            </w:r>
          </w:p>
        </w:tc>
      </w:tr>
      <w:tr>
        <w:tc>
          <w:tcPr>
            <w:tcW w:type="dxa" w:w="4933"/>
            <w:tcMar>
              <w:top w:w="90" w:type="dxa"/>
              <w:start w:w="100" w:type="dxa"/>
              <w:bottom w:w="90" w:type="dxa"/>
              <w:end w:w="100" w:type="dxa"/>
            </w:tcMar>
            <w:shd w:fill="171A1F"/>
          </w:tcPr>
          <w:p>
            <w:pPr>
              <w:spacing w:after="80" w:before="0" w:line="276" w:lineRule="auto"/>
              <w:jc w:val="left"/>
            </w:pPr>
            <w:r>
              <w:rPr>
                <w:rFonts w:ascii="Noto Sans Arabic" w:hAnsi="Noto Sans Arabic" w:cs="Noto Sans Arabic"/>
                <w:b/>
                <w:color w:val="FFFFFF"/>
                <w:sz w:val="18"/>
              </w:rPr>
              <w:t>Component Documentation</w:t>
            </w:r>
          </w:p>
        </w:tc>
        <w:tc>
          <w:tcPr>
            <w:tcW w:type="dxa" w:w="4933"/>
            <w:tcMar>
              <w:top w:w="90" w:type="dxa"/>
              <w:start w:w="100" w:type="dxa"/>
              <w:bottom w:w="90" w:type="dxa"/>
              <w:end w:w="100" w:type="dxa"/>
            </w:tcMar>
          </w:tcPr>
          <w:p>
            <w:pPr>
              <w:spacing w:after="80" w:before="0" w:line="276" w:lineRule="auto"/>
              <w:jc w:val="left"/>
            </w:pPr>
            <w:r>
              <w:rPr>
                <w:rFonts w:ascii="Noto Sans Arabic" w:hAnsi="Noto Sans Arabic" w:cs="Noto Sans Arabic"/>
                <w:b w:val="0"/>
                <w:color w:val="22262D"/>
                <w:sz w:val="18"/>
              </w:rPr>
              <w:t>Storybook</w:t>
            </w:r>
          </w:p>
        </w:tc>
      </w:tr>
      <w:tr>
        <w:tc>
          <w:tcPr>
            <w:tcW w:type="dxa" w:w="4933"/>
            <w:tcMar>
              <w:top w:w="90" w:type="dxa"/>
              <w:start w:w="100" w:type="dxa"/>
              <w:bottom w:w="90" w:type="dxa"/>
              <w:end w:w="100" w:type="dxa"/>
            </w:tcMar>
            <w:shd w:fill="171A1F"/>
          </w:tcPr>
          <w:p>
            <w:pPr>
              <w:spacing w:after="80" w:before="0" w:line="276" w:lineRule="auto"/>
              <w:jc w:val="left"/>
            </w:pPr>
            <w:r>
              <w:rPr>
                <w:rFonts w:ascii="Noto Sans Arabic" w:hAnsi="Noto Sans Arabic" w:cs="Noto Sans Arabic"/>
                <w:b/>
                <w:color w:val="FFFFFF"/>
                <w:sz w:val="18"/>
              </w:rPr>
              <w:t>Frontend baseline</w:t>
            </w:r>
          </w:p>
        </w:tc>
        <w:tc>
          <w:tcPr>
            <w:tcW w:type="dxa" w:w="4933"/>
            <w:tcMar>
              <w:top w:w="90" w:type="dxa"/>
              <w:start w:w="100" w:type="dxa"/>
              <w:bottom w:w="90" w:type="dxa"/>
              <w:end w:w="100" w:type="dxa"/>
            </w:tcMar>
          </w:tcPr>
          <w:p>
            <w:pPr>
              <w:spacing w:after="80" w:before="0" w:line="276" w:lineRule="auto"/>
              <w:jc w:val="left"/>
            </w:pPr>
            <w:r>
              <w:rPr>
                <w:rFonts w:ascii="Noto Sans Arabic" w:hAnsi="Noto Sans Arabic" w:cs="Noto Sans Arabic"/>
                <w:b w:val="0"/>
                <w:color w:val="22262D"/>
                <w:sz w:val="18"/>
              </w:rPr>
              <w:t>React + Vite + TypeScript; RTL/LTR required</w:t>
            </w:r>
          </w:p>
        </w:tc>
      </w:tr>
    </w:tbl>
    <w:p>
      <w:pPr>
        <w:pStyle w:val="Heading1"/>
        <w:keepNext/>
        <w:spacing w:before="240" w:after="100"/>
        <w:jc w:val="left"/>
      </w:pPr>
      <w:r>
        <w:rPr>
          <w:rFonts w:ascii="Noto Kufi Arabic" w:hAnsi="Noto Kufi Arabic" w:cs="Noto Kufi Arabic"/>
          <w:b/>
          <w:color w:val="8E6D27"/>
          <w:sz w:val="36"/>
        </w:rPr>
        <w:t>Technical Freeze / TBD Register — Final Merge</w:t>
      </w:r>
    </w:p>
    <w:p>
      <w:pPr>
        <w:pStyle w:val="ListBullet"/>
        <w:spacing w:after="80" w:before="0" w:line="276" w:lineRule="auto"/>
        <w:jc w:val="left"/>
      </w:pPr>
      <w:r>
        <w:rPr>
          <w:rFonts w:ascii="Noto Sans Arabic" w:hAnsi="Noto Sans Arabic" w:cs="Noto Sans Arabic"/>
          <w:b w:val="0"/>
          <w:color w:val="22262D"/>
          <w:sz w:val="20"/>
        </w:rPr>
        <w:t>CORE Official Direction authoritative producer/source/storage authority/contract.</w:t>
      </w:r>
    </w:p>
    <w:p>
      <w:pPr>
        <w:pStyle w:val="ListBullet"/>
        <w:spacing w:after="80" w:before="0" w:line="276" w:lineRule="auto"/>
        <w:jc w:val="left"/>
      </w:pPr>
      <w:r>
        <w:rPr>
          <w:rFonts w:ascii="Noto Sans Arabic" w:hAnsi="Noto Sans Arabic" w:cs="Noto Sans Arabic"/>
          <w:b w:val="0"/>
          <w:color w:val="22262D"/>
          <w:sz w:val="20"/>
        </w:rPr>
        <w:t>Exact TDL Investment Mode formulas, behavior, activation rules and contract.</w:t>
      </w:r>
    </w:p>
    <w:p>
      <w:pPr>
        <w:pStyle w:val="ListBullet"/>
        <w:spacing w:after="80" w:before="0" w:line="276" w:lineRule="auto"/>
        <w:jc w:val="left"/>
      </w:pPr>
      <w:r>
        <w:rPr>
          <w:rFonts w:ascii="Noto Sans Arabic" w:hAnsi="Noto Sans Arabic" w:cs="Noto Sans Arabic"/>
          <w:b w:val="0"/>
          <w:color w:val="22262D"/>
          <w:sz w:val="20"/>
        </w:rPr>
        <w:t>Exact TDL Speculation Mode formulas, behavior, activation rules and contract.</w:t>
      </w:r>
    </w:p>
    <w:p>
      <w:pPr>
        <w:pStyle w:val="ListBullet"/>
        <w:spacing w:after="80" w:before="0" w:line="276" w:lineRule="auto"/>
        <w:jc w:val="left"/>
      </w:pPr>
      <w:r>
        <w:rPr>
          <w:rFonts w:ascii="Noto Sans Arabic" w:hAnsi="Noto Sans Arabic" w:cs="Noto Sans Arabic"/>
          <w:b w:val="0"/>
          <w:color w:val="22262D"/>
          <w:sz w:val="20"/>
        </w:rPr>
        <w:t>Exact Shadow internal logic, producer, contract and data ownership.</w:t>
      </w:r>
    </w:p>
    <w:p>
      <w:pPr>
        <w:pStyle w:val="ListBullet"/>
        <w:spacing w:after="80" w:before="0" w:line="276" w:lineRule="auto"/>
        <w:jc w:val="left"/>
      </w:pPr>
      <w:r>
        <w:rPr>
          <w:rFonts w:ascii="Noto Sans Arabic" w:hAnsi="Noto Sans Arabic" w:cs="Noto Sans Arabic"/>
          <w:b w:val="0"/>
          <w:color w:val="22262D"/>
          <w:sz w:val="20"/>
        </w:rPr>
        <w:t>Exact Review internal logic, producer, contract and data ownership.</w:t>
      </w:r>
    </w:p>
    <w:p>
      <w:pPr>
        <w:pStyle w:val="ListBullet"/>
        <w:spacing w:after="80" w:before="0" w:line="276" w:lineRule="auto"/>
        <w:jc w:val="left"/>
      </w:pPr>
      <w:r>
        <w:rPr>
          <w:rFonts w:ascii="Noto Sans Arabic" w:hAnsi="Noto Sans Arabic" w:cs="Noto Sans Arabic"/>
          <w:b w:val="0"/>
          <w:color w:val="22262D"/>
          <w:sz w:val="20"/>
        </w:rPr>
        <w:t>Detailed RBAC role/permission matrix.</w:t>
      </w:r>
    </w:p>
    <w:p>
      <w:pPr>
        <w:pStyle w:val="ListBullet"/>
        <w:spacing w:after="80" w:before="0" w:line="276" w:lineRule="auto"/>
        <w:jc w:val="left"/>
      </w:pPr>
      <w:r>
        <w:rPr>
          <w:rFonts w:ascii="Noto Sans Arabic" w:hAnsi="Noto Sans Arabic" w:cs="Noto Sans Arabic"/>
          <w:b w:val="0"/>
          <w:color w:val="22262D"/>
          <w:sz w:val="20"/>
        </w:rPr>
        <w:t>Exact Admin/Review projection contract contents beyond the frozen exposure classes.</w:t>
      </w:r>
    </w:p>
    <w:p>
      <w:pPr>
        <w:pStyle w:val="ListBullet"/>
        <w:spacing w:after="80" w:before="0" w:line="276" w:lineRule="auto"/>
        <w:jc w:val="left"/>
      </w:pPr>
      <w:r>
        <w:rPr>
          <w:rFonts w:ascii="Noto Sans Arabic" w:hAnsi="Noto Sans Arabic" w:cs="Noto Sans Arabic"/>
          <w:b w:val="0"/>
          <w:color w:val="22262D"/>
          <w:sz w:val="20"/>
        </w:rPr>
        <w:t>Any unproven mapping between legacy EXPANDED terminology and the current Shadow/Review boundaries.</w:t>
      </w:r>
    </w:p>
    <w:p>
      <w:pPr>
        <w:bidi w:val="1"/>
        <w:spacing w:after="80" w:before="0" w:line="276" w:lineRule="auto"/>
        <w:jc w:val="right"/>
      </w:pPr>
      <w:r>
        <w:rPr>
          <w:rFonts w:ascii="Noto Sans Arabic" w:hAnsi="Noto Sans Arabic" w:cs="Noto Sans Arabic"/>
          <w:b/>
          <w:color w:val="A74444"/>
          <w:sz w:val="20"/>
        </w:rPr>
        <w:t>قاعدة موحدة: TBD — requires technical freeze evidence</w:t>
      </w:r>
    </w:p>
    <w:p>
      <w:r>
        <w:br w:type="page"/>
      </w:r>
    </w:p>
    <w:p>
      <w:pPr>
        <w:pStyle w:val="Heading1"/>
        <w:keepNext/>
        <w:bidi w:val="1"/>
        <w:spacing w:before="240" w:after="100"/>
        <w:jc w:val="right"/>
      </w:pPr>
      <w:r>
        <w:t>Appendix A — التقرير الاستراتيجي الأصلي: المحتوى الفريد محفوظ والتصميم القديم مستبدل بالهوية الجديدة</w:t>
      </w:r>
    </w:p>
    <w:p>
      <w:pPr>
        <w:bidi w:val="1"/>
        <w:spacing w:after="80" w:before="0" w:line="276" w:lineRule="auto"/>
        <w:jc w:val="right"/>
      </w:pPr>
      <w:r>
        <w:t>يبدأ أدناه المحتوى الأصلي لأغراض Traceability. جميع المتطلبات الفريدة غير التصميمية محفوظة. وبناءً على توجيه المالك، أي نص تصميمي قديم متعارض استُبدل بالهوية الجديدة المعتمدة؛ والتكرار الحقيقي فقط تم دمجه، بينما Architecture/Contracts/Data Ownership لا تتغير بهذه الآلية.</w:t>
      </w:r>
    </w:p>
    <w:p>
      <w:pPr>
        <w:pStyle w:val="Title"/>
        <w:jc w:val="center"/>
      </w:pPr>
      <w:r>
        <w:t>التقرير الاستراتيجي المحدث لبناء واجهات المنصة</w:t>
      </w:r>
    </w:p>
    <w:p>
      <w:pPr>
        <w:jc w:val="right"/>
      </w:pPr>
      <w:r>
        <w:rPr>
          <w:b/>
        </w:rPr>
        <w:t>يتضمن هذا الإصدار التقرير السابق مع إضافة فصل مرجعي للتوجهات البصرية والتقنية المقترحة. هذه المرجعيات تُستخدم كمصادر إلهام تصميمية وهندسية، وليست نسخًا حرفيًا لهوية أي منتج.</w:t>
      </w:r>
    </w:p>
    <w:p>
      <w:pPr>
        <w:pStyle w:val="Heading1"/>
        <w:jc w:val="right"/>
      </w:pPr>
      <w:r>
        <w:t>اعتماد المرجعيات</w:t>
      </w:r>
    </w:p>
    <w:p>
      <w:pPr>
        <w:jc w:val="right"/>
      </w:pPr>
      <w:r>
        <w:rPr>
          <w:b w:val="0"/>
        </w:rPr>
        <w:t>تم اعتماد Stripe وLinear وVercel وFigma وNotion كمرجعيات تصميم وهندسة للاستفادة من مبادئها وتجارب الاستخدام، دون نسخ الهوية البصرية أو المكونات أو العلامات التجارية حرفيًا.</w:t>
      </w:r>
    </w:p>
    <w:p>
      <w:pPr>
        <w:pStyle w:val="Heading1"/>
        <w:jc w:val="right"/>
      </w:pPr>
      <w:r>
        <w:t>التقنيات المعتمدة</w:t>
      </w:r>
    </w:p>
    <w:p>
      <w:pPr>
        <w:jc w:val="right"/>
      </w:pPr>
      <w:r>
        <w:rPr>
          <w:b w:val="0"/>
        </w:rPr>
        <w:t>يبقى المشروع متعدد التقنيات: Node.js وExpress للخدمات الأساسية، Python مع Uvicorn لبعض خدمات البيانات، React مع Vite للواجهات، واستخدام TypeScript في الواجهات الجديدة قدر الإمكان.</w:t>
      </w:r>
    </w:p>
    <w:p>
      <w:pPr>
        <w:pStyle w:val="Heading1"/>
        <w:jc w:val="right"/>
      </w:pPr>
      <w:r>
        <w:t>واجهة المستخدم العامة (مرجعية Stripe)</w:t>
      </w:r>
    </w:p>
    <w:p>
      <w:pPr>
        <w:jc w:val="right"/>
      </w:pPr>
      <w:r>
        <w:rPr>
          <w:b w:val="0"/>
        </w:rPr>
        <w:t>واجهة تسويقية بسيطة تتضمن Hero واضحًا، ورسومًا مبسطة لمسار البيانات، وCTA، وبطاقات مزايا، مع عرض نتائج CORE الرسمية فقط وعدم إظهار EXPANDED.</w:t>
      </w:r>
    </w:p>
    <w:p>
      <w:pPr>
        <w:pStyle w:val="Heading1"/>
        <w:jc w:val="right"/>
      </w:pPr>
      <w:r>
        <w:t>لوحة الإدارة (مرجعية Linear)</w:t>
      </w:r>
    </w:p>
    <w:p>
      <w:pPr>
        <w:jc w:val="right"/>
      </w:pPr>
      <w:r>
        <w:rPr>
          <w:b w:val="0"/>
        </w:rPr>
        <w:t>Sidebar ثابت، جداول سريعة، مرشحات متقدمة، اختصارات لوحة مفاتيح، تحديثات دون إعادة تحميل، وإظهار حالات CORE/EXPANDED والإدارة الداخلية فقط.</w:t>
      </w:r>
    </w:p>
    <w:p>
      <w:pPr>
        <w:pStyle w:val="Heading1"/>
        <w:jc w:val="right"/>
      </w:pPr>
      <w:r>
        <w:t>الإعدادات (مرجعية Vercel)</w:t>
      </w:r>
    </w:p>
    <w:p>
      <w:pPr>
        <w:jc w:val="right"/>
      </w:pPr>
      <w:r>
        <w:rPr>
          <w:b w:val="0"/>
        </w:rPr>
        <w:t>عرض الخدمات كمكونات مستقلة مع الحالة والإصدار وآخر تشغيل وآخر تقرير وسلامة التشغيل والبيئة وسجل الحوكمة، وتقسيم الإعدادات إلى General وPerspectives وDay Control وUTC وShadow Testing وPermissions وAudit وAPI Contracts.</w:t>
      </w:r>
    </w:p>
    <w:p>
      <w:pPr>
        <w:pStyle w:val="Heading1"/>
        <w:jc w:val="right"/>
      </w:pPr>
      <w:r>
        <w:t>الحوارات (مرجعية Figma)</w:t>
      </w:r>
    </w:p>
    <w:p>
      <w:pPr>
        <w:jc w:val="right"/>
      </w:pPr>
      <w:r>
        <w:rPr>
          <w:b w:val="0"/>
        </w:rPr>
        <w:t>كل عملية حساسة تستخدم Dialog يوضح ما الذي سيتغير وما الذي لن يتغير وتأثيره والإصدار الحالي والجديد وسبب التعديل والمعتمد وتوقيت التنفيذ UTC، مع أزرار صريحة مثل Save as Draft وPromote to CORE.</w:t>
      </w:r>
    </w:p>
    <w:p>
      <w:pPr>
        <w:pStyle w:val="Heading1"/>
        <w:jc w:val="right"/>
      </w:pPr>
      <w:r>
        <w:t>التوثيق (مرجعية Notion)</w:t>
      </w:r>
    </w:p>
    <w:p>
      <w:pPr>
        <w:jc w:val="right"/>
      </w:pPr>
      <w:r>
        <w:rPr>
          <w:b w:val="0"/>
        </w:rPr>
        <w:t>مركز توثيق داخلي هرمي يشمل Governance Overview وTerminology وAPI Contracts وDecision Records وChangelog مع دعم العربية RTL والإنجليزية LTR.</w:t>
      </w:r>
    </w:p>
    <w:p>
      <w:pPr>
        <w:pStyle w:val="Heading1"/>
        <w:jc w:val="right"/>
      </w:pPr>
      <w:r>
        <w:t>الهوية البصرية</w:t>
      </w:r>
    </w:p>
    <w:p>
      <w:pPr>
        <w:jc w:val="right"/>
        <w:bidi w:val="1"/>
      </w:pPr>
      <w:r>
        <w:t>الهوية البصرية الجديدة: Deep Charcoal / Near Black كأساس، Warm Refined Metallic Gold كـPrimary Brand Authority Accent، Controlled Sky Blue كـSecondary Analytical Accent، وWhite / Off-White للنصوص. تبقى Green/Amber/Red/Controlled Purple ألوانًا دلالية للحالات، ولا يعتمد أي معنى على اللون وحده.</w:t>
      </w:r>
    </w:p>
    <w:p>
      <w:pPr>
        <w:pStyle w:val="Heading1"/>
        <w:jc w:val="right"/>
      </w:pPr>
      <w:r>
        <w:t>دعم اللغات</w:t>
      </w:r>
    </w:p>
    <w:p>
      <w:pPr>
        <w:jc w:val="right"/>
      </w:pPr>
      <w:r>
        <w:rPr>
          <w:b w:val="0"/>
        </w:rPr>
        <w:t>دعم RTL وLTR على مستوى المكونات، مع بقاء JSON والأكواد LTR، وعدم خلط العربية والإنجليزية في نفس الكتلة.</w:t>
      </w:r>
    </w:p>
    <w:p>
      <w:pPr>
        <w:pStyle w:val="Heading1"/>
        <w:jc w:val="right"/>
      </w:pPr>
      <w:r>
        <w:t>هيكل الصفحات</w:t>
      </w:r>
    </w:p>
    <w:p>
      <w:pPr>
        <w:jc w:val="right"/>
      </w:pPr>
      <w:r>
        <w:rPr>
          <w:b w:val="0"/>
        </w:rPr>
        <w:t>المستخدم النهائي: Home وMethodology وCurrent Analysis وDocumentation وSign In. الإدارة: /admin/cot وتتضمن Overview وReports وDaily Control وExperiments وComparisons وGovernance وAudit Logs وContracts وSettings.</w:t>
      </w:r>
    </w:p>
    <w:p>
      <w:pPr>
        <w:pStyle w:val="Heading1"/>
        <w:jc w:val="right"/>
      </w:pPr>
      <w:r>
        <w:t>فصل CORE وEXPANDED</w:t>
      </w:r>
    </w:p>
    <w:p>
      <w:pPr>
        <w:jc w:val="right"/>
      </w:pPr>
      <w:r>
        <w:rPr>
          <w:b w:val="0"/>
        </w:rPr>
        <w:t>يبقى CORE هو المصدر الوحيد للنتائج العامة عبر Public API، بينما يعمل EXPANDED في SHADOW MODE عبر واجهات الإدارة فقط، ولا يوجد مسار مباشر من EXPANDED إلى Public API. أي ترقية تمر عبر Governance Promotion Request واختبارات واعتماد.</w:t>
      </w:r>
    </w:p>
    <w:p>
      <w:pPr>
        <w:pStyle w:val="Heading1"/>
        <w:jc w:val="right"/>
      </w:pPr>
      <w:r>
        <w:t>الخلاصة</w:t>
      </w:r>
    </w:p>
    <w:p>
      <w:pPr>
        <w:jc w:val="right"/>
      </w:pPr>
      <w:r>
        <w:rPr>
          <w:b w:val="0"/>
        </w:rPr>
        <w:t>المنتج العام يبقى بسيطًا وموجّهًا للمستخدم، بينما تبقى أدوات الاختبار والحوكمة والمراقبة داخل لوحة الإدارة وفق أفضل الممارسات المؤسسية.</w:t>
      </w:r>
    </w:p>
    <w:p>
      <w:r>
        <w:br w:type="page"/>
      </w:r>
    </w:p>
    <w:p>
      <w:pPr>
        <w:pStyle w:val="Heading1"/>
        <w:bidi w:val="1"/>
        <w:jc w:val="right"/>
      </w:pPr>
      <w:r>
        <w:rPr>
          <w:rFonts w:ascii="Arial" w:hAnsi="Arial"/>
        </w:rPr>
        <w:t>المرجعيات البصرية والتقنية المعتمدة لهندسة الواجهات</w:t>
      </w:r>
    </w:p>
    <w:p>
      <w:pPr>
        <w:bidi w:val="1"/>
        <w:jc w:val="right"/>
      </w:pPr>
      <w:r>
        <w:rPr>
          <w:rFonts w:ascii="Arial" w:hAnsi="Arial"/>
          <w:b w:val="0"/>
          <w:sz w:val="22"/>
        </w:rPr>
        <w:t>تم اعتماد هذا التوجه كمرجع تصميم وهندسة، مع الاستفادة من مبادئ تلك المنتجات من دون نسخ هويتها البصرية أو مكوّناتها حرفيًا.</w:t>
      </w:r>
    </w:p>
    <w:p>
      <w:pPr>
        <w:bidi w:val="1"/>
        <w:jc w:val="right"/>
      </w:pPr>
      <w:r>
        <w:rPr>
          <w:rFonts w:ascii="Arial" w:hAnsi="Arial"/>
          <w:b w:val="0"/>
          <w:sz w:val="22"/>
        </w:rPr>
        <w:t>المشروع سيبقى متعدد التقنيات كما كشف التقرير: Node.js وExpress للخدمات الأساسية، Python وUvicorn لبعض خدمات البيانات، وReact وVite للواجهات، مع استخدام TypeScript في الواجهات الجديدة قدر الإمكان.</w:t>
      </w:r>
    </w:p>
    <w:p>
      <w:pPr>
        <w:pStyle w:val="Heading2"/>
        <w:bidi w:val="1"/>
        <w:jc w:val="right"/>
      </w:pPr>
      <w:r>
        <w:rPr>
          <w:rFonts w:ascii="Arial" w:hAnsi="Arial"/>
        </w:rPr>
        <w:t>توزيع المرجعيات على أجزاء المنظومة</w:t>
      </w:r>
    </w:p>
    <w:p>
      <w:pPr>
        <w:pStyle w:val="Heading2"/>
        <w:bidi w:val="1"/>
        <w:jc w:val="right"/>
      </w:pPr>
      <w:r>
        <w:rPr>
          <w:rFonts w:ascii="Arial" w:hAnsi="Arial"/>
        </w:rPr>
        <w:t>واجهة المستخدم العامة — مستوحاة من Stripe</w:t>
      </w:r>
    </w:p>
    <w:p>
      <w:pPr>
        <w:bidi w:val="1"/>
        <w:jc w:val="right"/>
      </w:pPr>
      <w:r>
        <w:rPr>
          <w:rFonts w:ascii="Arial" w:hAnsi="Arial"/>
          <w:b w:val="0"/>
          <w:sz w:val="22"/>
        </w:rPr>
        <w:t>ستعرض للمستخدم النتيجة الرسمية CORE فقط:</w:t>
      </w:r>
    </w:p>
    <w:p>
      <w:pPr>
        <w:pStyle w:val="ListBullet"/>
        <w:bidi w:val="1"/>
        <w:jc w:val="right"/>
      </w:pPr>
      <w:r>
        <w:rPr>
          <w:rFonts w:ascii="Arial" w:hAnsi="Arial"/>
          <w:sz w:val="22"/>
        </w:rPr>
        <w:t>Hero واضح يشرح قيمة المنظومة.</w:t>
      </w:r>
    </w:p>
    <w:p>
      <w:pPr>
        <w:pStyle w:val="ListBullet"/>
        <w:bidi w:val="1"/>
        <w:jc w:val="right"/>
      </w:pPr>
      <w:r>
        <w:rPr>
          <w:rFonts w:ascii="Arial" w:hAnsi="Arial"/>
          <w:sz w:val="22"/>
        </w:rPr>
        <w:t>حركة خفيفة وهادئة، وليست مؤثرات ثقيلة.</w:t>
      </w:r>
    </w:p>
    <w:p>
      <w:pPr>
        <w:pStyle w:val="ListBullet"/>
        <w:bidi w:val="1"/>
        <w:jc w:val="right"/>
      </w:pPr>
      <w:r>
        <w:rPr>
          <w:rFonts w:ascii="Arial" w:hAnsi="Arial"/>
          <w:sz w:val="22"/>
        </w:rPr>
        <w:t>تدرجات لونية محسوبة.</w:t>
      </w:r>
    </w:p>
    <w:p>
      <w:pPr>
        <w:pStyle w:val="ListBullet"/>
        <w:bidi w:val="1"/>
        <w:jc w:val="right"/>
      </w:pPr>
      <w:r>
        <w:rPr>
          <w:rFonts w:ascii="Arial" w:hAnsi="Arial"/>
          <w:sz w:val="22"/>
        </w:rPr>
        <w:t>رسم مبسط يوضح مسار البيانات من تقرير COT إلى النتيجة.</w:t>
      </w:r>
    </w:p>
    <w:p>
      <w:pPr>
        <w:pStyle w:val="ListBullet"/>
        <w:bidi w:val="1"/>
        <w:jc w:val="right"/>
      </w:pPr>
      <w:r>
        <w:rPr>
          <w:rFonts w:ascii="Arial" w:hAnsi="Arial"/>
          <w:sz w:val="22"/>
        </w:rPr>
        <w:t>CTA واضح.</w:t>
      </w:r>
    </w:p>
    <w:p>
      <w:pPr>
        <w:pStyle w:val="ListBullet"/>
        <w:bidi w:val="1"/>
        <w:jc w:val="right"/>
      </w:pPr>
      <w:r>
        <w:rPr>
          <w:rFonts w:ascii="Arial" w:hAnsi="Arial"/>
          <w:sz w:val="22"/>
        </w:rPr>
        <w:t>بطاقات مزايا قصيرة.</w:t>
      </w:r>
    </w:p>
    <w:p>
      <w:pPr>
        <w:pStyle w:val="ListBullet"/>
        <w:bidi w:val="1"/>
        <w:jc w:val="right"/>
      </w:pPr>
      <w:r>
        <w:rPr>
          <w:rFonts w:ascii="Arial" w:hAnsi="Arial"/>
          <w:sz w:val="22"/>
        </w:rPr>
        <w:t>عدم إظهار أي معلومة عن اختبار EXPANDED.</w:t>
      </w:r>
    </w:p>
    <w:p>
      <w:pPr>
        <w:bidi w:val="1"/>
        <w:jc w:val="right"/>
      </w:pPr>
      <w:r>
        <w:rPr>
          <w:rFonts w:ascii="Arial" w:hAnsi="Arial"/>
          <w:b/>
          <w:sz w:val="22"/>
        </w:rPr>
        <w:t>الصفحة العامة يجب أن تكون تسويقية وواضحة، وليست لوحة مراقبة تقنية.</w:t>
      </w:r>
    </w:p>
    <w:p>
      <w:pPr>
        <w:pStyle w:val="Heading2"/>
        <w:bidi w:val="1"/>
        <w:jc w:val="right"/>
      </w:pPr>
      <w:r>
        <w:rPr>
          <w:rFonts w:ascii="Arial" w:hAnsi="Arial"/>
        </w:rPr>
        <w:t>لوحة الإدارة والاختبار — مستوحاة من Linear</w:t>
      </w:r>
    </w:p>
    <w:p>
      <w:pPr>
        <w:bidi w:val="1"/>
        <w:jc w:val="right"/>
      </w:pPr>
      <w:r>
        <w:rPr>
          <w:rFonts w:ascii="Arial" w:hAnsi="Arial"/>
          <w:b w:val="0"/>
          <w:sz w:val="22"/>
        </w:rPr>
        <w:t>هذه هي الواجهة الأهم في مشروع الحوكمة:</w:t>
      </w:r>
    </w:p>
    <w:p>
      <w:pPr>
        <w:pStyle w:val="ListBullet"/>
        <w:bidi w:val="1"/>
        <w:jc w:val="right"/>
      </w:pPr>
      <w:r>
        <w:rPr>
          <w:rFonts w:ascii="Arial" w:hAnsi="Arial"/>
          <w:sz w:val="22"/>
        </w:rPr>
        <w:t>Sidebar ثابت ومنظم.</w:t>
      </w:r>
    </w:p>
    <w:p>
      <w:pPr>
        <w:pStyle w:val="ListBullet"/>
        <w:bidi w:val="1"/>
        <w:jc w:val="right"/>
      </w:pPr>
      <w:r>
        <w:rPr>
          <w:rFonts w:ascii="Arial" w:hAnsi="Arial"/>
          <w:sz w:val="22"/>
        </w:rPr>
        <w:t>جداول سريعة لنتائج CORE وEXPANDED.</w:t>
      </w:r>
    </w:p>
    <w:p>
      <w:pPr>
        <w:pStyle w:val="ListBullet"/>
        <w:bidi w:val="1"/>
        <w:jc w:val="right"/>
      </w:pPr>
      <w:r>
        <w:rPr>
          <w:rFonts w:ascii="Arial" w:hAnsi="Arial"/>
          <w:sz w:val="22"/>
        </w:rPr>
        <w:t>مرشحات حسب التقرير.</w:t>
      </w:r>
    </w:p>
    <w:p>
      <w:pPr>
        <w:pStyle w:val="ListBullet"/>
        <w:bidi w:val="1"/>
        <w:jc w:val="right"/>
      </w:pPr>
      <w:r>
        <w:rPr>
          <w:rFonts w:ascii="Arial" w:hAnsi="Arial"/>
          <w:sz w:val="22"/>
        </w:rPr>
        <w:t>مرشحات حسب الأسبوع الفعّال.</w:t>
      </w:r>
    </w:p>
    <w:p>
      <w:pPr>
        <w:pStyle w:val="ListBullet"/>
        <w:bidi w:val="1"/>
        <w:jc w:val="right"/>
      </w:pPr>
      <w:r>
        <w:rPr>
          <w:rFonts w:ascii="Arial" w:hAnsi="Arial"/>
          <w:sz w:val="22"/>
        </w:rPr>
        <w:t>مرشحات حسب نمط التحليل.</w:t>
      </w:r>
    </w:p>
    <w:p>
      <w:pPr>
        <w:pStyle w:val="ListBullet"/>
        <w:bidi w:val="1"/>
        <w:jc w:val="right"/>
      </w:pPr>
      <w:r>
        <w:rPr>
          <w:rFonts w:ascii="Arial" w:hAnsi="Arial"/>
          <w:sz w:val="22"/>
        </w:rPr>
        <w:t>مرشحات حسب منظور الفئات.</w:t>
      </w:r>
    </w:p>
    <w:p>
      <w:pPr>
        <w:pStyle w:val="ListBullet"/>
        <w:bidi w:val="1"/>
        <w:jc w:val="right"/>
      </w:pPr>
      <w:r>
        <w:rPr>
          <w:rFonts w:ascii="Arial" w:hAnsi="Arial"/>
          <w:sz w:val="22"/>
        </w:rPr>
        <w:t>مرشحات حسب منظور أيام السيطرة.</w:t>
      </w:r>
    </w:p>
    <w:p>
      <w:pPr>
        <w:pStyle w:val="ListBullet"/>
        <w:bidi w:val="1"/>
        <w:jc w:val="right"/>
      </w:pPr>
      <w:r>
        <w:rPr>
          <w:rFonts w:ascii="Arial" w:hAnsi="Arial"/>
          <w:sz w:val="22"/>
        </w:rPr>
        <w:t>مرشحات حسب حالة الاتفاق أو الاختلاف.</w:t>
      </w:r>
    </w:p>
    <w:p>
      <w:pPr>
        <w:pStyle w:val="ListBullet"/>
        <w:bidi w:val="1"/>
        <w:jc w:val="right"/>
      </w:pPr>
      <w:r>
        <w:rPr>
          <w:rFonts w:ascii="Arial" w:hAnsi="Arial"/>
          <w:sz w:val="22"/>
        </w:rPr>
        <w:t>اختصارات لوحة مفاتيح.</w:t>
      </w:r>
    </w:p>
    <w:p>
      <w:pPr>
        <w:pStyle w:val="ListBullet"/>
        <w:bidi w:val="1"/>
        <w:jc w:val="right"/>
      </w:pPr>
      <w:r>
        <w:rPr>
          <w:rFonts w:ascii="Arial" w:hAnsi="Arial"/>
          <w:sz w:val="22"/>
        </w:rPr>
        <w:t>تحديثات سريعة دون إعادة تحميل الصفحة.</w:t>
      </w:r>
    </w:p>
    <w:p>
      <w:pPr>
        <w:pStyle w:val="ListBullet"/>
        <w:bidi w:val="1"/>
        <w:jc w:val="right"/>
      </w:pPr>
      <w:r>
        <w:rPr>
          <w:rFonts w:ascii="Arial" w:hAnsi="Arial"/>
          <w:sz w:val="22"/>
        </w:rPr>
        <w:t>حالات تحميل بسيطة.</w:t>
      </w:r>
    </w:p>
    <w:p>
      <w:pPr>
        <w:pStyle w:val="ListBullet"/>
        <w:bidi w:val="1"/>
        <w:jc w:val="right"/>
      </w:pPr>
      <w:r>
        <w:rPr>
          <w:rFonts w:ascii="Arial" w:hAnsi="Arial"/>
          <w:sz w:val="22"/>
        </w:rPr>
        <w:t>عدم استخدام رسوم ضخمة عندما يكفي جدول واضح.</w:t>
      </w:r>
    </w:p>
    <w:p>
      <w:pPr>
        <w:bidi w:val="1"/>
        <w:jc w:val="right"/>
      </w:pPr>
      <w:r>
        <w:rPr>
          <w:rFonts w:ascii="Arial" w:hAnsi="Arial"/>
          <w:b w:val="0"/>
          <w:sz w:val="22"/>
        </w:rPr>
        <w:t>داخل لوحة الإدارة فقط سيظهر:</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pPr>
              <w:bidi w:val="1"/>
              <w:jc w:val="right"/>
            </w:pPr>
            <w:r/>
            <w:r>
              <w:rPr>
                <w:rFonts w:ascii="Arial" w:hAnsi="Arial"/>
                <w:b/>
                <w:sz w:val="20"/>
              </w:rPr>
              <w:t>العنصر</w:t>
            </w:r>
          </w:p>
        </w:tc>
        <w:tc>
          <w:tcPr>
            <w:tcW w:type="dxa" w:w="4320"/>
            <w:vAlign w:val="center"/>
            <w:shd w:fill="D9EAF7"/>
          </w:tcPr>
          <w:p>
            <w:pPr>
              <w:bidi w:val="1"/>
              <w:jc w:val="right"/>
            </w:pPr>
            <w:r/>
            <w:r>
              <w:rPr>
                <w:rFonts w:ascii="Arial" w:hAnsi="Arial"/>
                <w:b/>
                <w:sz w:val="20"/>
              </w:rPr>
              <w:t>الحالة</w:t>
            </w:r>
          </w:p>
        </w:tc>
      </w:tr>
      <w:tr>
        <w:tc>
          <w:tcPr>
            <w:tcW w:type="dxa" w:w="4320"/>
            <w:vAlign w:val="center"/>
          </w:tcPr>
          <w:p>
            <w:pPr>
              <w:bidi w:val="1"/>
              <w:jc w:val="right"/>
            </w:pPr>
            <w:r/>
            <w:r>
              <w:rPr>
                <w:rFonts w:ascii="Arial" w:hAnsi="Arial"/>
                <w:b w:val="0"/>
                <w:sz w:val="20"/>
              </w:rPr>
              <w:t>CORE</w:t>
            </w:r>
          </w:p>
        </w:tc>
        <w:tc>
          <w:tcPr>
            <w:tcW w:type="dxa" w:w="4320"/>
            <w:vAlign w:val="center"/>
          </w:tcPr>
          <w:p>
            <w:pPr>
              <w:bidi w:val="1"/>
              <w:jc w:val="right"/>
            </w:pPr>
            <w:r/>
            <w:r>
              <w:rPr>
                <w:rFonts w:ascii="Arial" w:hAnsi="Arial"/>
                <w:b w:val="0"/>
                <w:sz w:val="20"/>
              </w:rPr>
              <w:t>OFFICIAL</w:t>
            </w:r>
          </w:p>
        </w:tc>
      </w:tr>
      <w:tr>
        <w:tc>
          <w:tcPr>
            <w:tcW w:type="dxa" w:w="4320"/>
            <w:vAlign w:val="center"/>
          </w:tcPr>
          <w:p>
            <w:pPr>
              <w:bidi w:val="1"/>
              <w:jc w:val="right"/>
            </w:pPr>
            <w:r/>
            <w:r>
              <w:rPr>
                <w:rFonts w:ascii="Arial" w:hAnsi="Arial"/>
                <w:b w:val="0"/>
                <w:sz w:val="20"/>
              </w:rPr>
              <w:t>EXPANDED</w:t>
            </w:r>
          </w:p>
        </w:tc>
        <w:tc>
          <w:tcPr>
            <w:tcW w:type="dxa" w:w="4320"/>
            <w:vAlign w:val="center"/>
          </w:tcPr>
          <w:p>
            <w:pPr>
              <w:bidi w:val="1"/>
              <w:jc w:val="right"/>
            </w:pPr>
            <w:r/>
            <w:r>
              <w:rPr>
                <w:rFonts w:ascii="Arial" w:hAnsi="Arial"/>
                <w:b w:val="0"/>
                <w:sz w:val="20"/>
              </w:rPr>
              <w:t>SHADOW</w:t>
            </w:r>
          </w:p>
        </w:tc>
      </w:tr>
      <w:tr>
        <w:tc>
          <w:tcPr>
            <w:tcW w:type="dxa" w:w="4320"/>
            <w:vAlign w:val="center"/>
          </w:tcPr>
          <w:p>
            <w:pPr>
              <w:bidi w:val="1"/>
              <w:jc w:val="right"/>
            </w:pPr>
            <w:r/>
            <w:r>
              <w:rPr>
                <w:rFonts w:ascii="Arial" w:hAnsi="Arial"/>
                <w:b w:val="0"/>
                <w:sz w:val="20"/>
              </w:rPr>
              <w:t>Experiment Status</w:t>
            </w:r>
          </w:p>
        </w:tc>
        <w:tc>
          <w:tcPr>
            <w:tcW w:type="dxa" w:w="4320"/>
            <w:vAlign w:val="center"/>
          </w:tcPr>
          <w:p>
            <w:pPr>
              <w:bidi w:val="1"/>
              <w:jc w:val="right"/>
            </w:pPr>
            <w:r/>
            <w:r>
              <w:rPr>
                <w:rFonts w:ascii="Arial" w:hAnsi="Arial"/>
                <w:b w:val="0"/>
                <w:sz w:val="20"/>
              </w:rPr>
              <w:t>RUNNING</w:t>
            </w:r>
          </w:p>
        </w:tc>
      </w:tr>
      <w:tr>
        <w:tc>
          <w:tcPr>
            <w:tcW w:type="dxa" w:w="4320"/>
            <w:vAlign w:val="center"/>
          </w:tcPr>
          <w:p>
            <w:pPr>
              <w:bidi w:val="1"/>
              <w:jc w:val="right"/>
            </w:pPr>
            <w:r/>
            <w:r>
              <w:rPr>
                <w:rFonts w:ascii="Arial" w:hAnsi="Arial"/>
                <w:b w:val="0"/>
                <w:sz w:val="20"/>
              </w:rPr>
              <w:t>Public Exposure</w:t>
            </w:r>
          </w:p>
        </w:tc>
        <w:tc>
          <w:tcPr>
            <w:tcW w:type="dxa" w:w="4320"/>
            <w:vAlign w:val="center"/>
          </w:tcPr>
          <w:p>
            <w:pPr>
              <w:bidi w:val="1"/>
              <w:jc w:val="right"/>
            </w:pPr>
            <w:r/>
            <w:r>
              <w:rPr>
                <w:rFonts w:ascii="Arial" w:hAnsi="Arial"/>
                <w:b w:val="0"/>
                <w:sz w:val="20"/>
              </w:rPr>
              <w:t>DISABLED</w:t>
            </w:r>
          </w:p>
        </w:tc>
      </w:tr>
    </w:tbl>
    <w:p>
      <w:pPr>
        <w:pStyle w:val="Heading2"/>
        <w:bidi w:val="1"/>
        <w:jc w:val="right"/>
      </w:pPr>
      <w:r>
        <w:rPr>
          <w:rFonts w:ascii="Arial" w:hAnsi="Arial"/>
        </w:rPr>
        <w:t>الإعدادات والمشروعات — مستوحاة من Vercel</w:t>
      </w:r>
    </w:p>
    <w:p>
      <w:pPr>
        <w:bidi w:val="1"/>
        <w:jc w:val="right"/>
      </w:pPr>
      <w:r>
        <w:rPr>
          <w:rFonts w:ascii="Arial" w:hAnsi="Arial"/>
          <w:b w:val="0"/>
          <w:sz w:val="22"/>
        </w:rPr>
        <w:t>يُعرض كل مكوّن ككيان واضح:</w:t>
      </w:r>
    </w:p>
    <w:p>
      <w:pPr>
        <w:pStyle w:val="ListBullet"/>
        <w:bidi w:val="1"/>
        <w:jc w:val="right"/>
      </w:pPr>
      <w:r>
        <w:rPr>
          <w:rFonts w:ascii="Arial" w:hAnsi="Arial"/>
          <w:sz w:val="22"/>
        </w:rPr>
        <w:t>COT Governance Engine</w:t>
      </w:r>
    </w:p>
    <w:p>
      <w:pPr>
        <w:pStyle w:val="ListBullet"/>
        <w:bidi w:val="1"/>
        <w:jc w:val="right"/>
      </w:pPr>
      <w:r>
        <w:rPr>
          <w:rFonts w:ascii="Arial" w:hAnsi="Arial"/>
          <w:sz w:val="22"/>
        </w:rPr>
        <w:t>Raw COT Gateway</w:t>
      </w:r>
    </w:p>
    <w:p>
      <w:pPr>
        <w:pStyle w:val="ListBullet"/>
        <w:bidi w:val="1"/>
        <w:jc w:val="right"/>
      </w:pPr>
      <w:r>
        <w:rPr>
          <w:rFonts w:ascii="Arial" w:hAnsi="Arial"/>
          <w:sz w:val="22"/>
        </w:rPr>
        <w:t>CORE Perspective</w:t>
      </w:r>
    </w:p>
    <w:p>
      <w:pPr>
        <w:pStyle w:val="ListBullet"/>
        <w:bidi w:val="1"/>
        <w:jc w:val="right"/>
      </w:pPr>
      <w:r>
        <w:rPr>
          <w:rFonts w:ascii="Arial" w:hAnsi="Arial"/>
          <w:sz w:val="22"/>
        </w:rPr>
        <w:t>EXPANDED Experiment</w:t>
      </w:r>
    </w:p>
    <w:p>
      <w:pPr>
        <w:pStyle w:val="ListBullet"/>
        <w:bidi w:val="1"/>
        <w:jc w:val="right"/>
      </w:pPr>
      <w:r>
        <w:rPr>
          <w:rFonts w:ascii="Arial" w:hAnsi="Arial"/>
          <w:sz w:val="22"/>
        </w:rPr>
        <w:t>UTC Calendar Policy</w:t>
      </w:r>
    </w:p>
    <w:p>
      <w:pPr>
        <w:pStyle w:val="ListBullet"/>
        <w:bidi w:val="1"/>
        <w:jc w:val="right"/>
      </w:pPr>
      <w:r>
        <w:rPr>
          <w:rFonts w:ascii="Arial" w:hAnsi="Arial"/>
          <w:sz w:val="22"/>
        </w:rPr>
        <w:t>Report Activation Policy</w:t>
      </w:r>
    </w:p>
    <w:p>
      <w:pPr>
        <w:bidi w:val="1"/>
        <w:jc w:val="right"/>
      </w:pPr>
      <w:r>
        <w:rPr>
          <w:rFonts w:ascii="Arial" w:hAnsi="Arial"/>
          <w:b w:val="0"/>
          <w:sz w:val="22"/>
        </w:rPr>
        <w:t>كل بطاقة تعرض:</w:t>
      </w:r>
    </w:p>
    <w:p>
      <w:pPr>
        <w:pStyle w:val="ListBullet"/>
        <w:bidi w:val="1"/>
        <w:jc w:val="right"/>
      </w:pPr>
      <w:r>
        <w:rPr>
          <w:rFonts w:ascii="Arial" w:hAnsi="Arial"/>
          <w:sz w:val="22"/>
        </w:rPr>
        <w:t>الحالة.</w:t>
      </w:r>
    </w:p>
    <w:p>
      <w:pPr>
        <w:pStyle w:val="ListBullet"/>
        <w:bidi w:val="1"/>
        <w:jc w:val="right"/>
      </w:pPr>
      <w:r>
        <w:rPr>
          <w:rFonts w:ascii="Arial" w:hAnsi="Arial"/>
          <w:sz w:val="22"/>
        </w:rPr>
        <w:t>الإصدار.</w:t>
      </w:r>
    </w:p>
    <w:p>
      <w:pPr>
        <w:pStyle w:val="ListBullet"/>
        <w:bidi w:val="1"/>
        <w:jc w:val="right"/>
      </w:pPr>
      <w:r>
        <w:rPr>
          <w:rFonts w:ascii="Arial" w:hAnsi="Arial"/>
          <w:sz w:val="22"/>
        </w:rPr>
        <w:t>آخر تشغيل.</w:t>
      </w:r>
    </w:p>
    <w:p>
      <w:pPr>
        <w:pStyle w:val="ListBullet"/>
        <w:bidi w:val="1"/>
        <w:jc w:val="right"/>
      </w:pPr>
      <w:r>
        <w:rPr>
          <w:rFonts w:ascii="Arial" w:hAnsi="Arial"/>
          <w:sz w:val="22"/>
        </w:rPr>
        <w:t>آخر تقرير COT مستخدم.</w:t>
      </w:r>
    </w:p>
    <w:p>
      <w:pPr>
        <w:pStyle w:val="ListBullet"/>
        <w:bidi w:val="1"/>
        <w:jc w:val="right"/>
      </w:pPr>
      <w:r>
        <w:rPr>
          <w:rFonts w:ascii="Arial" w:hAnsi="Arial"/>
          <w:sz w:val="22"/>
        </w:rPr>
        <w:t>الصحة التشغيلية.</w:t>
      </w:r>
    </w:p>
    <w:p>
      <w:pPr>
        <w:pStyle w:val="ListBullet"/>
        <w:bidi w:val="1"/>
        <w:jc w:val="right"/>
      </w:pPr>
      <w:r>
        <w:rPr>
          <w:rFonts w:ascii="Arial" w:hAnsi="Arial"/>
          <w:sz w:val="22"/>
        </w:rPr>
        <w:t>البيئة.</w:t>
      </w:r>
    </w:p>
    <w:p>
      <w:pPr>
        <w:pStyle w:val="ListBullet"/>
        <w:bidi w:val="1"/>
        <w:jc w:val="right"/>
      </w:pPr>
      <w:r>
        <w:rPr>
          <w:rFonts w:ascii="Arial" w:hAnsi="Arial"/>
          <w:sz w:val="22"/>
        </w:rPr>
        <w:t>رابط السجلات الداخلية.</w:t>
      </w:r>
    </w:p>
    <w:p>
      <w:pPr>
        <w:pStyle w:val="ListBullet"/>
        <w:bidi w:val="1"/>
        <w:jc w:val="right"/>
      </w:pPr>
      <w:r>
        <w:rPr>
          <w:rFonts w:ascii="Arial" w:hAnsi="Arial"/>
          <w:sz w:val="22"/>
        </w:rPr>
        <w:t>آخر تعديل حوكمي.</w:t>
      </w:r>
    </w:p>
    <w:p>
      <w:pPr>
        <w:bidi w:val="1"/>
        <w:jc w:val="right"/>
      </w:pPr>
      <w:r>
        <w:rPr>
          <w:rFonts w:ascii="Arial" w:hAnsi="Arial"/>
          <w:b w:val="0"/>
          <w:sz w:val="22"/>
        </w:rPr>
        <w:t>صفحات الإعدادات ستكون مقسمة إلى:</w:t>
      </w:r>
    </w:p>
    <w:p>
      <w:pPr>
        <w:pStyle w:val="ListBullet"/>
        <w:bidi w:val="1"/>
        <w:jc w:val="right"/>
      </w:pPr>
      <w:r>
        <w:rPr>
          <w:rFonts w:ascii="Arial" w:hAnsi="Arial"/>
          <w:sz w:val="22"/>
        </w:rPr>
        <w:t>General</w:t>
      </w:r>
    </w:p>
    <w:p>
      <w:pPr>
        <w:pStyle w:val="ListBullet"/>
        <w:bidi w:val="1"/>
        <w:jc w:val="right"/>
      </w:pPr>
      <w:r>
        <w:rPr>
          <w:rFonts w:ascii="Arial" w:hAnsi="Arial"/>
          <w:sz w:val="22"/>
        </w:rPr>
        <w:t>Perspectives</w:t>
      </w:r>
    </w:p>
    <w:p>
      <w:pPr>
        <w:pStyle w:val="ListBullet"/>
        <w:bidi w:val="1"/>
        <w:jc w:val="right"/>
      </w:pPr>
      <w:r>
        <w:rPr>
          <w:rFonts w:ascii="Arial" w:hAnsi="Arial"/>
          <w:sz w:val="22"/>
        </w:rPr>
        <w:t>Day Control</w:t>
      </w:r>
    </w:p>
    <w:p>
      <w:pPr>
        <w:pStyle w:val="ListBullet"/>
        <w:bidi w:val="1"/>
        <w:jc w:val="right"/>
      </w:pPr>
      <w:r>
        <w:rPr>
          <w:rFonts w:ascii="Arial" w:hAnsi="Arial"/>
          <w:sz w:val="22"/>
        </w:rPr>
        <w:t>UTC Calendar</w:t>
      </w:r>
    </w:p>
    <w:p>
      <w:pPr>
        <w:pStyle w:val="ListBullet"/>
        <w:bidi w:val="1"/>
        <w:jc w:val="right"/>
      </w:pPr>
      <w:r>
        <w:rPr>
          <w:rFonts w:ascii="Arial" w:hAnsi="Arial"/>
          <w:sz w:val="22"/>
        </w:rPr>
        <w:t>Shadow Testing</w:t>
      </w:r>
    </w:p>
    <w:p>
      <w:pPr>
        <w:pStyle w:val="ListBullet"/>
        <w:bidi w:val="1"/>
        <w:jc w:val="right"/>
      </w:pPr>
      <w:r>
        <w:rPr>
          <w:rFonts w:ascii="Arial" w:hAnsi="Arial"/>
          <w:sz w:val="22"/>
        </w:rPr>
        <w:t>Permissions</w:t>
      </w:r>
    </w:p>
    <w:p>
      <w:pPr>
        <w:pStyle w:val="ListBullet"/>
        <w:bidi w:val="1"/>
        <w:jc w:val="right"/>
      </w:pPr>
      <w:r>
        <w:rPr>
          <w:rFonts w:ascii="Arial" w:hAnsi="Arial"/>
          <w:sz w:val="22"/>
        </w:rPr>
        <w:t>Audit Log</w:t>
      </w:r>
    </w:p>
    <w:p>
      <w:pPr>
        <w:pStyle w:val="ListBullet"/>
        <w:bidi w:val="1"/>
        <w:jc w:val="right"/>
      </w:pPr>
      <w:r>
        <w:rPr>
          <w:rFonts w:ascii="Arial" w:hAnsi="Arial"/>
          <w:sz w:val="22"/>
        </w:rPr>
        <w:t>API Contracts</w:t>
      </w:r>
    </w:p>
    <w:p>
      <w:pPr>
        <w:pStyle w:val="Heading2"/>
        <w:bidi w:val="1"/>
        <w:jc w:val="right"/>
      </w:pPr>
      <w:r>
        <w:rPr>
          <w:rFonts w:ascii="Arial" w:hAnsi="Arial"/>
        </w:rPr>
        <w:t>النماذج والنوافذ — مستوحاة من Figma</w:t>
      </w:r>
    </w:p>
    <w:p>
      <w:pPr>
        <w:bidi w:val="1"/>
        <w:jc w:val="right"/>
      </w:pPr>
      <w:r>
        <w:rPr>
          <w:rFonts w:ascii="Arial" w:hAnsi="Arial"/>
          <w:b w:val="0"/>
          <w:sz w:val="22"/>
        </w:rPr>
        <w:t>سنستخدم هذا الأسلوب في:</w:t>
      </w:r>
    </w:p>
    <w:p>
      <w:pPr>
        <w:pStyle w:val="ListBullet"/>
        <w:bidi w:val="1"/>
        <w:jc w:val="right"/>
      </w:pPr>
      <w:r>
        <w:rPr>
          <w:rFonts w:ascii="Arial" w:hAnsi="Arial"/>
          <w:sz w:val="22"/>
        </w:rPr>
        <w:t>إنشاء تجربة جديدة.</w:t>
      </w:r>
    </w:p>
    <w:p>
      <w:pPr>
        <w:pStyle w:val="ListBullet"/>
        <w:bidi w:val="1"/>
        <w:jc w:val="right"/>
      </w:pPr>
      <w:r>
        <w:rPr>
          <w:rFonts w:ascii="Arial" w:hAnsi="Arial"/>
          <w:sz w:val="22"/>
        </w:rPr>
        <w:t>تعديل منظور أيام السيطرة.</w:t>
      </w:r>
    </w:p>
    <w:p>
      <w:pPr>
        <w:pStyle w:val="ListBullet"/>
        <w:bidi w:val="1"/>
        <w:jc w:val="right"/>
      </w:pPr>
      <w:r>
        <w:rPr>
          <w:rFonts w:ascii="Arial" w:hAnsi="Arial"/>
          <w:sz w:val="22"/>
        </w:rPr>
        <w:t>ترقية نموذج تجريبي.</w:t>
      </w:r>
    </w:p>
    <w:p>
      <w:pPr>
        <w:pStyle w:val="ListBullet"/>
        <w:bidi w:val="1"/>
        <w:jc w:val="right"/>
      </w:pPr>
      <w:r>
        <w:rPr>
          <w:rFonts w:ascii="Arial" w:hAnsi="Arial"/>
          <w:sz w:val="22"/>
        </w:rPr>
        <w:t>إيقاف اختبار.</w:t>
      </w:r>
    </w:p>
    <w:p>
      <w:pPr>
        <w:pStyle w:val="ListBullet"/>
        <w:bidi w:val="1"/>
        <w:jc w:val="right"/>
      </w:pPr>
      <w:r>
        <w:rPr>
          <w:rFonts w:ascii="Arial" w:hAnsi="Arial"/>
          <w:sz w:val="22"/>
        </w:rPr>
        <w:t>مقارنة نسختين.</w:t>
      </w:r>
    </w:p>
    <w:p>
      <w:pPr>
        <w:pStyle w:val="ListBullet"/>
        <w:bidi w:val="1"/>
        <w:jc w:val="right"/>
      </w:pPr>
      <w:r>
        <w:rPr>
          <w:rFonts w:ascii="Arial" w:hAnsi="Arial"/>
          <w:sz w:val="22"/>
        </w:rPr>
        <w:t>اعتماد قرار حوكمة.</w:t>
      </w:r>
    </w:p>
    <w:p>
      <w:pPr>
        <w:bidi w:val="1"/>
        <w:jc w:val="right"/>
      </w:pPr>
      <w:r>
        <w:rPr>
          <w:rFonts w:ascii="Arial" w:hAnsi="Arial"/>
          <w:b w:val="0"/>
          <w:sz w:val="22"/>
        </w:rPr>
        <w:t>كل عملية حساسة ستستخدم Dialog واضحًا يعرض:</w:t>
      </w:r>
    </w:p>
    <w:p>
      <w:pPr>
        <w:pStyle w:val="ListBullet"/>
        <w:bidi w:val="1"/>
        <w:jc w:val="right"/>
      </w:pPr>
      <w:r>
        <w:rPr>
          <w:rFonts w:ascii="Arial" w:hAnsi="Arial"/>
          <w:sz w:val="22"/>
        </w:rPr>
        <w:t>ما الذي سيتغير؟</w:t>
      </w:r>
    </w:p>
    <w:p>
      <w:pPr>
        <w:pStyle w:val="ListBullet"/>
        <w:bidi w:val="1"/>
        <w:jc w:val="right"/>
      </w:pPr>
      <w:r>
        <w:rPr>
          <w:rFonts w:ascii="Arial" w:hAnsi="Arial"/>
          <w:sz w:val="22"/>
        </w:rPr>
        <w:t>ما الذي لن يتغير؟</w:t>
      </w:r>
    </w:p>
    <w:p>
      <w:pPr>
        <w:pStyle w:val="ListBullet"/>
        <w:bidi w:val="1"/>
        <w:jc w:val="right"/>
      </w:pPr>
      <w:r>
        <w:rPr>
          <w:rFonts w:ascii="Arial" w:hAnsi="Arial"/>
          <w:sz w:val="22"/>
        </w:rPr>
        <w:t>هل يؤثر على المستخدم؟</w:t>
      </w:r>
    </w:p>
    <w:p>
      <w:pPr>
        <w:pStyle w:val="ListBullet"/>
        <w:bidi w:val="1"/>
        <w:jc w:val="right"/>
      </w:pPr>
      <w:r>
        <w:rPr>
          <w:rFonts w:ascii="Arial" w:hAnsi="Arial"/>
          <w:sz w:val="22"/>
        </w:rPr>
        <w:t>النسخة الحالية والجديدة.</w:t>
      </w:r>
    </w:p>
    <w:p>
      <w:pPr>
        <w:pStyle w:val="ListBullet"/>
        <w:bidi w:val="1"/>
        <w:jc w:val="right"/>
      </w:pPr>
      <w:r>
        <w:rPr>
          <w:rFonts w:ascii="Arial" w:hAnsi="Arial"/>
          <w:sz w:val="22"/>
        </w:rPr>
        <w:t>سبب التعديل.</w:t>
      </w:r>
    </w:p>
    <w:p>
      <w:pPr>
        <w:pStyle w:val="ListBullet"/>
        <w:bidi w:val="1"/>
        <w:jc w:val="right"/>
      </w:pPr>
      <w:r>
        <w:rPr>
          <w:rFonts w:ascii="Arial" w:hAnsi="Arial"/>
          <w:sz w:val="22"/>
        </w:rPr>
        <w:t>اسم المعتمد.</w:t>
      </w:r>
    </w:p>
    <w:p>
      <w:pPr>
        <w:pStyle w:val="ListBullet"/>
        <w:bidi w:val="1"/>
        <w:jc w:val="right"/>
      </w:pPr>
      <w:r>
        <w:rPr>
          <w:rFonts w:ascii="Arial" w:hAnsi="Arial"/>
          <w:sz w:val="22"/>
        </w:rPr>
        <w:t>توقيت التنفيذ بصيغة UTC.</w:t>
      </w:r>
    </w:p>
    <w:p>
      <w:pPr>
        <w:bidi w:val="1"/>
        <w:jc w:val="right"/>
      </w:pPr>
      <w:r>
        <w:rPr>
          <w:rFonts w:ascii="Arial" w:hAnsi="Arial"/>
          <w:b w:val="0"/>
          <w:sz w:val="22"/>
        </w:rPr>
        <w:t>لن توجد أزرار غامضة مثل «حفظ» فقط في العمليات الحساسة؛ بل تسميات صريحة مثل:</w:t>
      </w:r>
    </w:p>
    <w:p>
      <w:pPr>
        <w:pStyle w:val="ListBullet"/>
        <w:bidi w:val="1"/>
        <w:jc w:val="right"/>
      </w:pPr>
      <w:r>
        <w:rPr>
          <w:rFonts w:ascii="Arial" w:hAnsi="Arial"/>
          <w:sz w:val="22"/>
        </w:rPr>
        <w:t>Save as Draft</w:t>
      </w:r>
    </w:p>
    <w:p>
      <w:pPr>
        <w:pStyle w:val="ListBullet"/>
        <w:bidi w:val="1"/>
        <w:jc w:val="right"/>
      </w:pPr>
      <w:r>
        <w:rPr>
          <w:rFonts w:ascii="Arial" w:hAnsi="Arial"/>
          <w:sz w:val="22"/>
        </w:rPr>
        <w:t>Start Shadow Test</w:t>
      </w:r>
    </w:p>
    <w:p>
      <w:pPr>
        <w:pStyle w:val="ListBullet"/>
        <w:bidi w:val="1"/>
        <w:jc w:val="right"/>
      </w:pPr>
      <w:r>
        <w:rPr>
          <w:rFonts w:ascii="Arial" w:hAnsi="Arial"/>
          <w:sz w:val="22"/>
        </w:rPr>
        <w:t>Approve Governance Version</w:t>
      </w:r>
    </w:p>
    <w:p>
      <w:pPr>
        <w:pStyle w:val="ListBullet"/>
        <w:bidi w:val="1"/>
        <w:jc w:val="right"/>
      </w:pPr>
      <w:r>
        <w:rPr>
          <w:rFonts w:ascii="Arial" w:hAnsi="Arial"/>
          <w:sz w:val="22"/>
        </w:rPr>
        <w:t>Promote to CORE</w:t>
      </w:r>
    </w:p>
    <w:p>
      <w:pPr>
        <w:pStyle w:val="ListBullet"/>
        <w:bidi w:val="1"/>
        <w:jc w:val="right"/>
      </w:pPr>
      <w:r>
        <w:rPr>
          <w:rFonts w:ascii="Arial" w:hAnsi="Arial"/>
          <w:sz w:val="22"/>
        </w:rPr>
        <w:t>Cancel Without Changes</w:t>
      </w:r>
    </w:p>
    <w:p>
      <w:pPr>
        <w:pStyle w:val="Heading2"/>
        <w:bidi w:val="1"/>
        <w:jc w:val="right"/>
      </w:pPr>
      <w:r>
        <w:rPr>
          <w:rFonts w:ascii="Arial" w:hAnsi="Arial"/>
        </w:rPr>
        <w:t>التوثيق والتنظيم — مستوحى من Notion</w:t>
      </w:r>
    </w:p>
    <w:p>
      <w:pPr>
        <w:bidi w:val="1"/>
        <w:jc w:val="right"/>
      </w:pPr>
      <w:r>
        <w:rPr>
          <w:rFonts w:ascii="Arial" w:hAnsi="Arial"/>
          <w:b w:val="0"/>
          <w:sz w:val="22"/>
        </w:rPr>
        <w:t>سيكون هناك مركز توثيق داخلي منظم:</w:t>
      </w:r>
    </w:p>
    <w:p>
      <w:pPr>
        <w:pStyle w:val="ListBullet"/>
        <w:bidi w:val="1"/>
        <w:jc w:val="right"/>
      </w:pPr>
      <w:r>
        <w:rPr>
          <w:rFonts w:ascii="Arial" w:hAnsi="Arial"/>
          <w:sz w:val="22"/>
        </w:rPr>
        <w:t>Governance Overview</w:t>
      </w:r>
    </w:p>
    <w:p>
      <w:pPr>
        <w:pStyle w:val="ListBullet"/>
        <w:bidi w:val="1"/>
        <w:jc w:val="right"/>
      </w:pPr>
      <w:r>
        <w:rPr>
          <w:rFonts w:ascii="Arial" w:hAnsi="Arial"/>
          <w:sz w:val="22"/>
        </w:rPr>
        <w:t>Terminology</w:t>
      </w:r>
    </w:p>
    <w:p>
      <w:pPr>
        <w:pStyle w:val="ListBullet"/>
        <w:bidi w:val="1"/>
        <w:jc w:val="right"/>
      </w:pPr>
      <w:r>
        <w:rPr>
          <w:rFonts w:ascii="Arial" w:hAnsi="Arial"/>
          <w:sz w:val="22"/>
        </w:rPr>
        <w:t>Dominance Delta</w:t>
      </w:r>
    </w:p>
    <w:p>
      <w:pPr>
        <w:pStyle w:val="ListBullet"/>
        <w:bidi w:val="1"/>
        <w:jc w:val="right"/>
      </w:pPr>
      <w:r>
        <w:rPr>
          <w:rFonts w:ascii="Arial" w:hAnsi="Arial"/>
          <w:sz w:val="22"/>
        </w:rPr>
        <w:t>Investment Mode</w:t>
      </w:r>
    </w:p>
    <w:p>
      <w:pPr>
        <w:pStyle w:val="ListBullet"/>
        <w:bidi w:val="1"/>
        <w:jc w:val="right"/>
      </w:pPr>
      <w:r>
        <w:rPr>
          <w:rFonts w:ascii="Arial" w:hAnsi="Arial"/>
          <w:sz w:val="22"/>
        </w:rPr>
        <w:t>Speculation Mode</w:t>
      </w:r>
    </w:p>
    <w:p>
      <w:pPr>
        <w:pStyle w:val="ListBullet"/>
        <w:bidi w:val="1"/>
        <w:jc w:val="right"/>
      </w:pPr>
      <w:r>
        <w:rPr>
          <w:rFonts w:ascii="Arial" w:hAnsi="Arial"/>
          <w:sz w:val="22"/>
        </w:rPr>
        <w:t>Day-Control Perspectives</w:t>
      </w:r>
    </w:p>
    <w:p>
      <w:pPr>
        <w:pStyle w:val="ListBullet"/>
        <w:bidi w:val="1"/>
        <w:jc w:val="right"/>
      </w:pPr>
      <w:r>
        <w:rPr>
          <w:rFonts w:ascii="Arial" w:hAnsi="Arial"/>
          <w:sz w:val="22"/>
        </w:rPr>
        <w:t>UTC Policy</w:t>
      </w:r>
    </w:p>
    <w:p>
      <w:pPr>
        <w:pStyle w:val="ListBullet"/>
        <w:bidi w:val="1"/>
        <w:jc w:val="right"/>
      </w:pPr>
      <w:r>
        <w:rPr>
          <w:rFonts w:ascii="Arial" w:hAnsi="Arial"/>
          <w:sz w:val="22"/>
        </w:rPr>
        <w:t>CORE vs EXPANDED</w:t>
      </w:r>
    </w:p>
    <w:p>
      <w:pPr>
        <w:pStyle w:val="ListBullet"/>
        <w:bidi w:val="1"/>
        <w:jc w:val="right"/>
      </w:pPr>
      <w:r>
        <w:rPr>
          <w:rFonts w:ascii="Arial" w:hAnsi="Arial"/>
          <w:sz w:val="22"/>
        </w:rPr>
        <w:t>API Contracts</w:t>
      </w:r>
    </w:p>
    <w:p>
      <w:pPr>
        <w:pStyle w:val="ListBullet"/>
        <w:bidi w:val="1"/>
        <w:jc w:val="right"/>
      </w:pPr>
      <w:r>
        <w:rPr>
          <w:rFonts w:ascii="Arial" w:hAnsi="Arial"/>
          <w:sz w:val="22"/>
        </w:rPr>
        <w:t>Test Cases</w:t>
      </w:r>
    </w:p>
    <w:p>
      <w:pPr>
        <w:pStyle w:val="ListBullet"/>
        <w:bidi w:val="1"/>
        <w:jc w:val="right"/>
      </w:pPr>
      <w:r>
        <w:rPr>
          <w:rFonts w:ascii="Arial" w:hAnsi="Arial"/>
          <w:sz w:val="22"/>
        </w:rPr>
        <w:t>Decision Records</w:t>
      </w:r>
    </w:p>
    <w:p>
      <w:pPr>
        <w:pStyle w:val="ListBullet"/>
        <w:bidi w:val="1"/>
        <w:jc w:val="right"/>
      </w:pPr>
      <w:r>
        <w:rPr>
          <w:rFonts w:ascii="Arial" w:hAnsi="Arial"/>
          <w:sz w:val="22"/>
        </w:rPr>
        <w:t>Changelog</w:t>
      </w:r>
    </w:p>
    <w:p>
      <w:pPr>
        <w:pStyle w:val="ListBullet"/>
        <w:bidi w:val="1"/>
        <w:jc w:val="right"/>
      </w:pPr>
      <w:r>
        <w:rPr>
          <w:rFonts w:ascii="Arial" w:hAnsi="Arial"/>
          <w:sz w:val="22"/>
        </w:rPr>
        <w:t>Incident Notes</w:t>
      </w:r>
    </w:p>
    <w:p>
      <w:pPr>
        <w:bidi w:val="1"/>
        <w:jc w:val="right"/>
      </w:pPr>
      <w:r>
        <w:rPr>
          <w:rFonts w:ascii="Arial" w:hAnsi="Arial"/>
          <w:b w:val="0"/>
          <w:sz w:val="22"/>
        </w:rPr>
        <w:t>ويشمل:</w:t>
      </w:r>
    </w:p>
    <w:p>
      <w:pPr>
        <w:pStyle w:val="ListBullet"/>
        <w:bidi w:val="1"/>
        <w:jc w:val="right"/>
      </w:pPr>
      <w:r>
        <w:rPr>
          <w:rFonts w:ascii="Arial" w:hAnsi="Arial"/>
          <w:sz w:val="22"/>
        </w:rPr>
        <w:t>تنقل جانبي هرمي.</w:t>
      </w:r>
    </w:p>
    <w:p>
      <w:pPr>
        <w:pStyle w:val="ListBullet"/>
        <w:bidi w:val="1"/>
        <w:jc w:val="right"/>
      </w:pPr>
      <w:r>
        <w:rPr>
          <w:rFonts w:ascii="Arial" w:hAnsi="Arial"/>
          <w:sz w:val="22"/>
        </w:rPr>
        <w:t>روابط داخلية بين القواعد.</w:t>
      </w:r>
    </w:p>
    <w:p>
      <w:pPr>
        <w:pStyle w:val="ListBullet"/>
        <w:bidi w:val="1"/>
        <w:jc w:val="right"/>
      </w:pPr>
      <w:r>
        <w:rPr>
          <w:rFonts w:ascii="Arial" w:hAnsi="Arial"/>
          <w:sz w:val="22"/>
        </w:rPr>
        <w:t>Empty states واضحة.</w:t>
      </w:r>
    </w:p>
    <w:p>
      <w:pPr>
        <w:pStyle w:val="ListBullet"/>
        <w:bidi w:val="1"/>
        <w:jc w:val="right"/>
      </w:pPr>
      <w:r>
        <w:rPr>
          <w:rFonts w:ascii="Arial" w:hAnsi="Arial"/>
          <w:sz w:val="22"/>
        </w:rPr>
        <w:t>تاريخ تعديل لكل وثيقة.</w:t>
      </w:r>
    </w:p>
    <w:p>
      <w:pPr>
        <w:pStyle w:val="ListBullet"/>
        <w:bidi w:val="1"/>
        <w:jc w:val="right"/>
      </w:pPr>
      <w:r>
        <w:rPr>
          <w:rFonts w:ascii="Arial" w:hAnsi="Arial"/>
          <w:sz w:val="22"/>
        </w:rPr>
        <w:t>رقم إصدار الحوكمة.</w:t>
      </w:r>
    </w:p>
    <w:p>
      <w:pPr>
        <w:pStyle w:val="ListBullet"/>
        <w:bidi w:val="1"/>
        <w:jc w:val="right"/>
      </w:pPr>
      <w:r>
        <w:rPr>
          <w:rFonts w:ascii="Arial" w:hAnsi="Arial"/>
          <w:sz w:val="22"/>
        </w:rPr>
        <w:t>دعم العربية RTL والإنجليزية LTR.</w:t>
      </w:r>
    </w:p>
    <w:p>
      <w:pPr>
        <w:pStyle w:val="Heading2"/>
        <w:bidi w:val="1"/>
        <w:jc w:val="right"/>
      </w:pPr>
      <w:r>
        <w:rPr>
          <w:rFonts w:ascii="Arial" w:hAnsi="Arial"/>
        </w:rPr>
        <w:t>الهوية البصرية المقترحة</w:t>
      </w:r>
    </w:p>
    <w:p>
      <w:pPr>
        <w:bidi w:val="1"/>
        <w:jc w:val="right"/>
      </w:pPr>
      <w:r>
        <w:rPr>
          <w:rFonts w:ascii="Arial" w:hAnsi="Arial"/>
          <w:b w:val="0"/>
          <w:sz w:val="22"/>
        </w:rPr>
        <w:t>لن نستخدم واجهة ملوّنة بكثرة. النظام يحتاج مظهرًا مؤسسيًا وتحليليًا.</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pPr>
              <w:bidi w:val="1"/>
              <w:jc w:val="right"/>
            </w:pPr>
            <w:r/>
            <w:r>
              <w:rPr>
                <w:rFonts w:ascii="Arial" w:hAnsi="Arial"/>
                <w:b/>
                <w:sz w:val="20"/>
              </w:rPr>
              <w:t>الاستخدام</w:t>
            </w:r>
          </w:p>
        </w:tc>
        <w:tc>
          <w:tcPr>
            <w:tcW w:type="dxa" w:w="4320"/>
            <w:vAlign w:val="center"/>
            <w:shd w:fill="D9EAF7"/>
          </w:tcPr>
          <w:p>
            <w:pPr>
              <w:bidi w:val="1"/>
              <w:jc w:val="right"/>
            </w:pPr>
            <w:r/>
            <w:r>
              <w:rPr>
                <w:rFonts w:ascii="Arial" w:hAnsi="Arial"/>
                <w:b/>
                <w:sz w:val="20"/>
              </w:rPr>
              <w:t>اللون المقترح</w:t>
            </w:r>
          </w:p>
        </w:tc>
      </w:tr>
      <w:tr>
        <w:tc>
          <w:tcPr>
            <w:tcW w:type="dxa" w:w="4320"/>
            <w:vAlign w:val="center"/>
          </w:tcPr>
          <w:p>
            <w:pPr>
              <w:bidi w:val="1"/>
              <w:jc w:val="right"/>
            </w:pPr>
            <w:r/>
            <w:r>
              <w:rPr>
                <w:rFonts w:ascii="Arial" w:hAnsi="Arial"/>
                <w:b w:val="0"/>
                <w:sz w:val="20"/>
              </w:rPr>
              <w:t>Background</w:t>
            </w:r>
          </w:p>
        </w:tc>
        <w:tc>
          <w:tcPr>
            <w:tcW w:type="dxa" w:w="4320"/>
            <w:vAlign w:val="center"/>
          </w:tcPr>
          <w:p>
            <w:r>
              <w:t>Deep Charcoal / Near Black؛ ويمكن Off-White في Public Light canvas</w:t>
            </w:r>
          </w:p>
        </w:tc>
      </w:tr>
      <w:tr>
        <w:tc>
          <w:tcPr>
            <w:tcW w:type="dxa" w:w="4320"/>
            <w:vAlign w:val="center"/>
          </w:tcPr>
          <w:p>
            <w:pPr>
              <w:bidi w:val="1"/>
              <w:jc w:val="right"/>
            </w:pPr>
            <w:r/>
            <w:r>
              <w:rPr>
                <w:rFonts w:ascii="Arial" w:hAnsi="Arial"/>
                <w:b w:val="0"/>
                <w:sz w:val="20"/>
              </w:rPr>
              <w:t>Primary accent</w:t>
            </w:r>
          </w:p>
        </w:tc>
        <w:tc>
          <w:tcPr>
            <w:tcW w:type="dxa" w:w="4320"/>
            <w:vAlign w:val="center"/>
          </w:tcPr>
          <w:p>
            <w:r>
              <w:t>Warm Refined Metallic Gold</w:t>
            </w:r>
          </w:p>
        </w:tc>
      </w:tr>
      <w:tr>
        <w:tc>
          <w:tcPr>
            <w:tcW w:type="dxa" w:w="4320"/>
            <w:vAlign w:val="center"/>
          </w:tcPr>
          <w:p>
            <w:pPr>
              <w:bidi w:val="1"/>
              <w:jc w:val="right"/>
            </w:pPr>
            <w:r/>
            <w:r>
              <w:rPr>
                <w:rFonts w:ascii="Arial" w:hAnsi="Arial"/>
                <w:b w:val="0"/>
                <w:sz w:val="20"/>
              </w:rPr>
              <w:t>Secondary accent</w:t>
            </w:r>
          </w:p>
        </w:tc>
        <w:tc>
          <w:tcPr>
            <w:tcW w:type="dxa" w:w="4320"/>
            <w:vAlign w:val="center"/>
          </w:tcPr>
          <w:p>
            <w:r>
              <w:t>Controlled Sky Blue / Light Cyan-Blue</w:t>
            </w:r>
          </w:p>
        </w:tc>
      </w:tr>
      <w:tr>
        <w:tc>
          <w:tcPr>
            <w:tcW w:type="dxa" w:w="4320"/>
            <w:vAlign w:val="center"/>
          </w:tcPr>
          <w:p>
            <w:pPr>
              <w:bidi w:val="1"/>
              <w:jc w:val="right"/>
            </w:pPr>
            <w:r/>
            <w:r>
              <w:rPr>
                <w:rFonts w:ascii="Arial" w:hAnsi="Arial"/>
                <w:b w:val="0"/>
                <w:sz w:val="20"/>
              </w:rPr>
              <w:t>Success</w:t>
            </w:r>
          </w:p>
        </w:tc>
        <w:tc>
          <w:tcPr>
            <w:tcW w:type="dxa" w:w="4320"/>
            <w:vAlign w:val="center"/>
          </w:tcPr>
          <w:p>
            <w:r>
              <w:t>Green</w:t>
            </w:r>
          </w:p>
        </w:tc>
      </w:tr>
      <w:tr>
        <w:tc>
          <w:tcPr>
            <w:tcW w:type="dxa" w:w="4320"/>
            <w:vAlign w:val="center"/>
          </w:tcPr>
          <w:p>
            <w:pPr>
              <w:bidi w:val="1"/>
              <w:jc w:val="right"/>
            </w:pPr>
            <w:r/>
            <w:r>
              <w:rPr>
                <w:rFonts w:ascii="Arial" w:hAnsi="Arial"/>
                <w:b w:val="0"/>
                <w:sz w:val="20"/>
              </w:rPr>
              <w:t>Bearish</w:t>
            </w:r>
          </w:p>
        </w:tc>
        <w:tc>
          <w:tcPr>
            <w:tcW w:type="dxa" w:w="4320"/>
            <w:vAlign w:val="center"/>
          </w:tcPr>
          <w:p>
            <w:r>
              <w:t>Red</w:t>
            </w:r>
          </w:p>
        </w:tc>
      </w:tr>
      <w:tr>
        <w:tc>
          <w:tcPr>
            <w:tcW w:type="dxa" w:w="4320"/>
            <w:vAlign w:val="center"/>
          </w:tcPr>
          <w:p>
            <w:pPr>
              <w:bidi w:val="1"/>
              <w:jc w:val="right"/>
            </w:pPr>
            <w:r/>
            <w:r>
              <w:rPr>
                <w:rFonts w:ascii="Arial" w:hAnsi="Arial"/>
                <w:b w:val="0"/>
                <w:sz w:val="20"/>
              </w:rPr>
              <w:t>Warning</w:t>
            </w:r>
          </w:p>
        </w:tc>
        <w:tc>
          <w:tcPr>
            <w:tcW w:type="dxa" w:w="4320"/>
            <w:vAlign w:val="center"/>
          </w:tcPr>
          <w:p>
            <w:r>
              <w:t>Amber</w:t>
            </w:r>
          </w:p>
        </w:tc>
      </w:tr>
      <w:tr>
        <w:tc>
          <w:tcPr>
            <w:tcW w:type="dxa" w:w="4320"/>
            <w:vAlign w:val="center"/>
          </w:tcPr>
          <w:p>
            <w:pPr>
              <w:bidi w:val="1"/>
              <w:jc w:val="right"/>
            </w:pPr>
            <w:r/>
            <w:r>
              <w:rPr>
                <w:rFonts w:ascii="Arial" w:hAnsi="Arial"/>
                <w:b w:val="0"/>
                <w:sz w:val="20"/>
              </w:rPr>
              <w:t>Shadow experiment</w:t>
            </w:r>
          </w:p>
        </w:tc>
        <w:tc>
          <w:tcPr>
            <w:tcW w:type="dxa" w:w="4320"/>
            <w:vAlign w:val="center"/>
          </w:tcPr>
          <w:p>
            <w:r>
              <w:t>Controlled Purple</w:t>
            </w:r>
          </w:p>
        </w:tc>
      </w:tr>
      <w:tr>
        <w:tc>
          <w:tcPr>
            <w:tcW w:type="dxa" w:w="4320"/>
            <w:vAlign w:val="center"/>
          </w:tcPr>
          <w:p>
            <w:pPr>
              <w:bidi w:val="1"/>
              <w:jc w:val="right"/>
            </w:pPr>
            <w:r/>
            <w:r>
              <w:rPr>
                <w:rFonts w:ascii="Arial" w:hAnsi="Arial"/>
                <w:b w:val="0"/>
                <w:sz w:val="20"/>
              </w:rPr>
              <w:t>Official CORE</w:t>
            </w:r>
          </w:p>
        </w:tc>
        <w:tc>
          <w:tcPr>
            <w:tcW w:type="dxa" w:w="4320"/>
            <w:vAlign w:val="center"/>
          </w:tcPr>
          <w:p>
            <w:r>
              <w:t>Warm restrained Gold emphasis + explicit status label</w:t>
            </w:r>
          </w:p>
        </w:tc>
      </w:tr>
    </w:tbl>
    <w:p>
      <w:pPr>
        <w:bidi w:val="1"/>
        <w:jc w:val="right"/>
      </w:pPr>
      <w:r>
        <w:rPr>
          <w:rFonts w:ascii="Arial" w:hAnsi="Arial"/>
          <w:b w:val="0"/>
          <w:sz w:val="22"/>
        </w:rPr>
        <w:t>لكن اللون لن يكون الوسيلة الوحيدة لفهم الحالة؛ سنستخدم النص والأيقونات أيضًا.</w:t>
      </w:r>
    </w:p>
    <w:p>
      <w:pPr>
        <w:pStyle w:val="ListBullet"/>
        <w:bidi w:val="1"/>
        <w:jc w:val="right"/>
      </w:pPr>
      <w:r>
        <w:rPr>
          <w:rFonts w:ascii="Arial" w:hAnsi="Arial"/>
          <w:sz w:val="22"/>
        </w:rPr>
        <w:t>صاعد غير صريح — ذو أفق ضيق.</w:t>
      </w:r>
    </w:p>
    <w:p>
      <w:pPr>
        <w:pStyle w:val="ListBullet"/>
        <w:bidi w:val="1"/>
        <w:jc w:val="right"/>
      </w:pPr>
      <w:r>
        <w:rPr>
          <w:rFonts w:ascii="Arial" w:hAnsi="Arial"/>
          <w:sz w:val="22"/>
        </w:rPr>
        <w:t>هابط صريح — ذو أفق ممتد.</w:t>
      </w:r>
    </w:p>
    <w:p>
      <w:pPr>
        <w:pStyle w:val="Heading2"/>
        <w:bidi w:val="1"/>
        <w:jc w:val="right"/>
      </w:pPr>
      <w:r>
        <w:rPr>
          <w:rFonts w:ascii="Arial" w:hAnsi="Arial"/>
        </w:rPr>
        <w:t>دعم العربية والإنجليزية</w:t>
      </w:r>
    </w:p>
    <w:p>
      <w:pPr>
        <w:bidi w:val="1"/>
        <w:jc w:val="right"/>
      </w:pPr>
      <w:r>
        <w:rPr>
          <w:rFonts w:ascii="Arial" w:hAnsi="Arial"/>
          <w:b w:val="0"/>
          <w:sz w:val="22"/>
        </w:rPr>
        <w:t>سيُبنى اتجاه الصفحة على مستوى المكوّن، وليس بتغيير CSS عشوائي.</w:t>
      </w:r>
    </w:p>
    <w:p>
      <w:pPr>
        <w:bidi w:val="1"/>
        <w:jc w:val="center"/>
      </w:pPr>
      <w:r>
        <w:rPr>
          <w:rFonts w:ascii="Arial" w:hAnsi="Arial"/>
          <w:b w:val="0"/>
          <w:sz w:val="22"/>
        </w:rPr>
        <w:t>&lt;html lang="ar" dir="rtl"&gt;</w:t>
      </w:r>
    </w:p>
    <w:p>
      <w:pPr>
        <w:bidi w:val="1"/>
        <w:jc w:val="center"/>
      </w:pPr>
      <w:r>
        <w:rPr>
          <w:rFonts w:ascii="Arial" w:hAnsi="Arial"/>
          <w:b w:val="0"/>
          <w:sz w:val="22"/>
        </w:rPr>
        <w:t>وللإنجليزية:</w:t>
      </w:r>
    </w:p>
    <w:p>
      <w:pPr>
        <w:bidi w:val="1"/>
        <w:jc w:val="center"/>
      </w:pPr>
      <w:r>
        <w:rPr>
          <w:rFonts w:ascii="Arial" w:hAnsi="Arial"/>
          <w:b w:val="0"/>
          <w:sz w:val="22"/>
        </w:rPr>
        <w:t>&lt;html lang="en" dir="ltr"&gt;</w:t>
      </w:r>
    </w:p>
    <w:p>
      <w:pPr>
        <w:bidi w:val="1"/>
        <w:jc w:val="right"/>
      </w:pPr>
      <w:r>
        <w:rPr>
          <w:rFonts w:ascii="Arial" w:hAnsi="Arial"/>
          <w:b w:val="0"/>
          <w:sz w:val="22"/>
        </w:rPr>
        <w:t>الجداول والأرقام ستراعي ما يلي:</w:t>
      </w:r>
    </w:p>
    <w:p>
      <w:pPr>
        <w:pStyle w:val="ListBullet"/>
        <w:bidi w:val="1"/>
        <w:jc w:val="right"/>
      </w:pPr>
      <w:r>
        <w:rPr>
          <w:rFonts w:ascii="Arial" w:hAnsi="Arial"/>
          <w:sz w:val="22"/>
        </w:rPr>
        <w:t>النص العربي RTL.</w:t>
      </w:r>
    </w:p>
    <w:p>
      <w:pPr>
        <w:pStyle w:val="ListBullet"/>
        <w:bidi w:val="1"/>
        <w:jc w:val="right"/>
      </w:pPr>
      <w:r>
        <w:rPr>
          <w:rFonts w:ascii="Arial" w:hAnsi="Arial"/>
          <w:sz w:val="22"/>
        </w:rPr>
        <w:t>الأرقام والمعادلات LTR داخل السطر عند الحاجة.</w:t>
      </w:r>
    </w:p>
    <w:p>
      <w:pPr>
        <w:pStyle w:val="ListBullet"/>
        <w:bidi w:val="1"/>
        <w:jc w:val="right"/>
      </w:pPr>
      <w:r>
        <w:rPr>
          <w:rFonts w:ascii="Arial" w:hAnsi="Arial"/>
          <w:sz w:val="22"/>
        </w:rPr>
        <w:t>الأكواد وJSON دائمًا LTR.</w:t>
      </w:r>
    </w:p>
    <w:p>
      <w:pPr>
        <w:pStyle w:val="ListBullet"/>
        <w:bidi w:val="1"/>
        <w:jc w:val="right"/>
      </w:pPr>
      <w:r>
        <w:rPr>
          <w:rFonts w:ascii="Arial" w:hAnsi="Arial"/>
          <w:sz w:val="22"/>
        </w:rPr>
        <w:t>لا تُخلط الفقرات العربية والإنجليزية في نفس الكتلة.</w:t>
      </w:r>
    </w:p>
    <w:p>
      <w:pPr>
        <w:pStyle w:val="ListBullet"/>
        <w:bidi w:val="1"/>
        <w:jc w:val="right"/>
      </w:pPr>
      <w:r>
        <w:rPr>
          <w:rFonts w:ascii="Arial" w:hAnsi="Arial"/>
          <w:sz w:val="22"/>
        </w:rPr>
        <w:t>التقرير الثنائي اللغة يقسم كل لغة إلى قسم مستقل.</w:t>
      </w:r>
    </w:p>
    <w:p>
      <w:pPr>
        <w:pStyle w:val="Heading2"/>
        <w:bidi w:val="1"/>
        <w:jc w:val="right"/>
      </w:pPr>
      <w:r>
        <w:rPr>
          <w:rFonts w:ascii="Arial" w:hAnsi="Arial"/>
        </w:rPr>
        <w:t>توزيع التقنية</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pPr>
              <w:bidi w:val="1"/>
              <w:jc w:val="right"/>
            </w:pPr>
            <w:r/>
            <w:r>
              <w:rPr>
                <w:rFonts w:ascii="Arial" w:hAnsi="Arial"/>
                <w:b/>
                <w:sz w:val="20"/>
              </w:rPr>
              <w:t>الجزء</w:t>
            </w:r>
          </w:p>
        </w:tc>
        <w:tc>
          <w:tcPr>
            <w:tcW w:type="dxa" w:w="2880"/>
            <w:vAlign w:val="center"/>
            <w:shd w:fill="D9EAF7"/>
          </w:tcPr>
          <w:p>
            <w:pPr>
              <w:bidi w:val="1"/>
              <w:jc w:val="right"/>
            </w:pPr>
            <w:r/>
            <w:r>
              <w:rPr>
                <w:rFonts w:ascii="Arial" w:hAnsi="Arial"/>
                <w:b/>
                <w:sz w:val="20"/>
              </w:rPr>
              <w:t>التقنيات</w:t>
            </w:r>
          </w:p>
        </w:tc>
        <w:tc>
          <w:tcPr>
            <w:tcW w:type="dxa" w:w="2880"/>
            <w:vAlign w:val="center"/>
            <w:shd w:fill="D9EAF7"/>
          </w:tcPr>
          <w:p>
            <w:pPr>
              <w:bidi w:val="1"/>
              <w:jc w:val="right"/>
            </w:pPr>
            <w:r/>
            <w:r>
              <w:rPr>
                <w:rFonts w:ascii="Arial" w:hAnsi="Arial"/>
                <w:b/>
                <w:sz w:val="20"/>
              </w:rPr>
              <w:t>ملاحظات</w:t>
            </w:r>
          </w:p>
        </w:tc>
      </w:tr>
      <w:tr>
        <w:tc>
          <w:tcPr>
            <w:tcW w:type="dxa" w:w="2880"/>
            <w:vAlign w:val="center"/>
          </w:tcPr>
          <w:p>
            <w:pPr>
              <w:bidi w:val="1"/>
              <w:jc w:val="right"/>
            </w:pPr>
            <w:r/>
            <w:r>
              <w:rPr>
                <w:rFonts w:ascii="Arial" w:hAnsi="Arial"/>
                <w:b w:val="0"/>
                <w:sz w:val="20"/>
              </w:rPr>
              <w:t>الواجهات</w:t>
            </w:r>
          </w:p>
        </w:tc>
        <w:tc>
          <w:tcPr>
            <w:tcW w:type="dxa" w:w="2880"/>
            <w:vAlign w:val="center"/>
          </w:tcPr>
          <w:p>
            <w:pPr>
              <w:bidi w:val="1"/>
              <w:jc w:val="right"/>
            </w:pPr>
            <w:r/>
            <w:r>
              <w:rPr>
                <w:rFonts w:ascii="Arial" w:hAnsi="Arial"/>
                <w:b w:val="0"/>
                <w:sz w:val="20"/>
              </w:rPr>
              <w:t>React / Vite / TypeScript</w:t>
            </w:r>
          </w:p>
        </w:tc>
        <w:tc>
          <w:tcPr>
            <w:tcW w:type="dxa" w:w="2880"/>
            <w:vAlign w:val="center"/>
          </w:tcPr>
          <w:p>
            <w:pPr>
              <w:bidi w:val="1"/>
              <w:jc w:val="right"/>
            </w:pPr>
            <w:r/>
            <w:r>
              <w:rPr>
                <w:rFonts w:ascii="Arial" w:hAnsi="Arial"/>
                <w:b w:val="0"/>
                <w:sz w:val="20"/>
              </w:rPr>
              <w:t>كل واجهة حوكمة جديدة تُكتب بـTypeScript قدر الإمكان.</w:t>
            </w:r>
          </w:p>
        </w:tc>
      </w:tr>
      <w:tr>
        <w:tc>
          <w:tcPr>
            <w:tcW w:type="dxa" w:w="2880"/>
            <w:vAlign w:val="center"/>
          </w:tcPr>
          <w:p>
            <w:pPr>
              <w:bidi w:val="1"/>
              <w:jc w:val="right"/>
            </w:pPr>
            <w:r/>
            <w:r>
              <w:rPr>
                <w:rFonts w:ascii="Arial" w:hAnsi="Arial"/>
                <w:b w:val="0"/>
                <w:sz w:val="20"/>
              </w:rPr>
              <w:t>محرك الحوكمة</w:t>
            </w:r>
          </w:p>
        </w:tc>
        <w:tc>
          <w:tcPr>
            <w:tcW w:type="dxa" w:w="2880"/>
            <w:vAlign w:val="center"/>
          </w:tcPr>
          <w:p>
            <w:pPr>
              <w:bidi w:val="1"/>
              <w:jc w:val="right"/>
            </w:pPr>
            <w:r/>
            <w:r>
              <w:rPr>
                <w:rFonts w:ascii="Arial" w:hAnsi="Arial"/>
                <w:b w:val="0"/>
                <w:sz w:val="20"/>
              </w:rPr>
              <w:t>Node.js / Express / CommonJS / JSON Schema</w:t>
            </w:r>
          </w:p>
        </w:tc>
        <w:tc>
          <w:tcPr>
            <w:tcW w:type="dxa" w:w="2880"/>
            <w:vAlign w:val="center"/>
          </w:tcPr>
          <w:p>
            <w:pPr>
              <w:bidi w:val="1"/>
              <w:jc w:val="right"/>
            </w:pPr>
            <w:r/>
            <w:r>
              <w:rPr>
                <w:rFonts w:ascii="Arial" w:hAnsi="Arial"/>
                <w:b w:val="0"/>
                <w:sz w:val="20"/>
              </w:rPr>
              <w:t>الموقع الأنسب: backend/services/decision_governance_core/</w:t>
            </w:r>
          </w:p>
        </w:tc>
      </w:tr>
      <w:tr>
        <w:tc>
          <w:tcPr>
            <w:tcW w:type="dxa" w:w="2880"/>
            <w:vAlign w:val="center"/>
          </w:tcPr>
          <w:p>
            <w:pPr>
              <w:bidi w:val="1"/>
              <w:jc w:val="right"/>
            </w:pPr>
            <w:r/>
            <w:r>
              <w:rPr>
                <w:rFonts w:ascii="Arial" w:hAnsi="Arial"/>
                <w:b w:val="0"/>
                <w:sz w:val="20"/>
              </w:rPr>
              <w:t>بيانات COT الخام</w:t>
            </w:r>
          </w:p>
        </w:tc>
        <w:tc>
          <w:tcPr>
            <w:tcW w:type="dxa" w:w="2880"/>
            <w:vAlign w:val="center"/>
          </w:tcPr>
          <w:p>
            <w:pPr>
              <w:bidi w:val="1"/>
              <w:jc w:val="right"/>
            </w:pPr>
            <w:r/>
            <w:r>
              <w:rPr>
                <w:rFonts w:ascii="Arial" w:hAnsi="Arial"/>
                <w:b w:val="0"/>
                <w:sz w:val="20"/>
              </w:rPr>
              <w:t>Python / Uvicorn</w:t>
            </w:r>
          </w:p>
        </w:tc>
        <w:tc>
          <w:tcPr>
            <w:tcW w:type="dxa" w:w="2880"/>
            <w:vAlign w:val="center"/>
          </w:tcPr>
          <w:p>
            <w:pPr>
              <w:bidi w:val="1"/>
              <w:jc w:val="right"/>
            </w:pPr>
            <w:r/>
            <w:r>
              <w:rPr>
                <w:rFonts w:ascii="Arial" w:hAnsi="Arial"/>
                <w:b w:val="0"/>
                <w:sz w:val="20"/>
              </w:rPr>
              <w:t>الخدمة الحالية: apps/ndsp-raw-cot-gateway</w:t>
            </w:r>
          </w:p>
        </w:tc>
      </w:tr>
    </w:tbl>
    <w:p>
      <w:pPr>
        <w:bidi w:val="1"/>
        <w:jc w:val="right"/>
      </w:pPr>
      <w:r>
        <w:rPr>
          <w:rFonts w:ascii="Arial" w:hAnsi="Arial"/>
          <w:b w:val="0"/>
          <w:sz w:val="22"/>
        </w:rPr>
        <w:t>أي واجهة جديدة تخص الحوكمة سنكتبها بـTypeScript، حتى لو كانت بعض الواجهات الحالية JavaScript، لأن العقود والأنواع مهمة جدًا في هذا المشروع.</w:t>
      </w:r>
    </w:p>
    <w:p>
      <w:pPr>
        <w:bidi w:val="1"/>
        <w:jc w:val="right"/>
      </w:pPr>
      <w:r>
        <w:rPr>
          <w:rFonts w:ascii="Arial" w:hAnsi="Arial"/>
          <w:b w:val="0"/>
          <w:sz w:val="22"/>
        </w:rPr>
        <w:t>ولا يوضع قرار الاتجاه النهائي داخل خدمة بيانات COT الخام؛ وظيفتها توفير البيانات الخام والتحقق منها فقط.</w:t>
      </w:r>
    </w:p>
    <w:p>
      <w:pPr>
        <w:pStyle w:val="Heading2"/>
        <w:bidi w:val="1"/>
        <w:jc w:val="right"/>
      </w:pPr>
      <w:r>
        <w:rPr>
          <w:rFonts w:ascii="Arial" w:hAnsi="Arial"/>
        </w:rPr>
        <w:t>نموذج الصفحات</w:t>
      </w:r>
    </w:p>
    <w:p>
      <w:pPr>
        <w:pStyle w:val="Heading3"/>
        <w:bidi w:val="1"/>
        <w:jc w:val="right"/>
      </w:pPr>
      <w:r>
        <w:rPr>
          <w:rFonts w:ascii="Arial" w:hAnsi="Arial"/>
        </w:rPr>
        <w:t>المستخدم النهائي</w:t>
      </w:r>
    </w:p>
    <w:p>
      <w:pPr>
        <w:bidi w:val="1"/>
        <w:jc w:val="right"/>
      </w:pPr>
      <w:r>
        <w:rPr>
          <w:rFonts w:ascii="Arial" w:hAnsi="Arial"/>
          <w:b w:val="0"/>
          <w:sz w:val="22"/>
        </w:rPr>
        <w:t>/</w:t>
        <w:br/>
        <w:t>├── Home</w:t>
        <w:br/>
        <w:t>├── Methodology</w:t>
        <w:br/>
        <w:t>├── Current Analysis</w:t>
        <w:br/>
        <w:t>├── Documentation</w:t>
        <w:br/>
        <w:t>└── Sign In</w:t>
      </w:r>
    </w:p>
    <w:p>
      <w:pPr>
        <w:bidi w:val="1"/>
        <w:jc w:val="right"/>
      </w:pPr>
      <w:r>
        <w:rPr>
          <w:rFonts w:ascii="Arial" w:hAnsi="Arial"/>
          <w:b w:val="0"/>
          <w:sz w:val="22"/>
        </w:rPr>
        <w:t>وفي صفحة التحليل:</w:t>
      </w:r>
    </w:p>
    <w:p>
      <w:pPr>
        <w:pStyle w:val="ListBullet"/>
        <w:bidi w:val="1"/>
        <w:jc w:val="right"/>
      </w:pPr>
      <w:r>
        <w:rPr>
          <w:rFonts w:ascii="Arial" w:hAnsi="Arial"/>
          <w:sz w:val="22"/>
        </w:rPr>
        <w:t>Official Direction</w:t>
      </w:r>
    </w:p>
    <w:p>
      <w:pPr>
        <w:pStyle w:val="ListBullet"/>
        <w:bidi w:val="1"/>
        <w:jc w:val="right"/>
      </w:pPr>
      <w:r>
        <w:rPr>
          <w:rFonts w:ascii="Arial" w:hAnsi="Arial"/>
          <w:sz w:val="22"/>
        </w:rPr>
        <w:t>Analysis Mode</w:t>
      </w:r>
    </w:p>
    <w:p>
      <w:pPr>
        <w:pStyle w:val="ListBullet"/>
        <w:bidi w:val="1"/>
        <w:jc w:val="right"/>
      </w:pPr>
      <w:r>
        <w:rPr>
          <w:rFonts w:ascii="Arial" w:hAnsi="Arial"/>
          <w:sz w:val="22"/>
        </w:rPr>
        <w:t>Effective Week</w:t>
      </w:r>
    </w:p>
    <w:p>
      <w:pPr>
        <w:pStyle w:val="ListBullet"/>
        <w:bidi w:val="1"/>
        <w:jc w:val="right"/>
      </w:pPr>
      <w:r>
        <w:rPr>
          <w:rFonts w:ascii="Arial" w:hAnsi="Arial"/>
          <w:sz w:val="22"/>
        </w:rPr>
        <w:t>Report Date</w:t>
      </w:r>
    </w:p>
    <w:p>
      <w:pPr>
        <w:pStyle w:val="ListBullet"/>
        <w:bidi w:val="1"/>
        <w:jc w:val="right"/>
      </w:pPr>
      <w:r>
        <w:rPr>
          <w:rFonts w:ascii="Arial" w:hAnsi="Arial"/>
          <w:sz w:val="22"/>
        </w:rPr>
        <w:t>Direction Label</w:t>
      </w:r>
    </w:p>
    <w:p>
      <w:pPr>
        <w:pStyle w:val="ListBullet"/>
        <w:bidi w:val="1"/>
        <w:jc w:val="right"/>
      </w:pPr>
      <w:r>
        <w:rPr>
          <w:rFonts w:ascii="Arial" w:hAnsi="Arial"/>
          <w:sz w:val="22"/>
        </w:rPr>
        <w:t>Dominance Delta</w:t>
      </w:r>
    </w:p>
    <w:p>
      <w:pPr>
        <w:pStyle w:val="ListBullet"/>
        <w:bidi w:val="1"/>
        <w:jc w:val="right"/>
      </w:pPr>
      <w:r>
        <w:rPr>
          <w:rFonts w:ascii="Arial" w:hAnsi="Arial"/>
          <w:sz w:val="22"/>
        </w:rPr>
        <w:t>Last Updated UTC</w:t>
      </w:r>
    </w:p>
    <w:p>
      <w:pPr>
        <w:bidi w:val="1"/>
        <w:jc w:val="right"/>
      </w:pPr>
      <w:r>
        <w:rPr>
          <w:rFonts w:ascii="Arial" w:hAnsi="Arial"/>
          <w:b/>
          <w:sz w:val="22"/>
        </w:rPr>
        <w:t>لا يوجد EXPANDED أو حالة تجربة.</w:t>
      </w:r>
    </w:p>
    <w:p>
      <w:pPr>
        <w:pStyle w:val="Heading3"/>
        <w:bidi w:val="1"/>
        <w:jc w:val="right"/>
      </w:pPr>
      <w:r>
        <w:rPr>
          <w:rFonts w:ascii="Arial" w:hAnsi="Arial"/>
        </w:rPr>
        <w:t>لوحة الإدارة</w:t>
      </w:r>
    </w:p>
    <w:p>
      <w:pPr>
        <w:bidi w:val="1"/>
        <w:jc w:val="right"/>
      </w:pPr>
      <w:r>
        <w:rPr>
          <w:rFonts w:ascii="Arial" w:hAnsi="Arial"/>
          <w:b w:val="0"/>
          <w:sz w:val="22"/>
        </w:rPr>
        <w:t>/admin/cot</w:t>
        <w:br/>
        <w:t>├── Overview</w:t>
        <w:br/>
        <w:t>├── Reports</w:t>
        <w:br/>
        <w:t>├── Daily Control</w:t>
        <w:br/>
        <w:t>├── Experiments</w:t>
        <w:br/>
        <w:t>├── Comparisons</w:t>
        <w:br/>
        <w:t>├── Governance</w:t>
        <w:br/>
        <w:t>├── Audit Logs</w:t>
        <w:br/>
        <w:t>├── Contracts</w:t>
        <w:br/>
        <w:t>└── Settings</w:t>
      </w:r>
    </w:p>
    <w:p>
      <w:pPr>
        <w:pStyle w:val="Heading2"/>
        <w:bidi w:val="1"/>
        <w:jc w:val="right"/>
      </w:pPr>
      <w:r>
        <w:rPr>
          <w:rFonts w:ascii="Arial" w:hAnsi="Arial"/>
        </w:rPr>
        <w:t>حماية المنطق الأساسي</w:t>
      </w:r>
    </w:p>
    <w:p>
      <w:pPr>
        <w:bidi w:val="1"/>
        <w:jc w:val="right"/>
      </w:pPr>
      <w:r>
        <w:rPr>
          <w:rFonts w:ascii="Arial" w:hAnsi="Arial"/>
          <w:b w:val="0"/>
          <w:sz w:val="22"/>
        </w:rPr>
        <w:t>واجهة الإدارة لن تتصل مباشرة بمخرجات المستخدم. سيكون المساران منفصلين:</w:t>
      </w:r>
    </w:p>
    <w:p>
      <w:pPr>
        <w:bidi w:val="1"/>
        <w:jc w:val="center"/>
      </w:pPr>
      <w:r>
        <w:rPr>
          <w:rFonts w:ascii="Arial" w:hAnsi="Arial"/>
          <w:b w:val="0"/>
          <w:sz w:val="22"/>
        </w:rPr>
        <w:t>CORE Engine</w:t>
        <w:br/>
        <w:t xml:space="preserve">    ↓</w:t>
        <w:br/>
        <w:t>Official Result Store</w:t>
        <w:br/>
        <w:t xml:space="preserve">    ↓</w:t>
        <w:br/>
        <w:t>Public API</w:t>
        <w:br/>
        <w:t xml:space="preserve">    ↓</w:t>
        <w:br/>
        <w:t>User Interface</w:t>
      </w:r>
    </w:p>
    <w:p>
      <w:pPr>
        <w:bidi w:val="1"/>
        <w:jc w:val="center"/>
      </w:pPr>
      <w:r>
        <w:rPr>
          <w:rFonts w:ascii="Arial" w:hAnsi="Arial"/>
          <w:b w:val="0"/>
          <w:sz w:val="22"/>
        </w:rPr>
        <w:t>EXPANDED Shadow Engine</w:t>
        <w:br/>
        <w:t xml:space="preserve">    ↓</w:t>
        <w:br/>
        <w:t>Experimental Result Store</w:t>
        <w:br/>
        <w:t xml:space="preserve">    ↓</w:t>
        <w:br/>
        <w:t>Internal Admin API</w:t>
        <w:br/>
        <w:t xml:space="preserve">    ↓</w:t>
        <w:br/>
        <w:t>Admin Dashboard</w:t>
      </w:r>
    </w:p>
    <w:p>
      <w:pPr>
        <w:bidi w:val="1"/>
        <w:jc w:val="right"/>
      </w:pPr>
      <w:r>
        <w:rPr>
          <w:rFonts w:ascii="Arial" w:hAnsi="Arial"/>
          <w:b/>
          <w:sz w:val="22"/>
        </w:rPr>
        <w:t>ولا يوجد مسار من EXPANDED إلى Public API.</w:t>
      </w:r>
    </w:p>
    <w:p>
      <w:pPr>
        <w:bidi w:val="1"/>
        <w:jc w:val="right"/>
      </w:pPr>
      <w:r>
        <w:rPr>
          <w:rFonts w:ascii="Arial" w:hAnsi="Arial"/>
          <w:b w:val="0"/>
          <w:sz w:val="22"/>
        </w:rPr>
        <w:t>حتى زر الترقية في لوحة الإدارة لا يغيّر النتيجة مباشرة؛ بل ينشئ Governance Promotion Request، ويحتاج اعتمادًا وتحديث إصدار واختبارات قبول.</w:t>
      </w:r>
    </w:p>
    <w:p>
      <w:pPr>
        <w:pStyle w:val="Heading2"/>
        <w:bidi w:val="1"/>
        <w:jc w:val="right"/>
      </w:pPr>
      <w:r>
        <w:rPr>
          <w:rFonts w:ascii="Arial" w:hAnsi="Arial"/>
        </w:rPr>
        <w:t>الاعتماد المؤقت</w:t>
      </w:r>
    </w:p>
    <w:p>
      <w:pPr>
        <w:pStyle w:val="Heading3"/>
        <w:bidi w:val="1"/>
        <w:jc w:val="right"/>
      </w:pPr>
      <w:r>
        <w:rPr>
          <w:rFonts w:ascii="Arial" w:hAnsi="Arial"/>
        </w:rPr>
        <w:t>CORE</w:t>
      </w:r>
    </w:p>
    <w:p>
      <w:pPr>
        <w:pStyle w:val="ListBullet"/>
        <w:bidi w:val="1"/>
        <w:jc w:val="right"/>
      </w:pPr>
      <w:r>
        <w:rPr>
          <w:rFonts w:ascii="Arial" w:hAnsi="Arial"/>
          <w:sz w:val="22"/>
        </w:rPr>
        <w:t>النمط الاستثماري: مدراء الأصول فقط.</w:t>
      </w:r>
    </w:p>
    <w:p>
      <w:pPr>
        <w:pStyle w:val="ListBullet"/>
        <w:bidi w:val="1"/>
        <w:jc w:val="right"/>
      </w:pPr>
      <w:r>
        <w:rPr>
          <w:rFonts w:ascii="Arial" w:hAnsi="Arial"/>
          <w:sz w:val="22"/>
        </w:rPr>
        <w:t>النمط المضاربي عند سيطرة طويلي الأمد: مدراء الأصول فقط.</w:t>
      </w:r>
    </w:p>
    <w:p>
      <w:pPr>
        <w:pStyle w:val="ListBullet"/>
        <w:bidi w:val="1"/>
        <w:jc w:val="right"/>
      </w:pPr>
      <w:r>
        <w:rPr>
          <w:rFonts w:ascii="Arial" w:hAnsi="Arial"/>
          <w:sz w:val="22"/>
        </w:rPr>
        <w:t>النمط المضاربي عند سيطرة قصيري الأمد: الرافعات المالية فقط.</w:t>
      </w:r>
    </w:p>
    <w:p>
      <w:pPr>
        <w:pStyle w:val="Heading3"/>
        <w:bidi w:val="1"/>
        <w:jc w:val="right"/>
      </w:pPr>
      <w:r>
        <w:rPr>
          <w:rFonts w:ascii="Arial" w:hAnsi="Arial"/>
        </w:rPr>
        <w:t>EXPANDED</w:t>
      </w:r>
    </w:p>
    <w:p>
      <w:pPr>
        <w:pStyle w:val="ListBullet"/>
        <w:bidi w:val="1"/>
        <w:jc w:val="right"/>
      </w:pPr>
      <w:r>
        <w:rPr>
          <w:rFonts w:ascii="Arial" w:hAnsi="Arial"/>
          <w:sz w:val="22"/>
        </w:rPr>
        <w:t>مدراء الأصول + الآخرون.</w:t>
      </w:r>
    </w:p>
    <w:p>
      <w:pPr>
        <w:pStyle w:val="ListBullet"/>
        <w:bidi w:val="1"/>
        <w:jc w:val="right"/>
      </w:pPr>
      <w:r>
        <w:rPr>
          <w:rFonts w:ascii="Arial" w:hAnsi="Arial"/>
          <w:sz w:val="22"/>
        </w:rPr>
        <w:t>الرافعات المالية + المتاجرين.</w:t>
      </w:r>
    </w:p>
    <w:p>
      <w:pPr>
        <w:pStyle w:val="ListBullet"/>
        <w:bidi w:val="1"/>
        <w:jc w:val="right"/>
      </w:pPr>
      <w:r>
        <w:rPr>
          <w:rFonts w:ascii="Arial" w:hAnsi="Arial"/>
          <w:sz w:val="22"/>
        </w:rPr>
        <w:t>يعمل في SHADOW_MODE.</w:t>
      </w:r>
    </w:p>
    <w:p>
      <w:pPr>
        <w:pStyle w:val="ListBullet"/>
        <w:bidi w:val="1"/>
        <w:jc w:val="right"/>
      </w:pPr>
      <w:r>
        <w:rPr>
          <w:rFonts w:ascii="Arial" w:hAnsi="Arial"/>
          <w:sz w:val="22"/>
        </w:rPr>
        <w:t>مخفي عن المستخدم.</w:t>
      </w:r>
    </w:p>
    <w:p>
      <w:pPr>
        <w:pStyle w:val="ListBullet"/>
        <w:bidi w:val="1"/>
        <w:jc w:val="right"/>
      </w:pPr>
      <w:r>
        <w:rPr>
          <w:rFonts w:ascii="Arial" w:hAnsi="Arial"/>
          <w:sz w:val="22"/>
        </w:rPr>
        <w:t>ظاهر للإدارة فقط.</w:t>
      </w:r>
    </w:p>
    <w:p>
      <w:pPr>
        <w:bidi w:val="1"/>
        <w:jc w:val="right"/>
      </w:pPr>
      <w:r>
        <w:rPr>
          <w:rFonts w:ascii="Arial" w:hAnsi="Arial"/>
          <w:b/>
          <w:sz w:val="22"/>
        </w:rPr>
        <w:t>وهذا هو الأسلوب الأقرب إلى ما تفعله المنصات الكبيرة: المنتج العام بسيط، بينما التعقيد والاختبارات والمراقبة تبقى داخل أدوات الإدارة.</w:t>
      </w:r>
    </w:p>
    <w:p>
      <w:r>
        <w:br w:type="page"/>
      </w:r>
    </w:p>
    <w:p>
      <w:pPr>
        <w:pStyle w:val="Heading1"/>
        <w:bidi w:val="1"/>
        <w:jc w:val="right"/>
      </w:pPr>
      <w:r>
        <w:rPr>
          <w:rFonts w:ascii="Arial" w:hAnsi="Arial"/>
        </w:rPr>
        <w:t>معايير اعتماد مكتبات ومكونات الواجهة</w:t>
      </w:r>
    </w:p>
    <w:p>
      <w:pPr>
        <w:bidi w:val="1"/>
        <w:jc w:val="right"/>
      </w:pPr>
      <w:r>
        <w:rPr>
          <w:rFonts w:ascii="Arial" w:hAnsi="Arial"/>
          <w:b w:val="0"/>
          <w:sz w:val="22"/>
        </w:rPr>
        <w:t>يعتمد المشروع مبدأ «الأداة المناسبة للمهمة المناسبة» (Best Tool for the Job)، بحيث لا تُستخدم أكثر من مكتبة لأداء الوظيفة نفسها دون مبرر هندسي موثق. ويهدف ذلك إلى الحفاظ على اتساق الواجهات، وتسهيل الصيانة، وتقليل حجم الحزم البرمجية، وتجنب الازدواجية التقنية.</w:t>
      </w:r>
    </w:p>
    <w:p>
      <w:pPr>
        <w:bidi w:val="1"/>
        <w:jc w:val="right"/>
      </w:pPr>
      <w:r>
        <w:rPr>
          <w:rFonts w:ascii="Arial" w:hAnsi="Arial"/>
          <w:b/>
          <w:sz w:val="22"/>
        </w:rPr>
        <w:t>يجب أن تدعم جميع المكونات المختارة React وTypeScript، وأن تكون نشطة التطوير، وموثقة رسميًا، وقابلة للتوسع، مع مراعاة الأداء، وإمكانية الوصول، ودعم العربية RTL والإنجليزية LTR.</w:t>
      </w:r>
    </w:p>
    <w:p>
      <w:pPr>
        <w:pStyle w:val="Heading2"/>
        <w:bidi w:val="1"/>
        <w:jc w:val="right"/>
      </w:pPr>
      <w:r>
        <w:rPr>
          <w:rFonts w:ascii="Arial" w:hAnsi="Arial"/>
        </w:rPr>
        <w:t>مكتبات الواجهة المعتمدة</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pPr>
              <w:bidi w:val="1"/>
              <w:jc w:val="right"/>
            </w:pPr>
            <w:r/>
            <w:r>
              <w:rPr>
                <w:rFonts w:ascii="Arial" w:hAnsi="Arial"/>
                <w:b/>
                <w:sz w:val="19"/>
              </w:rPr>
              <w:t>المجال</w:t>
            </w:r>
          </w:p>
        </w:tc>
        <w:tc>
          <w:tcPr>
            <w:tcW w:type="dxa" w:w="2880"/>
            <w:vAlign w:val="center"/>
            <w:shd w:fill="D9EAF7"/>
          </w:tcPr>
          <w:p>
            <w:pPr>
              <w:bidi w:val="1"/>
              <w:jc w:val="right"/>
            </w:pPr>
            <w:r/>
            <w:r>
              <w:rPr>
                <w:rFonts w:ascii="Arial" w:hAnsi="Arial"/>
                <w:b/>
                <w:sz w:val="19"/>
              </w:rPr>
              <w:t>الأداة المعتمدة</w:t>
            </w:r>
          </w:p>
        </w:tc>
        <w:tc>
          <w:tcPr>
            <w:tcW w:type="dxa" w:w="2880"/>
            <w:vAlign w:val="center"/>
            <w:shd w:fill="D9EAF7"/>
          </w:tcPr>
          <w:p>
            <w:pPr>
              <w:bidi w:val="1"/>
              <w:jc w:val="right"/>
            </w:pPr>
            <w:r/>
            <w:r>
              <w:rPr>
                <w:rFonts w:ascii="Arial" w:hAnsi="Arial"/>
                <w:b/>
                <w:sz w:val="19"/>
              </w:rPr>
              <w:t>الاستخدام</w:t>
            </w:r>
          </w:p>
        </w:tc>
      </w:tr>
      <w:tr>
        <w:tc>
          <w:tcPr>
            <w:tcW w:type="dxa" w:w="2880"/>
            <w:vAlign w:val="center"/>
          </w:tcPr>
          <w:p>
            <w:pPr>
              <w:bidi w:val="1"/>
              <w:jc w:val="right"/>
            </w:pPr>
            <w:r/>
            <w:r>
              <w:rPr>
                <w:rFonts w:ascii="Arial" w:hAnsi="Arial"/>
                <w:b w:val="0"/>
                <w:sz w:val="19"/>
              </w:rPr>
              <w:t>Design System</w:t>
            </w:r>
          </w:p>
        </w:tc>
        <w:tc>
          <w:tcPr>
            <w:tcW w:type="dxa" w:w="2880"/>
            <w:vAlign w:val="center"/>
          </w:tcPr>
          <w:p>
            <w:pPr>
              <w:bidi w:val="1"/>
              <w:jc w:val="right"/>
            </w:pPr>
            <w:r/>
            <w:r>
              <w:rPr>
                <w:rFonts w:ascii="Arial" w:hAnsi="Arial"/>
                <w:b w:val="0"/>
                <w:sz w:val="19"/>
              </w:rPr>
              <w:t>shadcn/ui + Radix UI</w:t>
            </w:r>
          </w:p>
        </w:tc>
        <w:tc>
          <w:tcPr>
            <w:tcW w:type="dxa" w:w="2880"/>
            <w:vAlign w:val="center"/>
          </w:tcPr>
          <w:p>
            <w:pPr>
              <w:bidi w:val="1"/>
              <w:jc w:val="right"/>
            </w:pPr>
            <w:r/>
            <w:r>
              <w:rPr>
                <w:rFonts w:ascii="Arial" w:hAnsi="Arial"/>
                <w:b w:val="0"/>
                <w:sz w:val="19"/>
              </w:rPr>
              <w:t>المكونات الأساسية، النوافذ، القوائم، الحوارات، التبويبات، عناصر الإدخال.</w:t>
            </w:r>
          </w:p>
        </w:tc>
      </w:tr>
      <w:tr>
        <w:tc>
          <w:tcPr>
            <w:tcW w:type="dxa" w:w="2880"/>
            <w:vAlign w:val="center"/>
          </w:tcPr>
          <w:p>
            <w:pPr>
              <w:bidi w:val="1"/>
              <w:jc w:val="right"/>
            </w:pPr>
            <w:r/>
            <w:r>
              <w:rPr>
                <w:rFonts w:ascii="Arial" w:hAnsi="Arial"/>
                <w:b w:val="0"/>
                <w:sz w:val="19"/>
              </w:rPr>
              <w:t>Icons</w:t>
            </w:r>
          </w:p>
        </w:tc>
        <w:tc>
          <w:tcPr>
            <w:tcW w:type="dxa" w:w="2880"/>
            <w:vAlign w:val="center"/>
          </w:tcPr>
          <w:p>
            <w:pPr>
              <w:bidi w:val="1"/>
              <w:jc w:val="right"/>
            </w:pPr>
            <w:r/>
            <w:r>
              <w:rPr>
                <w:rFonts w:ascii="Arial" w:hAnsi="Arial"/>
                <w:b w:val="0"/>
                <w:sz w:val="19"/>
              </w:rPr>
              <w:t>Lucide React</w:t>
            </w:r>
          </w:p>
        </w:tc>
        <w:tc>
          <w:tcPr>
            <w:tcW w:type="dxa" w:w="2880"/>
            <w:vAlign w:val="center"/>
          </w:tcPr>
          <w:p>
            <w:pPr>
              <w:bidi w:val="1"/>
              <w:jc w:val="right"/>
            </w:pPr>
            <w:r/>
            <w:r>
              <w:rPr>
                <w:rFonts w:ascii="Arial" w:hAnsi="Arial"/>
                <w:b w:val="0"/>
                <w:sz w:val="19"/>
              </w:rPr>
              <w:t>جميع أيقونات النظام ضمن لغة بصرية موحدة.</w:t>
            </w:r>
          </w:p>
        </w:tc>
      </w:tr>
      <w:tr>
        <w:tc>
          <w:tcPr>
            <w:tcW w:type="dxa" w:w="2880"/>
            <w:vAlign w:val="center"/>
          </w:tcPr>
          <w:p>
            <w:pPr>
              <w:bidi w:val="1"/>
              <w:jc w:val="right"/>
            </w:pPr>
            <w:r/>
            <w:r>
              <w:rPr>
                <w:rFonts w:ascii="Arial" w:hAnsi="Arial"/>
                <w:b w:val="0"/>
                <w:sz w:val="19"/>
              </w:rPr>
              <w:t>Forms</w:t>
            </w:r>
          </w:p>
        </w:tc>
        <w:tc>
          <w:tcPr>
            <w:tcW w:type="dxa" w:w="2880"/>
            <w:vAlign w:val="center"/>
          </w:tcPr>
          <w:p>
            <w:pPr>
              <w:bidi w:val="1"/>
              <w:jc w:val="right"/>
            </w:pPr>
            <w:r/>
            <w:r>
              <w:rPr>
                <w:rFonts w:ascii="Arial" w:hAnsi="Arial"/>
                <w:b w:val="0"/>
                <w:sz w:val="19"/>
              </w:rPr>
              <w:t>React Hook Form + Zod</w:t>
            </w:r>
          </w:p>
        </w:tc>
        <w:tc>
          <w:tcPr>
            <w:tcW w:type="dxa" w:w="2880"/>
            <w:vAlign w:val="center"/>
          </w:tcPr>
          <w:p>
            <w:pPr>
              <w:bidi w:val="1"/>
              <w:jc w:val="right"/>
            </w:pPr>
            <w:r/>
            <w:r>
              <w:rPr>
                <w:rFonts w:ascii="Arial" w:hAnsi="Arial"/>
                <w:b w:val="0"/>
                <w:sz w:val="19"/>
              </w:rPr>
              <w:t>إدارة النماذج والتحقق من البيانات وربطها بعقود API.</w:t>
            </w:r>
          </w:p>
        </w:tc>
      </w:tr>
      <w:tr>
        <w:tc>
          <w:tcPr>
            <w:tcW w:type="dxa" w:w="2880"/>
            <w:vAlign w:val="center"/>
          </w:tcPr>
          <w:p>
            <w:pPr>
              <w:bidi w:val="1"/>
              <w:jc w:val="right"/>
            </w:pPr>
            <w:r/>
            <w:r>
              <w:rPr>
                <w:rFonts w:ascii="Arial" w:hAnsi="Arial"/>
                <w:b w:val="0"/>
                <w:sz w:val="19"/>
              </w:rPr>
              <w:t>Server State</w:t>
            </w:r>
          </w:p>
        </w:tc>
        <w:tc>
          <w:tcPr>
            <w:tcW w:type="dxa" w:w="2880"/>
            <w:vAlign w:val="center"/>
          </w:tcPr>
          <w:p>
            <w:pPr>
              <w:bidi w:val="1"/>
              <w:jc w:val="right"/>
            </w:pPr>
            <w:r/>
            <w:r>
              <w:rPr>
                <w:rFonts w:ascii="Arial" w:hAnsi="Arial"/>
                <w:b w:val="0"/>
                <w:sz w:val="19"/>
              </w:rPr>
              <w:t>TanStack Query</w:t>
            </w:r>
          </w:p>
        </w:tc>
        <w:tc>
          <w:tcPr>
            <w:tcW w:type="dxa" w:w="2880"/>
            <w:vAlign w:val="center"/>
          </w:tcPr>
          <w:p>
            <w:pPr>
              <w:bidi w:val="1"/>
              <w:jc w:val="right"/>
            </w:pPr>
            <w:r/>
            <w:r>
              <w:rPr>
                <w:rFonts w:ascii="Arial" w:hAnsi="Arial"/>
                <w:b w:val="0"/>
                <w:sz w:val="19"/>
              </w:rPr>
              <w:t>Cache، Retry، Background Refresh، Loading، Error، Optimistic Updates.</w:t>
            </w:r>
          </w:p>
        </w:tc>
      </w:tr>
      <w:tr>
        <w:tc>
          <w:tcPr>
            <w:tcW w:type="dxa" w:w="2880"/>
            <w:vAlign w:val="center"/>
          </w:tcPr>
          <w:p>
            <w:pPr>
              <w:bidi w:val="1"/>
              <w:jc w:val="right"/>
            </w:pPr>
            <w:r/>
            <w:r>
              <w:rPr>
                <w:rFonts w:ascii="Arial" w:hAnsi="Arial"/>
                <w:b w:val="0"/>
                <w:sz w:val="19"/>
              </w:rPr>
              <w:t>Routing</w:t>
            </w:r>
          </w:p>
        </w:tc>
        <w:tc>
          <w:tcPr>
            <w:tcW w:type="dxa" w:w="2880"/>
            <w:vAlign w:val="center"/>
          </w:tcPr>
          <w:p>
            <w:pPr>
              <w:bidi w:val="1"/>
              <w:jc w:val="right"/>
            </w:pPr>
            <w:r/>
            <w:r>
              <w:rPr>
                <w:rFonts w:ascii="Arial" w:hAnsi="Arial"/>
                <w:b w:val="0"/>
                <w:sz w:val="19"/>
              </w:rPr>
              <w:t>React Router أو TanStack Router</w:t>
            </w:r>
          </w:p>
        </w:tc>
        <w:tc>
          <w:tcPr>
            <w:tcW w:type="dxa" w:w="2880"/>
            <w:vAlign w:val="center"/>
          </w:tcPr>
          <w:p>
            <w:pPr>
              <w:bidi w:val="1"/>
              <w:jc w:val="right"/>
            </w:pPr>
            <w:r/>
            <w:r>
              <w:rPr>
                <w:rFonts w:ascii="Arial" w:hAnsi="Arial"/>
                <w:b w:val="0"/>
                <w:sz w:val="19"/>
              </w:rPr>
              <w:t>إدارة التنقل والمسارات وفق بنية التطبيق الحالية.</w:t>
            </w:r>
          </w:p>
        </w:tc>
      </w:tr>
      <w:tr>
        <w:tc>
          <w:tcPr>
            <w:tcW w:type="dxa" w:w="2880"/>
            <w:vAlign w:val="center"/>
          </w:tcPr>
          <w:p>
            <w:pPr>
              <w:bidi w:val="1"/>
              <w:jc w:val="right"/>
            </w:pPr>
            <w:r/>
            <w:r>
              <w:rPr>
                <w:rFonts w:ascii="Arial" w:hAnsi="Arial"/>
                <w:b w:val="0"/>
                <w:sz w:val="19"/>
              </w:rPr>
              <w:t>Large Tables</w:t>
            </w:r>
          </w:p>
        </w:tc>
        <w:tc>
          <w:tcPr>
            <w:tcW w:type="dxa" w:w="2880"/>
            <w:vAlign w:val="center"/>
          </w:tcPr>
          <w:p>
            <w:pPr>
              <w:bidi w:val="1"/>
              <w:jc w:val="right"/>
            </w:pPr>
            <w:r/>
            <w:r>
              <w:rPr>
                <w:rFonts w:ascii="Arial" w:hAnsi="Arial"/>
                <w:b w:val="0"/>
                <w:sz w:val="19"/>
              </w:rPr>
              <w:t>AG Grid</w:t>
            </w:r>
          </w:p>
        </w:tc>
        <w:tc>
          <w:tcPr>
            <w:tcW w:type="dxa" w:w="2880"/>
            <w:vAlign w:val="center"/>
          </w:tcPr>
          <w:p>
            <w:pPr>
              <w:bidi w:val="1"/>
              <w:jc w:val="right"/>
            </w:pPr>
            <w:r/>
            <w:r>
              <w:rPr>
                <w:rFonts w:ascii="Arial" w:hAnsi="Arial"/>
                <w:b w:val="0"/>
                <w:sz w:val="19"/>
              </w:rPr>
              <w:t>الجداول الكبيرة، الفرز، التصفية، التجميع، تثبيت الأعمدة، والتصدير.</w:t>
            </w:r>
          </w:p>
        </w:tc>
      </w:tr>
      <w:tr>
        <w:tc>
          <w:tcPr>
            <w:tcW w:type="dxa" w:w="2880"/>
            <w:vAlign w:val="center"/>
          </w:tcPr>
          <w:p>
            <w:pPr>
              <w:bidi w:val="1"/>
              <w:jc w:val="right"/>
            </w:pPr>
            <w:r/>
            <w:r>
              <w:rPr>
                <w:rFonts w:ascii="Arial" w:hAnsi="Arial"/>
                <w:b w:val="0"/>
                <w:sz w:val="19"/>
              </w:rPr>
              <w:t>Simple Charts</w:t>
            </w:r>
          </w:p>
        </w:tc>
        <w:tc>
          <w:tcPr>
            <w:tcW w:type="dxa" w:w="2880"/>
            <w:vAlign w:val="center"/>
          </w:tcPr>
          <w:p>
            <w:pPr>
              <w:bidi w:val="1"/>
              <w:jc w:val="right"/>
            </w:pPr>
            <w:r/>
            <w:r>
              <w:rPr>
                <w:rFonts w:ascii="Arial" w:hAnsi="Arial"/>
                <w:b w:val="0"/>
                <w:sz w:val="19"/>
              </w:rPr>
              <w:t>Recharts</w:t>
            </w:r>
          </w:p>
        </w:tc>
        <w:tc>
          <w:tcPr>
            <w:tcW w:type="dxa" w:w="2880"/>
            <w:vAlign w:val="center"/>
          </w:tcPr>
          <w:p>
            <w:pPr>
              <w:bidi w:val="1"/>
              <w:jc w:val="right"/>
            </w:pPr>
            <w:r/>
            <w:r>
              <w:rPr>
                <w:rFonts w:ascii="Arial" w:hAnsi="Arial"/>
                <w:b w:val="0"/>
                <w:sz w:val="19"/>
              </w:rPr>
              <w:t>الرسوم البسيطة، KPIs، واللوحات الخفيفة.</w:t>
            </w:r>
          </w:p>
        </w:tc>
      </w:tr>
      <w:tr>
        <w:tc>
          <w:tcPr>
            <w:tcW w:type="dxa" w:w="2880"/>
            <w:vAlign w:val="center"/>
          </w:tcPr>
          <w:p>
            <w:pPr>
              <w:bidi w:val="1"/>
              <w:jc w:val="right"/>
            </w:pPr>
            <w:r/>
            <w:r>
              <w:rPr>
                <w:rFonts w:ascii="Arial" w:hAnsi="Arial"/>
                <w:b w:val="0"/>
                <w:sz w:val="19"/>
              </w:rPr>
              <w:t>Advanced Analytics</w:t>
            </w:r>
          </w:p>
        </w:tc>
        <w:tc>
          <w:tcPr>
            <w:tcW w:type="dxa" w:w="2880"/>
            <w:vAlign w:val="center"/>
          </w:tcPr>
          <w:p>
            <w:pPr>
              <w:bidi w:val="1"/>
              <w:jc w:val="right"/>
            </w:pPr>
            <w:r/>
            <w:r>
              <w:rPr>
                <w:rFonts w:ascii="Arial" w:hAnsi="Arial"/>
                <w:b w:val="0"/>
                <w:sz w:val="19"/>
              </w:rPr>
              <w:t>Apache ECharts</w:t>
            </w:r>
          </w:p>
        </w:tc>
        <w:tc>
          <w:tcPr>
            <w:tcW w:type="dxa" w:w="2880"/>
            <w:vAlign w:val="center"/>
          </w:tcPr>
          <w:p>
            <w:pPr>
              <w:bidi w:val="1"/>
              <w:jc w:val="right"/>
            </w:pPr>
            <w:r/>
            <w:r>
              <w:rPr>
                <w:rFonts w:ascii="Arial" w:hAnsi="Arial"/>
                <w:b w:val="0"/>
                <w:sz w:val="19"/>
              </w:rPr>
              <w:t>Heatmaps، Sankey، Graph، الرسوم المالية والزمنية والبيانات الكثيفة.</w:t>
            </w:r>
          </w:p>
        </w:tc>
      </w:tr>
      <w:tr>
        <w:tc>
          <w:tcPr>
            <w:tcW w:type="dxa" w:w="2880"/>
            <w:vAlign w:val="center"/>
          </w:tcPr>
          <w:p>
            <w:pPr>
              <w:bidi w:val="1"/>
              <w:jc w:val="right"/>
            </w:pPr>
            <w:r/>
            <w:r>
              <w:rPr>
                <w:rFonts w:ascii="Arial" w:hAnsi="Arial"/>
                <w:b w:val="0"/>
                <w:sz w:val="19"/>
              </w:rPr>
              <w:t>Workflow &amp; Graphs</w:t>
            </w:r>
          </w:p>
        </w:tc>
        <w:tc>
          <w:tcPr>
            <w:tcW w:type="dxa" w:w="2880"/>
            <w:vAlign w:val="center"/>
          </w:tcPr>
          <w:p>
            <w:pPr>
              <w:bidi w:val="1"/>
              <w:jc w:val="right"/>
            </w:pPr>
            <w:r/>
            <w:r>
              <w:rPr>
                <w:rFonts w:ascii="Arial" w:hAnsi="Arial"/>
                <w:b w:val="0"/>
                <w:sz w:val="19"/>
              </w:rPr>
              <w:t>React Flow</w:t>
            </w:r>
          </w:p>
        </w:tc>
        <w:tc>
          <w:tcPr>
            <w:tcW w:type="dxa" w:w="2880"/>
            <w:vAlign w:val="center"/>
          </w:tcPr>
          <w:p>
            <w:pPr>
              <w:bidi w:val="1"/>
              <w:jc w:val="right"/>
            </w:pPr>
            <w:r/>
            <w:r>
              <w:rPr>
                <w:rFonts w:ascii="Arial" w:hAnsi="Arial"/>
                <w:b w:val="0"/>
                <w:sz w:val="19"/>
              </w:rPr>
              <w:t>مخططات العلاقات والاعتماديات وسير العمل.</w:t>
            </w:r>
          </w:p>
        </w:tc>
      </w:tr>
      <w:tr>
        <w:tc>
          <w:tcPr>
            <w:tcW w:type="dxa" w:w="2880"/>
            <w:vAlign w:val="center"/>
          </w:tcPr>
          <w:p>
            <w:pPr>
              <w:bidi w:val="1"/>
              <w:jc w:val="right"/>
            </w:pPr>
            <w:r/>
            <w:r>
              <w:rPr>
                <w:rFonts w:ascii="Arial" w:hAnsi="Arial"/>
                <w:b w:val="0"/>
                <w:sz w:val="19"/>
              </w:rPr>
              <w:t>Standard Maps</w:t>
            </w:r>
          </w:p>
        </w:tc>
        <w:tc>
          <w:tcPr>
            <w:tcW w:type="dxa" w:w="2880"/>
            <w:vAlign w:val="center"/>
          </w:tcPr>
          <w:p>
            <w:pPr>
              <w:bidi w:val="1"/>
              <w:jc w:val="right"/>
            </w:pPr>
            <w:r/>
            <w:r>
              <w:rPr>
                <w:rFonts w:ascii="Arial" w:hAnsi="Arial"/>
                <w:b w:val="0"/>
                <w:sz w:val="19"/>
              </w:rPr>
              <w:t>Leaflet</w:t>
            </w:r>
          </w:p>
        </w:tc>
        <w:tc>
          <w:tcPr>
            <w:tcW w:type="dxa" w:w="2880"/>
            <w:vAlign w:val="center"/>
          </w:tcPr>
          <w:p>
            <w:pPr>
              <w:bidi w:val="1"/>
              <w:jc w:val="right"/>
            </w:pPr>
            <w:r/>
            <w:r>
              <w:rPr>
                <w:rFonts w:ascii="Arial" w:hAnsi="Arial"/>
                <w:b w:val="0"/>
                <w:sz w:val="19"/>
              </w:rPr>
              <w:t>الخرائط الخفيفة، النقاط الجغرافية، وطبقات GeoJSON.</w:t>
            </w:r>
          </w:p>
        </w:tc>
      </w:tr>
      <w:tr>
        <w:tc>
          <w:tcPr>
            <w:tcW w:type="dxa" w:w="2880"/>
            <w:vAlign w:val="center"/>
          </w:tcPr>
          <w:p>
            <w:pPr>
              <w:bidi w:val="1"/>
              <w:jc w:val="right"/>
            </w:pPr>
            <w:r/>
            <w:r>
              <w:rPr>
                <w:rFonts w:ascii="Arial" w:hAnsi="Arial"/>
                <w:b w:val="0"/>
                <w:sz w:val="19"/>
              </w:rPr>
              <w:t>Advanced Maps</w:t>
            </w:r>
          </w:p>
        </w:tc>
        <w:tc>
          <w:tcPr>
            <w:tcW w:type="dxa" w:w="2880"/>
            <w:vAlign w:val="center"/>
          </w:tcPr>
          <w:p>
            <w:pPr>
              <w:bidi w:val="1"/>
              <w:jc w:val="right"/>
            </w:pPr>
            <w:r/>
            <w:r>
              <w:rPr>
                <w:rFonts w:ascii="Arial" w:hAnsi="Arial"/>
                <w:b w:val="0"/>
                <w:sz w:val="19"/>
              </w:rPr>
              <w:t>Mapbox GL أو MapLibre GL</w:t>
            </w:r>
          </w:p>
        </w:tc>
        <w:tc>
          <w:tcPr>
            <w:tcW w:type="dxa" w:w="2880"/>
            <w:vAlign w:val="center"/>
          </w:tcPr>
          <w:p>
            <w:pPr>
              <w:bidi w:val="1"/>
              <w:jc w:val="right"/>
            </w:pPr>
            <w:r/>
            <w:r>
              <w:rPr>
                <w:rFonts w:ascii="Arial" w:hAnsi="Arial"/>
                <w:b w:val="0"/>
                <w:sz w:val="19"/>
              </w:rPr>
              <w:t>الخرائط المتجهية، الطبقات المتعددة، والتحريك والتخصيص المتقدم.</w:t>
            </w:r>
          </w:p>
        </w:tc>
      </w:tr>
      <w:tr>
        <w:tc>
          <w:tcPr>
            <w:tcW w:type="dxa" w:w="2880"/>
            <w:vAlign w:val="center"/>
          </w:tcPr>
          <w:p>
            <w:pPr>
              <w:bidi w:val="1"/>
              <w:jc w:val="right"/>
            </w:pPr>
            <w:r/>
            <w:r>
              <w:rPr>
                <w:rFonts w:ascii="Arial" w:hAnsi="Arial"/>
                <w:b w:val="0"/>
                <w:sz w:val="19"/>
              </w:rPr>
              <w:t>Rich Text Editor</w:t>
            </w:r>
          </w:p>
        </w:tc>
        <w:tc>
          <w:tcPr>
            <w:tcW w:type="dxa" w:w="2880"/>
            <w:vAlign w:val="center"/>
          </w:tcPr>
          <w:p>
            <w:pPr>
              <w:bidi w:val="1"/>
              <w:jc w:val="right"/>
            </w:pPr>
            <w:r/>
            <w:r>
              <w:rPr>
                <w:rFonts w:ascii="Arial" w:hAnsi="Arial"/>
                <w:b w:val="0"/>
                <w:sz w:val="19"/>
              </w:rPr>
              <w:t>TipTap</w:t>
            </w:r>
          </w:p>
        </w:tc>
        <w:tc>
          <w:tcPr>
            <w:tcW w:type="dxa" w:w="2880"/>
            <w:vAlign w:val="center"/>
          </w:tcPr>
          <w:p>
            <w:pPr>
              <w:bidi w:val="1"/>
              <w:jc w:val="right"/>
            </w:pPr>
            <w:r/>
            <w:r>
              <w:rPr>
                <w:rFonts w:ascii="Arial" w:hAnsi="Arial"/>
                <w:b w:val="0"/>
                <w:sz w:val="19"/>
              </w:rPr>
              <w:t>التوثيق، Decision Records، Incident Notes، والمحتوى التحريري.</w:t>
            </w:r>
          </w:p>
        </w:tc>
      </w:tr>
      <w:tr>
        <w:tc>
          <w:tcPr>
            <w:tcW w:type="dxa" w:w="2880"/>
            <w:vAlign w:val="center"/>
          </w:tcPr>
          <w:p>
            <w:pPr>
              <w:bidi w:val="1"/>
              <w:jc w:val="right"/>
            </w:pPr>
            <w:r/>
            <w:r>
              <w:rPr>
                <w:rFonts w:ascii="Arial" w:hAnsi="Arial"/>
                <w:b w:val="0"/>
                <w:sz w:val="19"/>
              </w:rPr>
              <w:t>Code &amp; JSON Editor</w:t>
            </w:r>
          </w:p>
        </w:tc>
        <w:tc>
          <w:tcPr>
            <w:tcW w:type="dxa" w:w="2880"/>
            <w:vAlign w:val="center"/>
          </w:tcPr>
          <w:p>
            <w:pPr>
              <w:bidi w:val="1"/>
              <w:jc w:val="right"/>
            </w:pPr>
            <w:r/>
            <w:r>
              <w:rPr>
                <w:rFonts w:ascii="Arial" w:hAnsi="Arial"/>
                <w:b w:val="0"/>
                <w:sz w:val="19"/>
              </w:rPr>
              <w:t>Monaco Editor</w:t>
            </w:r>
          </w:p>
        </w:tc>
        <w:tc>
          <w:tcPr>
            <w:tcW w:type="dxa" w:w="2880"/>
            <w:vAlign w:val="center"/>
          </w:tcPr>
          <w:p>
            <w:pPr>
              <w:bidi w:val="1"/>
              <w:jc w:val="right"/>
            </w:pPr>
            <w:r/>
            <w:r>
              <w:rPr>
                <w:rFonts w:ascii="Arial" w:hAnsi="Arial"/>
                <w:b w:val="0"/>
                <w:sz w:val="19"/>
              </w:rPr>
              <w:t>تحرير JSON، العقود، الإعدادات، المقارنة، ومراجعة الأكواد.</w:t>
            </w:r>
          </w:p>
        </w:tc>
      </w:tr>
      <w:tr>
        <w:tc>
          <w:tcPr>
            <w:tcW w:type="dxa" w:w="2880"/>
            <w:vAlign w:val="center"/>
          </w:tcPr>
          <w:p>
            <w:pPr>
              <w:bidi w:val="1"/>
              <w:jc w:val="right"/>
            </w:pPr>
            <w:r/>
            <w:r>
              <w:rPr>
                <w:rFonts w:ascii="Arial" w:hAnsi="Arial"/>
                <w:b w:val="0"/>
                <w:sz w:val="19"/>
              </w:rPr>
              <w:t>Calendar</w:t>
            </w:r>
          </w:p>
        </w:tc>
        <w:tc>
          <w:tcPr>
            <w:tcW w:type="dxa" w:w="2880"/>
            <w:vAlign w:val="center"/>
          </w:tcPr>
          <w:p>
            <w:pPr>
              <w:bidi w:val="1"/>
              <w:jc w:val="right"/>
            </w:pPr>
            <w:r/>
            <w:r>
              <w:rPr>
                <w:rFonts w:ascii="Arial" w:hAnsi="Arial"/>
                <w:b w:val="0"/>
                <w:sz w:val="19"/>
              </w:rPr>
              <w:t>FullCalendar</w:t>
            </w:r>
          </w:p>
        </w:tc>
        <w:tc>
          <w:tcPr>
            <w:tcW w:type="dxa" w:w="2880"/>
            <w:vAlign w:val="center"/>
          </w:tcPr>
          <w:p>
            <w:pPr>
              <w:bidi w:val="1"/>
              <w:jc w:val="right"/>
            </w:pPr>
            <w:r/>
            <w:r>
              <w:rPr>
                <w:rFonts w:ascii="Arial" w:hAnsi="Arial"/>
                <w:b w:val="0"/>
                <w:sz w:val="19"/>
              </w:rPr>
              <w:t>التقاويم والجداول الزمنية والتجارب والتقارير الفعالة.</w:t>
            </w:r>
          </w:p>
        </w:tc>
      </w:tr>
      <w:tr>
        <w:tc>
          <w:tcPr>
            <w:tcW w:type="dxa" w:w="2880"/>
            <w:vAlign w:val="center"/>
          </w:tcPr>
          <w:p>
            <w:pPr>
              <w:bidi w:val="1"/>
              <w:jc w:val="right"/>
            </w:pPr>
            <w:r/>
            <w:r>
              <w:rPr>
                <w:rFonts w:ascii="Arial" w:hAnsi="Arial"/>
                <w:b w:val="0"/>
                <w:sz w:val="19"/>
              </w:rPr>
              <w:t>Drag &amp; Drop</w:t>
            </w:r>
          </w:p>
        </w:tc>
        <w:tc>
          <w:tcPr>
            <w:tcW w:type="dxa" w:w="2880"/>
            <w:vAlign w:val="center"/>
          </w:tcPr>
          <w:p>
            <w:pPr>
              <w:bidi w:val="1"/>
              <w:jc w:val="right"/>
            </w:pPr>
            <w:r/>
            <w:r>
              <w:rPr>
                <w:rFonts w:ascii="Arial" w:hAnsi="Arial"/>
                <w:b w:val="0"/>
                <w:sz w:val="19"/>
              </w:rPr>
              <w:t>dnd-kit</w:t>
            </w:r>
          </w:p>
        </w:tc>
        <w:tc>
          <w:tcPr>
            <w:tcW w:type="dxa" w:w="2880"/>
            <w:vAlign w:val="center"/>
          </w:tcPr>
          <w:p>
            <w:pPr>
              <w:bidi w:val="1"/>
              <w:jc w:val="right"/>
            </w:pPr>
            <w:r/>
            <w:r>
              <w:rPr>
                <w:rFonts w:ascii="Arial" w:hAnsi="Arial"/>
                <w:b w:val="0"/>
                <w:sz w:val="19"/>
              </w:rPr>
              <w:t>إعادة ترتيب العناصر، Kanban، Workflow Builders، وإدارة الأولويات.</w:t>
            </w:r>
          </w:p>
        </w:tc>
      </w:tr>
      <w:tr>
        <w:tc>
          <w:tcPr>
            <w:tcW w:type="dxa" w:w="2880"/>
            <w:vAlign w:val="center"/>
          </w:tcPr>
          <w:p>
            <w:pPr>
              <w:bidi w:val="1"/>
              <w:jc w:val="right"/>
            </w:pPr>
            <w:r/>
            <w:r>
              <w:rPr>
                <w:rFonts w:ascii="Arial" w:hAnsi="Arial"/>
                <w:b w:val="0"/>
                <w:sz w:val="19"/>
              </w:rPr>
              <w:t>3D Visualization</w:t>
            </w:r>
          </w:p>
        </w:tc>
        <w:tc>
          <w:tcPr>
            <w:tcW w:type="dxa" w:w="2880"/>
            <w:vAlign w:val="center"/>
          </w:tcPr>
          <w:p>
            <w:pPr>
              <w:bidi w:val="1"/>
              <w:jc w:val="right"/>
            </w:pPr>
            <w:r/>
            <w:r>
              <w:rPr>
                <w:rFonts w:ascii="Arial" w:hAnsi="Arial"/>
                <w:b w:val="0"/>
                <w:sz w:val="19"/>
              </w:rPr>
              <w:t>React Three Fiber</w:t>
            </w:r>
          </w:p>
        </w:tc>
        <w:tc>
          <w:tcPr>
            <w:tcW w:type="dxa" w:w="2880"/>
            <w:vAlign w:val="center"/>
          </w:tcPr>
          <w:p>
            <w:pPr>
              <w:bidi w:val="1"/>
              <w:jc w:val="right"/>
            </w:pPr>
            <w:r/>
            <w:r>
              <w:rPr>
                <w:rFonts w:ascii="Arial" w:hAnsi="Arial"/>
                <w:b w:val="0"/>
                <w:sz w:val="19"/>
              </w:rPr>
              <w:t>المحاكاة أو العروض ثلاثية الأبعاد عند وجود حاجة فعلية فقط.</w:t>
            </w:r>
          </w:p>
        </w:tc>
      </w:tr>
      <w:tr>
        <w:tc>
          <w:tcPr>
            <w:tcW w:type="dxa" w:w="2880"/>
            <w:vAlign w:val="center"/>
          </w:tcPr>
          <w:p>
            <w:pPr>
              <w:bidi w:val="1"/>
              <w:jc w:val="right"/>
            </w:pPr>
            <w:r/>
            <w:r>
              <w:rPr>
                <w:rFonts w:ascii="Arial" w:hAnsi="Arial"/>
                <w:b w:val="0"/>
                <w:sz w:val="19"/>
              </w:rPr>
              <w:t>Testing</w:t>
            </w:r>
          </w:p>
        </w:tc>
        <w:tc>
          <w:tcPr>
            <w:tcW w:type="dxa" w:w="2880"/>
            <w:vAlign w:val="center"/>
          </w:tcPr>
          <w:p>
            <w:pPr>
              <w:bidi w:val="1"/>
              <w:jc w:val="right"/>
            </w:pPr>
            <w:r/>
            <w:r>
              <w:rPr>
                <w:rFonts w:ascii="Arial" w:hAnsi="Arial"/>
                <w:b w:val="0"/>
                <w:sz w:val="19"/>
              </w:rPr>
              <w:t>Vitest + Testing Library</w:t>
            </w:r>
          </w:p>
        </w:tc>
        <w:tc>
          <w:tcPr>
            <w:tcW w:type="dxa" w:w="2880"/>
            <w:vAlign w:val="center"/>
          </w:tcPr>
          <w:p>
            <w:pPr>
              <w:bidi w:val="1"/>
              <w:jc w:val="right"/>
            </w:pPr>
            <w:r/>
            <w:r>
              <w:rPr>
                <w:rFonts w:ascii="Arial" w:hAnsi="Arial"/>
                <w:b w:val="0"/>
                <w:sz w:val="19"/>
              </w:rPr>
              <w:t>اختبارات الوحدات والمكونات.</w:t>
            </w:r>
          </w:p>
        </w:tc>
      </w:tr>
      <w:tr>
        <w:tc>
          <w:tcPr>
            <w:tcW w:type="dxa" w:w="2880"/>
            <w:vAlign w:val="center"/>
          </w:tcPr>
          <w:p>
            <w:pPr>
              <w:bidi w:val="1"/>
              <w:jc w:val="right"/>
            </w:pPr>
            <w:r/>
            <w:r>
              <w:rPr>
                <w:rFonts w:ascii="Arial" w:hAnsi="Arial"/>
                <w:b w:val="0"/>
                <w:sz w:val="19"/>
              </w:rPr>
              <w:t>End-to-End Testing</w:t>
            </w:r>
          </w:p>
        </w:tc>
        <w:tc>
          <w:tcPr>
            <w:tcW w:type="dxa" w:w="2880"/>
            <w:vAlign w:val="center"/>
          </w:tcPr>
          <w:p>
            <w:pPr>
              <w:bidi w:val="1"/>
              <w:jc w:val="right"/>
            </w:pPr>
            <w:r/>
            <w:r>
              <w:rPr>
                <w:rFonts w:ascii="Arial" w:hAnsi="Arial"/>
                <w:b w:val="0"/>
                <w:sz w:val="19"/>
              </w:rPr>
              <w:t>Playwright</w:t>
            </w:r>
          </w:p>
        </w:tc>
        <w:tc>
          <w:tcPr>
            <w:tcW w:type="dxa" w:w="2880"/>
            <w:vAlign w:val="center"/>
          </w:tcPr>
          <w:p>
            <w:pPr>
              <w:bidi w:val="1"/>
              <w:jc w:val="right"/>
            </w:pPr>
            <w:r/>
            <w:r>
              <w:rPr>
                <w:rFonts w:ascii="Arial" w:hAnsi="Arial"/>
                <w:b w:val="0"/>
                <w:sz w:val="19"/>
              </w:rPr>
              <w:t>اختبارات المسارات الكاملة وتجارب المستخدم الحرجة.</w:t>
            </w:r>
          </w:p>
        </w:tc>
      </w:tr>
      <w:tr>
        <w:tc>
          <w:tcPr>
            <w:tcW w:type="dxa" w:w="2880"/>
            <w:vAlign w:val="center"/>
          </w:tcPr>
          <w:p>
            <w:pPr>
              <w:bidi w:val="1"/>
              <w:jc w:val="right"/>
            </w:pPr>
            <w:r/>
            <w:r>
              <w:rPr>
                <w:rFonts w:ascii="Arial" w:hAnsi="Arial"/>
                <w:b w:val="0"/>
                <w:sz w:val="19"/>
              </w:rPr>
              <w:t>Component Documentation</w:t>
            </w:r>
          </w:p>
        </w:tc>
        <w:tc>
          <w:tcPr>
            <w:tcW w:type="dxa" w:w="2880"/>
            <w:vAlign w:val="center"/>
          </w:tcPr>
          <w:p>
            <w:pPr>
              <w:bidi w:val="1"/>
              <w:jc w:val="right"/>
            </w:pPr>
            <w:r/>
            <w:r>
              <w:rPr>
                <w:rFonts w:ascii="Arial" w:hAnsi="Arial"/>
                <w:b w:val="0"/>
                <w:sz w:val="19"/>
              </w:rPr>
              <w:t>Storybook</w:t>
            </w:r>
          </w:p>
        </w:tc>
        <w:tc>
          <w:tcPr>
            <w:tcW w:type="dxa" w:w="2880"/>
            <w:vAlign w:val="center"/>
          </w:tcPr>
          <w:p>
            <w:pPr>
              <w:bidi w:val="1"/>
              <w:jc w:val="right"/>
            </w:pPr>
            <w:r/>
            <w:r>
              <w:rPr>
                <w:rFonts w:ascii="Arial" w:hAnsi="Arial"/>
                <w:b w:val="0"/>
                <w:sz w:val="19"/>
              </w:rPr>
              <w:t>توثيق Design System والمكونات المعزولة.</w:t>
            </w:r>
          </w:p>
        </w:tc>
      </w:tr>
      <w:tr>
        <w:tc>
          <w:tcPr>
            <w:tcW w:type="dxa" w:w="2880"/>
            <w:vAlign w:val="center"/>
          </w:tcPr>
          <w:p>
            <w:pPr>
              <w:bidi w:val="1"/>
              <w:jc w:val="right"/>
            </w:pPr>
            <w:r/>
            <w:r>
              <w:rPr>
                <w:rFonts w:ascii="Arial" w:hAnsi="Arial"/>
                <w:b w:val="0"/>
                <w:sz w:val="19"/>
              </w:rPr>
              <w:t>API Mocking for Tests</w:t>
            </w:r>
          </w:p>
        </w:tc>
        <w:tc>
          <w:tcPr>
            <w:tcW w:type="dxa" w:w="2880"/>
            <w:vAlign w:val="center"/>
          </w:tcPr>
          <w:p>
            <w:pPr>
              <w:bidi w:val="1"/>
              <w:jc w:val="right"/>
            </w:pPr>
            <w:r/>
            <w:r>
              <w:rPr>
                <w:rFonts w:ascii="Arial" w:hAnsi="Arial"/>
                <w:b w:val="0"/>
                <w:sz w:val="19"/>
              </w:rPr>
              <w:t>MSW</w:t>
            </w:r>
          </w:p>
        </w:tc>
        <w:tc>
          <w:tcPr>
            <w:tcW w:type="dxa" w:w="2880"/>
            <w:vAlign w:val="center"/>
          </w:tcPr>
          <w:p>
            <w:pPr>
              <w:bidi w:val="1"/>
              <w:jc w:val="right"/>
            </w:pPr>
            <w:r/>
            <w:r>
              <w:rPr>
                <w:rFonts w:ascii="Arial" w:hAnsi="Arial"/>
                <w:b w:val="0"/>
                <w:sz w:val="19"/>
              </w:rPr>
              <w:t>محاكاة العقود في التطوير والاختبارات فقط، وليس بديلًا عن البيانات الحقيقية.</w:t>
            </w:r>
          </w:p>
        </w:tc>
      </w:tr>
      <w:tr>
        <w:tc>
          <w:tcPr>
            <w:tcW w:type="dxa" w:w="2880"/>
            <w:vAlign w:val="center"/>
          </w:tcPr>
          <w:p>
            <w:pPr>
              <w:bidi w:val="1"/>
              <w:jc w:val="right"/>
            </w:pPr>
            <w:r/>
            <w:r>
              <w:rPr>
                <w:rFonts w:ascii="Arial" w:hAnsi="Arial"/>
                <w:b w:val="0"/>
                <w:sz w:val="19"/>
              </w:rPr>
              <w:t>Dates and UTC</w:t>
            </w:r>
          </w:p>
        </w:tc>
        <w:tc>
          <w:tcPr>
            <w:tcW w:type="dxa" w:w="2880"/>
            <w:vAlign w:val="center"/>
          </w:tcPr>
          <w:p>
            <w:pPr>
              <w:bidi w:val="1"/>
              <w:jc w:val="right"/>
            </w:pPr>
            <w:r/>
            <w:r>
              <w:rPr>
                <w:rFonts w:ascii="Arial" w:hAnsi="Arial"/>
                <w:b w:val="0"/>
                <w:sz w:val="19"/>
              </w:rPr>
              <w:t>date-fns</w:t>
            </w:r>
          </w:p>
        </w:tc>
        <w:tc>
          <w:tcPr>
            <w:tcW w:type="dxa" w:w="2880"/>
            <w:vAlign w:val="center"/>
          </w:tcPr>
          <w:p>
            <w:pPr>
              <w:bidi w:val="1"/>
              <w:jc w:val="right"/>
            </w:pPr>
            <w:r/>
            <w:r>
              <w:rPr>
                <w:rFonts w:ascii="Arial" w:hAnsi="Arial"/>
                <w:b w:val="0"/>
                <w:sz w:val="19"/>
              </w:rPr>
              <w:t>معالجة التواريخ وUTC بصورة موحدة.</w:t>
            </w:r>
          </w:p>
        </w:tc>
      </w:tr>
      <w:tr>
        <w:tc>
          <w:tcPr>
            <w:tcW w:type="dxa" w:w="2880"/>
            <w:vAlign w:val="center"/>
          </w:tcPr>
          <w:p>
            <w:pPr>
              <w:bidi w:val="1"/>
              <w:jc w:val="right"/>
            </w:pPr>
            <w:r/>
            <w:r>
              <w:rPr>
                <w:rFonts w:ascii="Arial" w:hAnsi="Arial"/>
                <w:b w:val="0"/>
                <w:sz w:val="19"/>
              </w:rPr>
              <w:t>Localization</w:t>
            </w:r>
          </w:p>
        </w:tc>
        <w:tc>
          <w:tcPr>
            <w:tcW w:type="dxa" w:w="2880"/>
            <w:vAlign w:val="center"/>
          </w:tcPr>
          <w:p>
            <w:pPr>
              <w:bidi w:val="1"/>
              <w:jc w:val="right"/>
            </w:pPr>
            <w:r/>
            <w:r>
              <w:rPr>
                <w:rFonts w:ascii="Arial" w:hAnsi="Arial"/>
                <w:b w:val="0"/>
                <w:sz w:val="19"/>
              </w:rPr>
              <w:t>i18next أو react-intl</w:t>
            </w:r>
          </w:p>
        </w:tc>
        <w:tc>
          <w:tcPr>
            <w:tcW w:type="dxa" w:w="2880"/>
            <w:vAlign w:val="center"/>
          </w:tcPr>
          <w:p>
            <w:pPr>
              <w:bidi w:val="1"/>
              <w:jc w:val="right"/>
            </w:pPr>
            <w:r/>
            <w:r>
              <w:rPr>
                <w:rFonts w:ascii="Arial" w:hAnsi="Arial"/>
                <w:b w:val="0"/>
                <w:sz w:val="19"/>
              </w:rPr>
              <w:t>إدارة العربية والإنجليزية ورسائل الواجهة.</w:t>
            </w:r>
          </w:p>
        </w:tc>
      </w:tr>
    </w:tbl>
    <w:p>
      <w:pPr>
        <w:pStyle w:val="Heading2"/>
        <w:bidi w:val="1"/>
        <w:jc w:val="right"/>
      </w:pPr>
      <w:r>
        <w:rPr>
          <w:rFonts w:ascii="Arial" w:hAnsi="Arial"/>
        </w:rPr>
        <w:t>قواعد اختيار مكتبات الرسوم البيانية</w:t>
      </w:r>
    </w:p>
    <w:p>
      <w:pPr>
        <w:pStyle w:val="Heading3"/>
        <w:bidi w:val="1"/>
        <w:jc w:val="right"/>
      </w:pPr>
      <w:r>
        <w:rPr>
          <w:rFonts w:ascii="Arial" w:hAnsi="Arial"/>
        </w:rPr>
        <w:t>Recharts</w:t>
      </w:r>
    </w:p>
    <w:p>
      <w:pPr>
        <w:bidi w:val="1"/>
        <w:jc w:val="right"/>
      </w:pPr>
      <w:r>
        <w:rPr>
          <w:rFonts w:ascii="Arial" w:hAnsi="Arial"/>
          <w:b w:val="0"/>
          <w:sz w:val="22"/>
        </w:rPr>
        <w:t>يُستخدم في:</w:t>
      </w:r>
    </w:p>
    <w:p>
      <w:pPr>
        <w:pStyle w:val="ListBullet"/>
        <w:bidi w:val="1"/>
        <w:jc w:val="right"/>
      </w:pPr>
      <w:r>
        <w:rPr>
          <w:rFonts w:ascii="Arial" w:hAnsi="Arial"/>
          <w:sz w:val="22"/>
        </w:rPr>
        <w:t>مؤشرات الأداء KPIs.</w:t>
      </w:r>
    </w:p>
    <w:p>
      <w:pPr>
        <w:pStyle w:val="ListBullet"/>
        <w:bidi w:val="1"/>
        <w:jc w:val="right"/>
      </w:pPr>
      <w:r>
        <w:rPr>
          <w:rFonts w:ascii="Arial" w:hAnsi="Arial"/>
          <w:sz w:val="22"/>
        </w:rPr>
        <w:t>الرسوم الخطية والأعمدة والمساحات والدوائر.</w:t>
      </w:r>
    </w:p>
    <w:p>
      <w:pPr>
        <w:pStyle w:val="ListBullet"/>
        <w:bidi w:val="1"/>
        <w:jc w:val="right"/>
      </w:pPr>
      <w:r>
        <w:rPr>
          <w:rFonts w:ascii="Arial" w:hAnsi="Arial"/>
          <w:sz w:val="22"/>
        </w:rPr>
        <w:t>اللوحات البسيطة والمتوسطة.</w:t>
      </w:r>
    </w:p>
    <w:p>
      <w:pPr>
        <w:pStyle w:val="ListBullet"/>
        <w:bidi w:val="1"/>
        <w:jc w:val="right"/>
      </w:pPr>
      <w:r>
        <w:rPr>
          <w:rFonts w:ascii="Arial" w:hAnsi="Arial"/>
          <w:sz w:val="22"/>
        </w:rPr>
        <w:t>صفحات المستخدم النهائي.</w:t>
      </w:r>
    </w:p>
    <w:p>
      <w:pPr>
        <w:pStyle w:val="ListBullet"/>
        <w:bidi w:val="1"/>
        <w:jc w:val="right"/>
      </w:pPr>
      <w:r>
        <w:rPr>
          <w:rFonts w:ascii="Arial" w:hAnsi="Arial"/>
          <w:sz w:val="22"/>
        </w:rPr>
        <w:t>مجموعات البيانات الصغيرة والمتوسطة.</w:t>
      </w:r>
    </w:p>
    <w:p>
      <w:pPr>
        <w:pStyle w:val="Heading3"/>
        <w:bidi w:val="1"/>
        <w:jc w:val="right"/>
      </w:pPr>
      <w:r>
        <w:rPr>
          <w:rFonts w:ascii="Arial" w:hAnsi="Arial"/>
        </w:rPr>
        <w:t>Apache ECharts</w:t>
      </w:r>
    </w:p>
    <w:p>
      <w:pPr>
        <w:bidi w:val="1"/>
        <w:jc w:val="right"/>
      </w:pPr>
      <w:r>
        <w:rPr>
          <w:rFonts w:ascii="Arial" w:hAnsi="Arial"/>
          <w:b w:val="0"/>
          <w:sz w:val="22"/>
        </w:rPr>
        <w:t>يُستخدم في:</w:t>
      </w:r>
    </w:p>
    <w:p>
      <w:pPr>
        <w:pStyle w:val="ListBullet"/>
        <w:bidi w:val="1"/>
        <w:jc w:val="right"/>
      </w:pPr>
      <w:r>
        <w:rPr>
          <w:rFonts w:ascii="Arial" w:hAnsi="Arial"/>
          <w:sz w:val="22"/>
        </w:rPr>
        <w:t>التحليلات المتقدمة.</w:t>
      </w:r>
    </w:p>
    <w:p>
      <w:pPr>
        <w:pStyle w:val="ListBullet"/>
        <w:bidi w:val="1"/>
        <w:jc w:val="right"/>
      </w:pPr>
      <w:r>
        <w:rPr>
          <w:rFonts w:ascii="Arial" w:hAnsi="Arial"/>
          <w:sz w:val="22"/>
        </w:rPr>
        <w:t>Heatmaps.</w:t>
      </w:r>
    </w:p>
    <w:p>
      <w:pPr>
        <w:pStyle w:val="ListBullet"/>
        <w:bidi w:val="1"/>
        <w:jc w:val="right"/>
      </w:pPr>
      <w:r>
        <w:rPr>
          <w:rFonts w:ascii="Arial" w:hAnsi="Arial"/>
          <w:sz w:val="22"/>
        </w:rPr>
        <w:t>Sankey.</w:t>
      </w:r>
    </w:p>
    <w:p>
      <w:pPr>
        <w:pStyle w:val="ListBullet"/>
        <w:bidi w:val="1"/>
        <w:jc w:val="right"/>
      </w:pPr>
      <w:r>
        <w:rPr>
          <w:rFonts w:ascii="Arial" w:hAnsi="Arial"/>
          <w:sz w:val="22"/>
        </w:rPr>
        <w:t>Graph Networks.</w:t>
      </w:r>
    </w:p>
    <w:p>
      <w:pPr>
        <w:pStyle w:val="ListBullet"/>
        <w:bidi w:val="1"/>
        <w:jc w:val="right"/>
      </w:pPr>
      <w:r>
        <w:rPr>
          <w:rFonts w:ascii="Arial" w:hAnsi="Arial"/>
          <w:sz w:val="22"/>
        </w:rPr>
        <w:t>الرسوم المالية.</w:t>
      </w:r>
    </w:p>
    <w:p>
      <w:pPr>
        <w:pStyle w:val="ListBullet"/>
        <w:bidi w:val="1"/>
        <w:jc w:val="right"/>
      </w:pPr>
      <w:r>
        <w:rPr>
          <w:rFonts w:ascii="Arial" w:hAnsi="Arial"/>
          <w:sz w:val="22"/>
        </w:rPr>
        <w:t>السلاسل الزمنية الكبيرة.</w:t>
      </w:r>
    </w:p>
    <w:p>
      <w:pPr>
        <w:pStyle w:val="ListBullet"/>
        <w:bidi w:val="1"/>
        <w:jc w:val="right"/>
      </w:pPr>
      <w:r>
        <w:rPr>
          <w:rFonts w:ascii="Arial" w:hAnsi="Arial"/>
          <w:sz w:val="22"/>
        </w:rPr>
        <w:t>صفحات الإدارة والتحليلات المعقدة.</w:t>
      </w:r>
    </w:p>
    <w:p>
      <w:pPr>
        <w:bidi w:val="1"/>
        <w:jc w:val="right"/>
      </w:pPr>
      <w:r>
        <w:rPr>
          <w:rFonts w:ascii="Arial" w:hAnsi="Arial"/>
          <w:b/>
          <w:sz w:val="22"/>
        </w:rPr>
        <w:t>القاعدة: لا تُستخدم Recharts وECharts في الشاشة نفسها إلا عند وجود مبرر تقني واضح. Recharts هو الخيار الافتراضي للرسوم البسيطة، وECharts للرسوم المتقدمة والبيانات الكثيفة.</w:t>
      </w:r>
    </w:p>
    <w:p>
      <w:pPr>
        <w:pStyle w:val="Heading2"/>
        <w:bidi w:val="1"/>
        <w:jc w:val="right"/>
      </w:pPr>
      <w:r>
        <w:rPr>
          <w:rFonts w:ascii="Arial" w:hAnsi="Arial"/>
        </w:rPr>
        <w:t>قواعد اختيار مكتبات الخرائط</w:t>
      </w:r>
    </w:p>
    <w:p>
      <w:pPr>
        <w:pStyle w:val="Heading3"/>
        <w:bidi w:val="1"/>
        <w:jc w:val="right"/>
      </w:pPr>
      <w:r>
        <w:rPr>
          <w:rFonts w:ascii="Arial" w:hAnsi="Arial"/>
        </w:rPr>
        <w:t>Leaflet</w:t>
      </w:r>
    </w:p>
    <w:p>
      <w:pPr>
        <w:bidi w:val="1"/>
        <w:jc w:val="right"/>
      </w:pPr>
      <w:r>
        <w:rPr>
          <w:rFonts w:ascii="Arial" w:hAnsi="Arial"/>
          <w:b w:val="0"/>
          <w:sz w:val="22"/>
        </w:rPr>
        <w:t>يُستخدم عندما تكون الخريطة بسيطة وتشمل:</w:t>
      </w:r>
    </w:p>
    <w:p>
      <w:pPr>
        <w:pStyle w:val="ListBullet"/>
        <w:bidi w:val="1"/>
        <w:jc w:val="right"/>
      </w:pPr>
      <w:r>
        <w:rPr>
          <w:rFonts w:ascii="Arial" w:hAnsi="Arial"/>
          <w:sz w:val="22"/>
        </w:rPr>
        <w:t>نقاطًا جغرافية.</w:t>
      </w:r>
    </w:p>
    <w:p>
      <w:pPr>
        <w:pStyle w:val="ListBullet"/>
        <w:bidi w:val="1"/>
        <w:jc w:val="right"/>
      </w:pPr>
      <w:r>
        <w:rPr>
          <w:rFonts w:ascii="Arial" w:hAnsi="Arial"/>
          <w:sz w:val="22"/>
        </w:rPr>
        <w:t>طبقات GeoJSON.</w:t>
      </w:r>
    </w:p>
    <w:p>
      <w:pPr>
        <w:pStyle w:val="ListBullet"/>
        <w:bidi w:val="1"/>
        <w:jc w:val="right"/>
      </w:pPr>
      <w:r>
        <w:rPr>
          <w:rFonts w:ascii="Arial" w:hAnsi="Arial"/>
          <w:sz w:val="22"/>
        </w:rPr>
        <w:t>خرائط خفيفة.</w:t>
      </w:r>
    </w:p>
    <w:p>
      <w:pPr>
        <w:pStyle w:val="ListBullet"/>
        <w:bidi w:val="1"/>
        <w:jc w:val="right"/>
      </w:pPr>
      <w:r>
        <w:rPr>
          <w:rFonts w:ascii="Arial" w:hAnsi="Arial"/>
          <w:sz w:val="22"/>
        </w:rPr>
        <w:t>حالات لا تتطلب Vector Tiles أو تحريكًا معقدًا.</w:t>
      </w:r>
    </w:p>
    <w:p>
      <w:pPr>
        <w:pStyle w:val="Heading3"/>
        <w:bidi w:val="1"/>
        <w:jc w:val="right"/>
      </w:pPr>
      <w:r>
        <w:rPr>
          <w:rFonts w:ascii="Arial" w:hAnsi="Arial"/>
        </w:rPr>
        <w:t>Mapbox GL أو MapLibre GL</w:t>
      </w:r>
    </w:p>
    <w:p>
      <w:pPr>
        <w:bidi w:val="1"/>
        <w:jc w:val="right"/>
      </w:pPr>
      <w:r>
        <w:rPr>
          <w:rFonts w:ascii="Arial" w:hAnsi="Arial"/>
          <w:b w:val="0"/>
          <w:sz w:val="22"/>
        </w:rPr>
        <w:t>يُستخدم عندما تتطلب المنظومة:</w:t>
      </w:r>
    </w:p>
    <w:p>
      <w:pPr>
        <w:pStyle w:val="ListBullet"/>
        <w:bidi w:val="1"/>
        <w:jc w:val="right"/>
      </w:pPr>
      <w:r>
        <w:rPr>
          <w:rFonts w:ascii="Arial" w:hAnsi="Arial"/>
          <w:sz w:val="22"/>
        </w:rPr>
        <w:t>خرائط متجهية.</w:t>
      </w:r>
    </w:p>
    <w:p>
      <w:pPr>
        <w:pStyle w:val="ListBullet"/>
        <w:bidi w:val="1"/>
        <w:jc w:val="right"/>
      </w:pPr>
      <w:r>
        <w:rPr>
          <w:rFonts w:ascii="Arial" w:hAnsi="Arial"/>
          <w:sz w:val="22"/>
        </w:rPr>
        <w:t>بيانات جغرافية كبيرة.</w:t>
      </w:r>
    </w:p>
    <w:p>
      <w:pPr>
        <w:pStyle w:val="ListBullet"/>
        <w:bidi w:val="1"/>
        <w:jc w:val="right"/>
      </w:pPr>
      <w:r>
        <w:rPr>
          <w:rFonts w:ascii="Arial" w:hAnsi="Arial"/>
          <w:sz w:val="22"/>
        </w:rPr>
        <w:t>طبقات متعددة.</w:t>
      </w:r>
    </w:p>
    <w:p>
      <w:pPr>
        <w:pStyle w:val="ListBullet"/>
        <w:bidi w:val="1"/>
        <w:jc w:val="right"/>
      </w:pPr>
      <w:r>
        <w:rPr>
          <w:rFonts w:ascii="Arial" w:hAnsi="Arial"/>
          <w:sz w:val="22"/>
        </w:rPr>
        <w:t>Animations.</w:t>
      </w:r>
    </w:p>
    <w:p>
      <w:pPr>
        <w:pStyle w:val="ListBullet"/>
        <w:bidi w:val="1"/>
        <w:jc w:val="right"/>
      </w:pPr>
      <w:r>
        <w:rPr>
          <w:rFonts w:ascii="Arial" w:hAnsi="Arial"/>
          <w:sz w:val="22"/>
        </w:rPr>
        <w:t>تخصيصًا بصريًا متقدمًا.</w:t>
      </w:r>
    </w:p>
    <w:p>
      <w:pPr>
        <w:pStyle w:val="ListBullet"/>
        <w:bidi w:val="1"/>
        <w:jc w:val="right"/>
      </w:pPr>
      <w:r>
        <w:rPr>
          <w:rFonts w:ascii="Arial" w:hAnsi="Arial"/>
          <w:sz w:val="22"/>
        </w:rPr>
        <w:t>أداءً أعلى مع البيانات الجغرافية الكثيفة.</w:t>
      </w:r>
    </w:p>
    <w:p>
      <w:pPr>
        <w:bidi w:val="1"/>
        <w:jc w:val="right"/>
      </w:pPr>
      <w:r>
        <w:rPr>
          <w:rFonts w:ascii="Arial" w:hAnsi="Arial"/>
          <w:b w:val="0"/>
          <w:sz w:val="22"/>
        </w:rPr>
        <w:t>يُفضّل MapLibre GL عند الحاجة إلى خيار مفتوح المصدر، بينما يعتمد Mapbox GL عند الحاجة إلى خدمات Mapbox المدارة وميزاتها المتقدمة.</w:t>
      </w:r>
    </w:p>
    <w:p>
      <w:pPr>
        <w:pStyle w:val="Heading2"/>
        <w:bidi w:val="1"/>
        <w:jc w:val="right"/>
      </w:pPr>
      <w:r>
        <w:rPr>
          <w:rFonts w:ascii="Arial" w:hAnsi="Arial"/>
        </w:rPr>
        <w:t>معيار الجداول</w:t>
      </w:r>
    </w:p>
    <w:p>
      <w:pPr>
        <w:bidi w:val="1"/>
        <w:jc w:val="right"/>
      </w:pPr>
      <w:r>
        <w:rPr>
          <w:rFonts w:ascii="Arial" w:hAnsi="Arial"/>
          <w:b w:val="0"/>
          <w:sz w:val="22"/>
        </w:rPr>
        <w:t>يعتمد النظام AG Grid كحل موحد للجداول الكبيرة والمعقدة داخل لوحة الإدارة، لما يوفره من فرز، وبحث، وتصفية، وتجميع، وتثبيت للأعمدة، وتصدير، وأداء مناسب مع البيانات الضخمة.</w:t>
      </w:r>
    </w:p>
    <w:p>
      <w:pPr>
        <w:bidi w:val="1"/>
        <w:jc w:val="right"/>
      </w:pPr>
      <w:r>
        <w:rPr>
          <w:rFonts w:ascii="Arial" w:hAnsi="Arial"/>
          <w:b w:val="0"/>
          <w:sz w:val="22"/>
        </w:rPr>
        <w:t>أما الجداول الصغيرة داخل بطاقات العرض أو صفحات المستخدم النهائي، فيُفضّل تنفيذها بمكونات shadcn/ui القياسية لتقليل التعقيد وحجم الحزمة.</w:t>
      </w:r>
    </w:p>
    <w:p>
      <w:pPr>
        <w:bidi w:val="1"/>
        <w:jc w:val="right"/>
      </w:pPr>
      <w:r>
        <w:rPr>
          <w:rFonts w:ascii="Arial" w:hAnsi="Arial"/>
          <w:b/>
          <w:sz w:val="22"/>
        </w:rPr>
        <w:t>يجب مراجعة تراخيص ميزات AG Grid Enterprise قبل استخدام Pivot، Server-Side Row Model، Master/Detail، أو خصائص التصدير المتقدمة.</w:t>
      </w:r>
    </w:p>
    <w:p>
      <w:pPr>
        <w:pStyle w:val="Heading2"/>
        <w:bidi w:val="1"/>
        <w:jc w:val="right"/>
      </w:pPr>
      <w:r>
        <w:rPr>
          <w:rFonts w:ascii="Arial" w:hAnsi="Arial"/>
        </w:rPr>
        <w:t>معيار النماذج والتحقق</w:t>
      </w:r>
    </w:p>
    <w:p>
      <w:pPr>
        <w:bidi w:val="1"/>
        <w:jc w:val="right"/>
      </w:pPr>
      <w:r>
        <w:rPr>
          <w:rFonts w:ascii="Arial" w:hAnsi="Arial"/>
          <w:b w:val="0"/>
          <w:sz w:val="22"/>
        </w:rPr>
        <w:t>يعتمد المشروع React Hook Form مع Zod للأسباب التالية:</w:t>
      </w:r>
    </w:p>
    <w:p>
      <w:pPr>
        <w:pStyle w:val="ListBullet"/>
        <w:bidi w:val="1"/>
        <w:jc w:val="right"/>
      </w:pPr>
      <w:r>
        <w:rPr>
          <w:rFonts w:ascii="Arial" w:hAnsi="Arial"/>
          <w:sz w:val="22"/>
        </w:rPr>
        <w:t>أنواع TypeScript قوية.</w:t>
      </w:r>
    </w:p>
    <w:p>
      <w:pPr>
        <w:pStyle w:val="ListBullet"/>
        <w:bidi w:val="1"/>
        <w:jc w:val="right"/>
      </w:pPr>
      <w:r>
        <w:rPr>
          <w:rFonts w:ascii="Arial" w:hAnsi="Arial"/>
          <w:sz w:val="22"/>
        </w:rPr>
        <w:t>التحقق من صحة البيانات قبل الإرسال.</w:t>
      </w:r>
    </w:p>
    <w:p>
      <w:pPr>
        <w:pStyle w:val="ListBullet"/>
        <w:bidi w:val="1"/>
        <w:jc w:val="right"/>
      </w:pPr>
      <w:r>
        <w:rPr>
          <w:rFonts w:ascii="Arial" w:hAnsi="Arial"/>
          <w:sz w:val="22"/>
        </w:rPr>
        <w:t>سهولة ربط النماذج بعقود API.</w:t>
      </w:r>
    </w:p>
    <w:p>
      <w:pPr>
        <w:pStyle w:val="ListBullet"/>
        <w:bidi w:val="1"/>
        <w:jc w:val="right"/>
      </w:pPr>
      <w:r>
        <w:rPr>
          <w:rFonts w:ascii="Arial" w:hAnsi="Arial"/>
          <w:sz w:val="22"/>
        </w:rPr>
        <w:t>أداء مرتفع وتقليل عمليات إعادة الرسم.</w:t>
      </w:r>
    </w:p>
    <w:p>
      <w:pPr>
        <w:pStyle w:val="ListBullet"/>
        <w:bidi w:val="1"/>
        <w:jc w:val="right"/>
      </w:pPr>
      <w:r>
        <w:rPr>
          <w:rFonts w:ascii="Arial" w:hAnsi="Arial"/>
          <w:sz w:val="22"/>
        </w:rPr>
        <w:t>إعادة استخدام Schemas بين الواجهة والاختبارات.</w:t>
      </w:r>
    </w:p>
    <w:p>
      <w:pPr>
        <w:pStyle w:val="ListBullet"/>
        <w:bidi w:val="1"/>
        <w:jc w:val="right"/>
      </w:pPr>
      <w:r>
        <w:rPr>
          <w:rFonts w:ascii="Arial" w:hAnsi="Arial"/>
          <w:sz w:val="22"/>
        </w:rPr>
        <w:t>إظهار رسائل خطأ متسقة بالعربية والإنجليزية.</w:t>
      </w:r>
    </w:p>
    <w:p>
      <w:pPr>
        <w:pStyle w:val="Heading2"/>
        <w:bidi w:val="1"/>
        <w:jc w:val="right"/>
      </w:pPr>
      <w:r>
        <w:rPr>
          <w:rFonts w:ascii="Arial" w:hAnsi="Arial"/>
        </w:rPr>
        <w:t>معيار إدارة بيانات الخادم</w:t>
      </w:r>
    </w:p>
    <w:p>
      <w:pPr>
        <w:bidi w:val="1"/>
        <w:jc w:val="right"/>
      </w:pPr>
      <w:r>
        <w:rPr>
          <w:rFonts w:ascii="Arial" w:hAnsi="Arial"/>
          <w:b w:val="0"/>
          <w:sz w:val="22"/>
        </w:rPr>
        <w:t>تعتمد جميع استدعاءات API على TanStack Query لإدارة:</w:t>
      </w:r>
    </w:p>
    <w:p>
      <w:pPr>
        <w:pStyle w:val="ListBullet"/>
        <w:bidi w:val="1"/>
        <w:jc w:val="right"/>
      </w:pPr>
      <w:r>
        <w:rPr>
          <w:rFonts w:ascii="Arial" w:hAnsi="Arial"/>
          <w:sz w:val="22"/>
        </w:rPr>
        <w:t>Cache.</w:t>
      </w:r>
    </w:p>
    <w:p>
      <w:pPr>
        <w:pStyle w:val="ListBullet"/>
        <w:bidi w:val="1"/>
        <w:jc w:val="right"/>
      </w:pPr>
      <w:r>
        <w:rPr>
          <w:rFonts w:ascii="Arial" w:hAnsi="Arial"/>
          <w:sz w:val="22"/>
        </w:rPr>
        <w:t>Retry.</w:t>
      </w:r>
    </w:p>
    <w:p>
      <w:pPr>
        <w:pStyle w:val="ListBullet"/>
        <w:bidi w:val="1"/>
        <w:jc w:val="right"/>
      </w:pPr>
      <w:r>
        <w:rPr>
          <w:rFonts w:ascii="Arial" w:hAnsi="Arial"/>
          <w:sz w:val="22"/>
        </w:rPr>
        <w:t>Background Refresh.</w:t>
      </w:r>
    </w:p>
    <w:p>
      <w:pPr>
        <w:pStyle w:val="ListBullet"/>
        <w:bidi w:val="1"/>
        <w:jc w:val="right"/>
      </w:pPr>
      <w:r>
        <w:rPr>
          <w:rFonts w:ascii="Arial" w:hAnsi="Arial"/>
          <w:sz w:val="22"/>
        </w:rPr>
        <w:t>Loading State.</w:t>
      </w:r>
    </w:p>
    <w:p>
      <w:pPr>
        <w:pStyle w:val="ListBullet"/>
        <w:bidi w:val="1"/>
        <w:jc w:val="right"/>
      </w:pPr>
      <w:r>
        <w:rPr>
          <w:rFonts w:ascii="Arial" w:hAnsi="Arial"/>
          <w:sz w:val="22"/>
        </w:rPr>
        <w:t>Error State.</w:t>
      </w:r>
    </w:p>
    <w:p>
      <w:pPr>
        <w:pStyle w:val="ListBullet"/>
        <w:bidi w:val="1"/>
        <w:jc w:val="right"/>
      </w:pPr>
      <w:r>
        <w:rPr>
          <w:rFonts w:ascii="Arial" w:hAnsi="Arial"/>
          <w:sz w:val="22"/>
        </w:rPr>
        <w:t>Invalidation.</w:t>
      </w:r>
    </w:p>
    <w:p>
      <w:pPr>
        <w:pStyle w:val="ListBullet"/>
        <w:bidi w:val="1"/>
        <w:jc w:val="right"/>
      </w:pPr>
      <w:r>
        <w:rPr>
          <w:rFonts w:ascii="Arial" w:hAnsi="Arial"/>
          <w:sz w:val="22"/>
        </w:rPr>
        <w:t>Optimistic Updates عند الحاجة.</w:t>
      </w:r>
    </w:p>
    <w:p>
      <w:pPr>
        <w:bidi w:val="1"/>
        <w:jc w:val="right"/>
      </w:pPr>
      <w:r>
        <w:rPr>
          <w:rFonts w:ascii="Arial" w:hAnsi="Arial"/>
          <w:b/>
          <w:sz w:val="22"/>
        </w:rPr>
        <w:t>لا تُستخدم استدعاءات fetch المباشرة داخل مكونات العرض إلا في حالات استثنائية موثقة. ويجب فصل API Client وQuery Hooks عن Presentation Components.</w:t>
      </w:r>
    </w:p>
    <w:p>
      <w:pPr>
        <w:pStyle w:val="Heading2"/>
        <w:bidi w:val="1"/>
        <w:jc w:val="right"/>
      </w:pPr>
      <w:r>
        <w:rPr>
          <w:rFonts w:ascii="Arial" w:hAnsi="Arial"/>
        </w:rPr>
        <w:t>معيار المحررات</w:t>
      </w:r>
    </w:p>
    <w:p>
      <w:pPr>
        <w:pStyle w:val="Heading3"/>
        <w:bidi w:val="1"/>
        <w:jc w:val="right"/>
      </w:pPr>
      <w:r>
        <w:rPr>
          <w:rFonts w:ascii="Arial" w:hAnsi="Arial"/>
        </w:rPr>
        <w:t>TipTap</w:t>
      </w:r>
    </w:p>
    <w:p>
      <w:pPr>
        <w:bidi w:val="1"/>
        <w:jc w:val="right"/>
      </w:pPr>
      <w:r>
        <w:rPr>
          <w:rFonts w:ascii="Arial" w:hAnsi="Arial"/>
          <w:b w:val="0"/>
          <w:sz w:val="22"/>
        </w:rPr>
        <w:t>يُعتمد للمحتوى الذي يحرره المستخدم، مثل:</w:t>
      </w:r>
    </w:p>
    <w:p>
      <w:pPr>
        <w:pStyle w:val="ListBullet"/>
        <w:bidi w:val="1"/>
        <w:jc w:val="right"/>
      </w:pPr>
      <w:r>
        <w:rPr>
          <w:rFonts w:ascii="Arial" w:hAnsi="Arial"/>
          <w:sz w:val="22"/>
        </w:rPr>
        <w:t>Documentation.</w:t>
      </w:r>
    </w:p>
    <w:p>
      <w:pPr>
        <w:pStyle w:val="ListBullet"/>
        <w:bidi w:val="1"/>
        <w:jc w:val="right"/>
      </w:pPr>
      <w:r>
        <w:rPr>
          <w:rFonts w:ascii="Arial" w:hAnsi="Arial"/>
          <w:sz w:val="22"/>
        </w:rPr>
        <w:t>Governance Notes.</w:t>
      </w:r>
    </w:p>
    <w:p>
      <w:pPr>
        <w:pStyle w:val="ListBullet"/>
        <w:bidi w:val="1"/>
        <w:jc w:val="right"/>
      </w:pPr>
      <w:r>
        <w:rPr>
          <w:rFonts w:ascii="Arial" w:hAnsi="Arial"/>
          <w:sz w:val="22"/>
        </w:rPr>
        <w:t>Incident Reports.</w:t>
      </w:r>
    </w:p>
    <w:p>
      <w:pPr>
        <w:pStyle w:val="ListBullet"/>
        <w:bidi w:val="1"/>
        <w:jc w:val="right"/>
      </w:pPr>
      <w:r>
        <w:rPr>
          <w:rFonts w:ascii="Arial" w:hAnsi="Arial"/>
          <w:sz w:val="22"/>
        </w:rPr>
        <w:t>Decision Records.</w:t>
      </w:r>
    </w:p>
    <w:p>
      <w:pPr>
        <w:pStyle w:val="ListBullet"/>
        <w:bidi w:val="1"/>
        <w:jc w:val="right"/>
      </w:pPr>
      <w:r>
        <w:rPr>
          <w:rFonts w:ascii="Arial" w:hAnsi="Arial"/>
          <w:sz w:val="22"/>
        </w:rPr>
        <w:t>Changelog Notes.</w:t>
      </w:r>
    </w:p>
    <w:p>
      <w:pPr>
        <w:pStyle w:val="Heading3"/>
        <w:bidi w:val="1"/>
        <w:jc w:val="right"/>
      </w:pPr>
      <w:r>
        <w:rPr>
          <w:rFonts w:ascii="Arial" w:hAnsi="Arial"/>
        </w:rPr>
        <w:t>Monaco Editor</w:t>
      </w:r>
    </w:p>
    <w:p>
      <w:pPr>
        <w:bidi w:val="1"/>
        <w:jc w:val="right"/>
      </w:pPr>
      <w:r>
        <w:rPr>
          <w:rFonts w:ascii="Arial" w:hAnsi="Arial"/>
          <w:b w:val="0"/>
          <w:sz w:val="22"/>
        </w:rPr>
        <w:t>يُعتمد لكل ما يتعلق بـ:</w:t>
      </w:r>
    </w:p>
    <w:p>
      <w:pPr>
        <w:pStyle w:val="ListBullet"/>
        <w:bidi w:val="1"/>
        <w:jc w:val="right"/>
      </w:pPr>
      <w:r>
        <w:rPr>
          <w:rFonts w:ascii="Arial" w:hAnsi="Arial"/>
          <w:sz w:val="22"/>
        </w:rPr>
        <w:t>JSON.</w:t>
      </w:r>
    </w:p>
    <w:p>
      <w:pPr>
        <w:pStyle w:val="ListBullet"/>
        <w:bidi w:val="1"/>
        <w:jc w:val="right"/>
      </w:pPr>
      <w:r>
        <w:rPr>
          <w:rFonts w:ascii="Arial" w:hAnsi="Arial"/>
          <w:sz w:val="22"/>
        </w:rPr>
        <w:t>API Contracts.</w:t>
      </w:r>
    </w:p>
    <w:p>
      <w:pPr>
        <w:pStyle w:val="ListBullet"/>
        <w:bidi w:val="1"/>
        <w:jc w:val="right"/>
      </w:pPr>
      <w:r>
        <w:rPr>
          <w:rFonts w:ascii="Arial" w:hAnsi="Arial"/>
          <w:sz w:val="22"/>
        </w:rPr>
        <w:t>Configuration Files.</w:t>
      </w:r>
    </w:p>
    <w:p>
      <w:pPr>
        <w:pStyle w:val="ListBullet"/>
        <w:bidi w:val="1"/>
        <w:jc w:val="right"/>
      </w:pPr>
      <w:r>
        <w:rPr>
          <w:rFonts w:ascii="Arial" w:hAnsi="Arial"/>
          <w:sz w:val="22"/>
        </w:rPr>
        <w:t>مقارنة العقود.</w:t>
      </w:r>
    </w:p>
    <w:p>
      <w:pPr>
        <w:pStyle w:val="ListBullet"/>
        <w:bidi w:val="1"/>
        <w:jc w:val="right"/>
      </w:pPr>
      <w:r>
        <w:rPr>
          <w:rFonts w:ascii="Arial" w:hAnsi="Arial"/>
          <w:sz w:val="22"/>
        </w:rPr>
        <w:t>مراجعة الأكواد والملفات البرمجية.</w:t>
      </w:r>
    </w:p>
    <w:p>
      <w:pPr>
        <w:bidi w:val="1"/>
        <w:jc w:val="right"/>
      </w:pPr>
      <w:r>
        <w:rPr>
          <w:rFonts w:ascii="Arial" w:hAnsi="Arial"/>
          <w:b w:val="0"/>
          <w:sz w:val="22"/>
        </w:rPr>
        <w:t>يُحمّل Monaco Editor باستخدام Lazy Loading بسبب حجمه، ولا يُضمَّن في الحزمة الأولية للصفحات التي لا تحتاجه.</w:t>
      </w:r>
    </w:p>
    <w:p>
      <w:pPr>
        <w:pStyle w:val="Heading2"/>
        <w:bidi w:val="1"/>
        <w:jc w:val="right"/>
      </w:pPr>
      <w:r>
        <w:rPr>
          <w:rFonts w:ascii="Arial" w:hAnsi="Arial"/>
        </w:rPr>
        <w:t>معيار السحب والإفلات</w:t>
      </w:r>
    </w:p>
    <w:p>
      <w:pPr>
        <w:bidi w:val="1"/>
        <w:jc w:val="right"/>
      </w:pPr>
      <w:r>
        <w:rPr>
          <w:rFonts w:ascii="Arial" w:hAnsi="Arial"/>
          <w:b w:val="0"/>
          <w:sz w:val="22"/>
        </w:rPr>
        <w:t>يعتمد dnd-kit في:</w:t>
      </w:r>
    </w:p>
    <w:p>
      <w:pPr>
        <w:pStyle w:val="ListBullet"/>
        <w:bidi w:val="1"/>
        <w:jc w:val="right"/>
      </w:pPr>
      <w:r>
        <w:rPr>
          <w:rFonts w:ascii="Arial" w:hAnsi="Arial"/>
          <w:sz w:val="22"/>
        </w:rPr>
        <w:t>إعادة ترتيب العناصر.</w:t>
      </w:r>
    </w:p>
    <w:p>
      <w:pPr>
        <w:pStyle w:val="ListBullet"/>
        <w:bidi w:val="1"/>
        <w:jc w:val="right"/>
      </w:pPr>
      <w:r>
        <w:rPr>
          <w:rFonts w:ascii="Arial" w:hAnsi="Arial"/>
          <w:sz w:val="22"/>
        </w:rPr>
        <w:t>لوحات Kanban.</w:t>
      </w:r>
    </w:p>
    <w:p>
      <w:pPr>
        <w:pStyle w:val="ListBullet"/>
        <w:bidi w:val="1"/>
        <w:jc w:val="right"/>
      </w:pPr>
      <w:r>
        <w:rPr>
          <w:rFonts w:ascii="Arial" w:hAnsi="Arial"/>
          <w:sz w:val="22"/>
        </w:rPr>
        <w:t>Workflow Builders.</w:t>
      </w:r>
    </w:p>
    <w:p>
      <w:pPr>
        <w:pStyle w:val="ListBullet"/>
        <w:bidi w:val="1"/>
        <w:jc w:val="right"/>
      </w:pPr>
      <w:r>
        <w:rPr>
          <w:rFonts w:ascii="Arial" w:hAnsi="Arial"/>
          <w:sz w:val="22"/>
        </w:rPr>
        <w:t>إدارة الأولويات.</w:t>
      </w:r>
    </w:p>
    <w:p>
      <w:pPr>
        <w:pStyle w:val="ListBullet"/>
        <w:bidi w:val="1"/>
        <w:jc w:val="right"/>
      </w:pPr>
      <w:r>
        <w:rPr>
          <w:rFonts w:ascii="Arial" w:hAnsi="Arial"/>
          <w:sz w:val="22"/>
        </w:rPr>
        <w:t>تخصيص ترتيب البطاقات أو الأعمدة.</w:t>
      </w:r>
    </w:p>
    <w:p>
      <w:pPr>
        <w:bidi w:val="1"/>
        <w:jc w:val="right"/>
      </w:pPr>
      <w:r>
        <w:rPr>
          <w:rFonts w:ascii="Arial" w:hAnsi="Arial"/>
          <w:b w:val="0"/>
          <w:sz w:val="22"/>
        </w:rPr>
        <w:t>يجب دعم لوحة المفاتيح وقارئات الشاشة في جميع وظائف السحب والإفلات، وألا تكون الإيماءات الوسيلة الوحيدة لتنفيذ العملية.</w:t>
      </w:r>
    </w:p>
    <w:p>
      <w:pPr>
        <w:pStyle w:val="Heading2"/>
        <w:bidi w:val="1"/>
        <w:jc w:val="right"/>
      </w:pPr>
      <w:r>
        <w:rPr>
          <w:rFonts w:ascii="Arial" w:hAnsi="Arial"/>
        </w:rPr>
        <w:t>معيار العروض ثلاثية الأبعاد</w:t>
      </w:r>
    </w:p>
    <w:p>
      <w:pPr>
        <w:bidi w:val="1"/>
        <w:jc w:val="right"/>
      </w:pPr>
      <w:r>
        <w:rPr>
          <w:rFonts w:ascii="Arial" w:hAnsi="Arial"/>
          <w:b w:val="0"/>
          <w:sz w:val="22"/>
        </w:rPr>
        <w:t>لن تُضمّن Three.js أو React Three Fiber ضمن الحزمة الأساسية للواجهة. ولا تُستخدم إلا إذا وُجدت حاجة فعلية إلى محاكاة ثلاثية الأبعاد أو Visualization تفاعلي، وذلك لتقليل حجم التطبيق والحفاظ على الأداء.</w:t>
      </w:r>
    </w:p>
    <w:p>
      <w:pPr>
        <w:pStyle w:val="Heading2"/>
        <w:bidi w:val="1"/>
        <w:jc w:val="right"/>
      </w:pPr>
      <w:r>
        <w:rPr>
          <w:rFonts w:ascii="Arial" w:hAnsi="Arial"/>
        </w:rPr>
        <w:t>معايير الاختبار والتوثيق</w:t>
      </w:r>
    </w:p>
    <w:p>
      <w:pPr>
        <w:pStyle w:val="ListBullet"/>
        <w:bidi w:val="1"/>
        <w:jc w:val="right"/>
      </w:pPr>
      <w:r>
        <w:rPr>
          <w:rFonts w:ascii="Arial" w:hAnsi="Arial"/>
          <w:sz w:val="22"/>
        </w:rPr>
        <w:t>Vitest لاختبارات المنطق والوحدات.</w:t>
      </w:r>
    </w:p>
    <w:p>
      <w:pPr>
        <w:pStyle w:val="ListBullet"/>
        <w:bidi w:val="1"/>
        <w:jc w:val="right"/>
      </w:pPr>
      <w:r>
        <w:rPr>
          <w:rFonts w:ascii="Arial" w:hAnsi="Arial"/>
          <w:sz w:val="22"/>
        </w:rPr>
        <w:t>Testing Library لاختبارات سلوك المكونات من منظور المستخدم.</w:t>
      </w:r>
    </w:p>
    <w:p>
      <w:pPr>
        <w:pStyle w:val="ListBullet"/>
        <w:bidi w:val="1"/>
        <w:jc w:val="right"/>
      </w:pPr>
      <w:r>
        <w:rPr>
          <w:rFonts w:ascii="Arial" w:hAnsi="Arial"/>
          <w:sz w:val="22"/>
        </w:rPr>
        <w:t>Playwright لاختبارات End-to-End والمسارات الحساسة.</w:t>
      </w:r>
    </w:p>
    <w:p>
      <w:pPr>
        <w:pStyle w:val="ListBullet"/>
        <w:bidi w:val="1"/>
        <w:jc w:val="right"/>
      </w:pPr>
      <w:r>
        <w:rPr>
          <w:rFonts w:ascii="Arial" w:hAnsi="Arial"/>
          <w:sz w:val="22"/>
        </w:rPr>
        <w:t>Storybook لتوثيق Design System والحالات المختلفة لكل مكوّن.</w:t>
      </w:r>
    </w:p>
    <w:p>
      <w:pPr>
        <w:pStyle w:val="ListBullet"/>
        <w:bidi w:val="1"/>
        <w:jc w:val="right"/>
      </w:pPr>
      <w:r>
        <w:rPr>
          <w:rFonts w:ascii="Arial" w:hAnsi="Arial"/>
          <w:sz w:val="22"/>
        </w:rPr>
        <w:t>MSW لمحاكاة API في التطوير والاختبارات فقط.</w:t>
      </w:r>
    </w:p>
    <w:p>
      <w:pPr>
        <w:pStyle w:val="Heading2"/>
        <w:bidi w:val="1"/>
        <w:jc w:val="right"/>
      </w:pPr>
      <w:r>
        <w:rPr>
          <w:rFonts w:ascii="Arial" w:hAnsi="Arial"/>
        </w:rPr>
        <w:t>معايير اعتماد أي مكتبة جديدة</w:t>
      </w:r>
    </w:p>
    <w:p>
      <w:pPr>
        <w:pStyle w:val="ListBullet"/>
        <w:bidi w:val="1"/>
        <w:jc w:val="right"/>
      </w:pPr>
      <w:r>
        <w:rPr>
          <w:rFonts w:ascii="Arial" w:hAnsi="Arial"/>
          <w:sz w:val="22"/>
        </w:rPr>
        <w:t>توافق كامل مع React وTypeScript.</w:t>
      </w:r>
    </w:p>
    <w:p>
      <w:pPr>
        <w:pStyle w:val="ListBullet"/>
        <w:bidi w:val="1"/>
        <w:jc w:val="right"/>
      </w:pPr>
      <w:r>
        <w:rPr>
          <w:rFonts w:ascii="Arial" w:hAnsi="Arial"/>
          <w:sz w:val="22"/>
        </w:rPr>
        <w:t>وثائق رسمية جيدة ومحدثة.</w:t>
      </w:r>
    </w:p>
    <w:p>
      <w:pPr>
        <w:pStyle w:val="ListBullet"/>
        <w:bidi w:val="1"/>
        <w:jc w:val="right"/>
      </w:pPr>
      <w:r>
        <w:rPr>
          <w:rFonts w:ascii="Arial" w:hAnsi="Arial"/>
          <w:sz w:val="22"/>
        </w:rPr>
        <w:t>مجتمع نشط وصيانة مستمرة.</w:t>
      </w:r>
    </w:p>
    <w:p>
      <w:pPr>
        <w:pStyle w:val="ListBullet"/>
        <w:bidi w:val="1"/>
        <w:jc w:val="right"/>
      </w:pPr>
      <w:r>
        <w:rPr>
          <w:rFonts w:ascii="Arial" w:hAnsi="Arial"/>
          <w:sz w:val="22"/>
        </w:rPr>
        <w:t>دعم إمكانية الوصول Accessibility.</w:t>
      </w:r>
    </w:p>
    <w:p>
      <w:pPr>
        <w:pStyle w:val="ListBullet"/>
        <w:bidi w:val="1"/>
        <w:jc w:val="right"/>
      </w:pPr>
      <w:r>
        <w:rPr>
          <w:rFonts w:ascii="Arial" w:hAnsi="Arial"/>
          <w:sz w:val="22"/>
        </w:rPr>
        <w:t>دعم الوضعين الفاتح والداكن.</w:t>
      </w:r>
    </w:p>
    <w:p>
      <w:pPr>
        <w:pStyle w:val="ListBullet"/>
        <w:bidi w:val="1"/>
        <w:jc w:val="right"/>
      </w:pPr>
      <w:r>
        <w:rPr>
          <w:rFonts w:ascii="Arial" w:hAnsi="Arial"/>
          <w:sz w:val="22"/>
        </w:rPr>
        <w:t>عدم التعارض مع Design System المعتمد.</w:t>
      </w:r>
    </w:p>
    <w:p>
      <w:pPr>
        <w:pStyle w:val="ListBullet"/>
        <w:bidi w:val="1"/>
        <w:jc w:val="right"/>
      </w:pPr>
      <w:r>
        <w:rPr>
          <w:rFonts w:ascii="Arial" w:hAnsi="Arial"/>
          <w:sz w:val="22"/>
        </w:rPr>
        <w:t>إمكانية Lazy Loading عند الحاجة.</w:t>
      </w:r>
    </w:p>
    <w:p>
      <w:pPr>
        <w:pStyle w:val="ListBullet"/>
        <w:bidi w:val="1"/>
        <w:jc w:val="right"/>
      </w:pPr>
      <w:r>
        <w:rPr>
          <w:rFonts w:ascii="Arial" w:hAnsi="Arial"/>
          <w:sz w:val="22"/>
        </w:rPr>
        <w:t>عدم تكرار وظيفة تؤديها مكتبة أخرى معتمدة.</w:t>
      </w:r>
    </w:p>
    <w:p>
      <w:pPr>
        <w:pStyle w:val="ListBullet"/>
        <w:bidi w:val="1"/>
        <w:jc w:val="right"/>
      </w:pPr>
      <w:r>
        <w:rPr>
          <w:rFonts w:ascii="Arial" w:hAnsi="Arial"/>
          <w:sz w:val="22"/>
        </w:rPr>
        <w:t>مراجعة الترخيص والتكلفة قبل الاعتماد.</w:t>
      </w:r>
    </w:p>
    <w:p>
      <w:pPr>
        <w:pStyle w:val="ListBullet"/>
        <w:bidi w:val="1"/>
        <w:jc w:val="right"/>
      </w:pPr>
      <w:r>
        <w:rPr>
          <w:rFonts w:ascii="Arial" w:hAnsi="Arial"/>
          <w:sz w:val="22"/>
        </w:rPr>
        <w:t>قياس أثر المكتبة على حجم الحزمة والأداء.</w:t>
      </w:r>
    </w:p>
    <w:p>
      <w:pPr>
        <w:pStyle w:val="ListBullet"/>
        <w:bidi w:val="1"/>
        <w:jc w:val="right"/>
      </w:pPr>
      <w:r>
        <w:rPr>
          <w:rFonts w:ascii="Arial" w:hAnsi="Arial"/>
          <w:sz w:val="22"/>
        </w:rPr>
        <w:t>توثيق سبب الاعتماد في Architecture Decision Record.</w:t>
      </w:r>
    </w:p>
    <w:p>
      <w:pPr>
        <w:pStyle w:val="Heading2"/>
        <w:bidi w:val="1"/>
        <w:jc w:val="right"/>
      </w:pPr>
      <w:r>
        <w:rPr>
          <w:rFonts w:ascii="Arial" w:hAnsi="Arial"/>
        </w:rPr>
        <w:t>التراخيص والتكلفة</w:t>
      </w:r>
    </w:p>
    <w:p>
      <w:pPr>
        <w:bidi w:val="1"/>
        <w:jc w:val="right"/>
      </w:pPr>
      <w:r>
        <w:rPr>
          <w:rFonts w:ascii="Arial" w:hAnsi="Arial"/>
          <w:b w:val="0"/>
          <w:sz w:val="22"/>
        </w:rPr>
        <w:t>يجب مراجعة التراخيص قبل الاعتماد النهائي، خصوصًا للمكتبات أو الميزات التي قد تتطلب اشتراكًا أو ترخيصًا تجاريًا.</w:t>
      </w:r>
    </w:p>
    <w:p>
      <w:pPr>
        <w:pStyle w:val="ListBullet"/>
        <w:bidi w:val="1"/>
        <w:jc w:val="right"/>
      </w:pPr>
      <w:r>
        <w:rPr>
          <w:rFonts w:ascii="Arial" w:hAnsi="Arial"/>
          <w:sz w:val="22"/>
        </w:rPr>
        <w:t>AG Grid Enterprise للخصائص المتقدمة.</w:t>
      </w:r>
    </w:p>
    <w:p>
      <w:pPr>
        <w:pStyle w:val="ListBullet"/>
        <w:bidi w:val="1"/>
        <w:jc w:val="right"/>
      </w:pPr>
      <w:r>
        <w:rPr>
          <w:rFonts w:ascii="Arial" w:hAnsi="Arial"/>
          <w:sz w:val="22"/>
        </w:rPr>
        <w:t>FullCalendar Premium للـTimeline وResource Scheduling.</w:t>
      </w:r>
    </w:p>
    <w:p>
      <w:pPr>
        <w:pStyle w:val="ListBullet"/>
        <w:bidi w:val="1"/>
        <w:jc w:val="right"/>
      </w:pPr>
      <w:r>
        <w:rPr>
          <w:rFonts w:ascii="Arial" w:hAnsi="Arial"/>
          <w:sz w:val="22"/>
        </w:rPr>
        <w:t>Mapbox للخدمات المدارة وحدود الاستخدام.</w:t>
      </w:r>
    </w:p>
    <w:p>
      <w:pPr>
        <w:pStyle w:val="ListBullet"/>
        <w:bidi w:val="1"/>
        <w:jc w:val="right"/>
      </w:pPr>
      <w:r>
        <w:rPr>
          <w:rFonts w:ascii="Arial" w:hAnsi="Arial"/>
          <w:sz w:val="22"/>
        </w:rPr>
        <w:t>بعض ميزات TipTap المتقدمة أو التعاونية.</w:t>
      </w:r>
    </w:p>
    <w:p>
      <w:pPr>
        <w:pStyle w:val="Heading2"/>
        <w:bidi w:val="1"/>
        <w:jc w:val="right"/>
      </w:pPr>
      <w:r>
        <w:rPr>
          <w:rFonts w:ascii="Arial" w:hAnsi="Arial"/>
        </w:rPr>
        <w:t>المبادئ العامة الملزمة</w:t>
      </w:r>
    </w:p>
    <w:p>
      <w:pPr>
        <w:pStyle w:val="ListBullet"/>
        <w:bidi w:val="1"/>
        <w:jc w:val="right"/>
      </w:pPr>
      <w:r>
        <w:rPr>
          <w:rFonts w:ascii="Arial" w:hAnsi="Arial"/>
          <w:sz w:val="22"/>
        </w:rPr>
        <w:t>shadcn/ui + Radix UI هما الأساس لجميع المكونات العامة.</w:t>
      </w:r>
    </w:p>
    <w:p>
      <w:pPr>
        <w:pStyle w:val="ListBullet"/>
        <w:bidi w:val="1"/>
        <w:jc w:val="right"/>
      </w:pPr>
      <w:r>
        <w:rPr>
          <w:rFonts w:ascii="Arial" w:hAnsi="Arial"/>
          <w:sz w:val="22"/>
        </w:rPr>
        <w:t>Lucide React هو المصدر الموحد للأيقونات.</w:t>
      </w:r>
    </w:p>
    <w:p>
      <w:pPr>
        <w:pStyle w:val="ListBullet"/>
        <w:bidi w:val="1"/>
        <w:jc w:val="right"/>
      </w:pPr>
      <w:r>
        <w:rPr>
          <w:rFonts w:ascii="Arial" w:hAnsi="Arial"/>
          <w:sz w:val="22"/>
        </w:rPr>
        <w:t>React Hook Form + Zod هما المعيار للنماذج.</w:t>
      </w:r>
    </w:p>
    <w:p>
      <w:pPr>
        <w:pStyle w:val="ListBullet"/>
        <w:bidi w:val="1"/>
        <w:jc w:val="right"/>
      </w:pPr>
      <w:r>
        <w:rPr>
          <w:rFonts w:ascii="Arial" w:hAnsi="Arial"/>
          <w:sz w:val="22"/>
        </w:rPr>
        <w:t>TanStack Query هو المعيار لإدارة Server State.</w:t>
      </w:r>
    </w:p>
    <w:p>
      <w:pPr>
        <w:pStyle w:val="ListBullet"/>
        <w:bidi w:val="1"/>
        <w:jc w:val="right"/>
      </w:pPr>
      <w:r>
        <w:rPr>
          <w:rFonts w:ascii="Arial" w:hAnsi="Arial"/>
          <w:sz w:val="22"/>
        </w:rPr>
        <w:t>Recharts للرسوم البسيطة وECharts للرسوم المتقدمة.</w:t>
      </w:r>
    </w:p>
    <w:p>
      <w:pPr>
        <w:pStyle w:val="ListBullet"/>
        <w:bidi w:val="1"/>
        <w:jc w:val="right"/>
      </w:pPr>
      <w:r>
        <w:rPr>
          <w:rFonts w:ascii="Arial" w:hAnsi="Arial"/>
          <w:sz w:val="22"/>
        </w:rPr>
        <w:t>AG Grid للجداول الكبيرة، وshadcn/ui للجداول الصغيرة.</w:t>
      </w:r>
    </w:p>
    <w:p>
      <w:pPr>
        <w:pStyle w:val="ListBullet"/>
        <w:bidi w:val="1"/>
        <w:jc w:val="right"/>
      </w:pPr>
      <w:r>
        <w:rPr>
          <w:rFonts w:ascii="Arial" w:hAnsi="Arial"/>
          <w:sz w:val="22"/>
        </w:rPr>
        <w:t>Leaflet هو الخيار الافتراضي للخرائط البسيطة.</w:t>
      </w:r>
    </w:p>
    <w:p>
      <w:pPr>
        <w:pStyle w:val="ListBullet"/>
        <w:bidi w:val="1"/>
        <w:jc w:val="right"/>
      </w:pPr>
      <w:r>
        <w:rPr>
          <w:rFonts w:ascii="Arial" w:hAnsi="Arial"/>
          <w:sz w:val="22"/>
        </w:rPr>
        <w:t>Mapbox GL أو MapLibre GL للحالات الجغرافية المتقدمة.</w:t>
      </w:r>
    </w:p>
    <w:p>
      <w:pPr>
        <w:pStyle w:val="ListBullet"/>
        <w:bidi w:val="1"/>
        <w:jc w:val="right"/>
      </w:pPr>
      <w:r>
        <w:rPr>
          <w:rFonts w:ascii="Arial" w:hAnsi="Arial"/>
          <w:sz w:val="22"/>
        </w:rPr>
        <w:t>لا تُستخدم أكثر من مكتبة لنفس الغرض دون مبرر هندسي موثق.</w:t>
      </w:r>
    </w:p>
    <w:p>
      <w:pPr>
        <w:pStyle w:val="ListBullet"/>
        <w:bidi w:val="1"/>
        <w:jc w:val="right"/>
      </w:pPr>
      <w:r>
        <w:rPr>
          <w:rFonts w:ascii="Arial" w:hAnsi="Arial"/>
          <w:sz w:val="22"/>
        </w:rPr>
        <w:t>تُفضّل المكونات القابلة لإعادة الاستخدام.</w:t>
      </w:r>
    </w:p>
    <w:p>
      <w:pPr>
        <w:pStyle w:val="ListBullet"/>
        <w:bidi w:val="1"/>
        <w:jc w:val="right"/>
      </w:pPr>
      <w:r>
        <w:rPr>
          <w:rFonts w:ascii="Arial" w:hAnsi="Arial"/>
          <w:sz w:val="22"/>
        </w:rPr>
        <w:t>يُراعى الأداء وتقليل حجم الحزم.</w:t>
      </w:r>
    </w:p>
    <w:p>
      <w:pPr>
        <w:pStyle w:val="ListBullet"/>
        <w:bidi w:val="1"/>
        <w:jc w:val="right"/>
      </w:pPr>
      <w:r>
        <w:rPr>
          <w:rFonts w:ascii="Arial" w:hAnsi="Arial"/>
          <w:sz w:val="22"/>
        </w:rPr>
        <w:t>تُبنى جميع الواجهات الجديدة باستخدام React + Vite + TypeScript.</w:t>
      </w:r>
    </w:p>
    <w:p>
      <w:pPr>
        <w:pStyle w:val="ListBullet"/>
        <w:bidi w:val="1"/>
        <w:jc w:val="right"/>
      </w:pPr>
      <w:r>
        <w:rPr>
          <w:rFonts w:ascii="Arial" w:hAnsi="Arial"/>
          <w:sz w:val="22"/>
        </w:rPr>
        <w:t>يجب أن تدعم جميع المكونات العربية RTL والإنجليزية LTR.</w:t>
      </w:r>
    </w:p>
    <w:p>
      <w:pPr>
        <w:pStyle w:val="ListBullet"/>
        <w:bidi w:val="1"/>
        <w:jc w:val="right"/>
      </w:pPr>
      <w:r>
        <w:rPr>
          <w:rFonts w:ascii="Arial" w:hAnsi="Arial"/>
          <w:sz w:val="22"/>
        </w:rPr>
        <w:t>تُفصل Presentation Layer عن Business Logic وعن Data Access Layer.</w:t>
      </w:r>
    </w:p>
    <w:p>
      <w:pPr>
        <w:pStyle w:val="ListBullet"/>
        <w:bidi w:val="1"/>
        <w:jc w:val="right"/>
      </w:pPr>
      <w:r>
        <w:rPr>
          <w:rFonts w:ascii="Arial" w:hAnsi="Arial"/>
          <w:sz w:val="22"/>
        </w:rPr>
        <w:t>لا تُستخدم بيانات Mock في المنتج النهائي بدل البيانات الحقيقية.</w:t>
      </w:r>
    </w:p>
    <w:p>
      <w:pPr>
        <w:pStyle w:val="ListBullet"/>
        <w:bidi w:val="1"/>
        <w:jc w:val="right"/>
      </w:pPr>
      <w:r>
        <w:rPr>
          <w:rFonts w:ascii="Arial" w:hAnsi="Arial"/>
          <w:sz w:val="22"/>
        </w:rPr>
        <w:t>كل مكتبة جديدة تحتاج قرارًا معماريًا موثقًا ومراجعة للترخيص.</w:t>
      </w:r>
    </w:p>
    <w:p>
      <w:pPr>
        <w:pStyle w:val="Heading2"/>
        <w:bidi w:val="1"/>
        <w:jc w:val="right"/>
      </w:pPr>
      <w:r>
        <w:rPr>
          <w:rFonts w:ascii="Arial" w:hAnsi="Arial"/>
        </w:rPr>
        <w:t>التركيب المرجعي المقترح</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pPr>
              <w:bidi w:val="1"/>
              <w:jc w:val="right"/>
            </w:pPr>
            <w:r/>
            <w:r>
              <w:rPr>
                <w:rFonts w:ascii="Arial" w:hAnsi="Arial"/>
                <w:b/>
                <w:sz w:val="19"/>
              </w:rPr>
              <w:t>الطبقة</w:t>
            </w:r>
          </w:p>
        </w:tc>
        <w:tc>
          <w:tcPr>
            <w:tcW w:type="dxa" w:w="4320"/>
            <w:vAlign w:val="center"/>
            <w:shd w:fill="D9EAF7"/>
          </w:tcPr>
          <w:p>
            <w:pPr>
              <w:bidi w:val="1"/>
              <w:jc w:val="right"/>
            </w:pPr>
            <w:r/>
            <w:r>
              <w:rPr>
                <w:rFonts w:ascii="Arial" w:hAnsi="Arial"/>
                <w:b/>
                <w:sz w:val="19"/>
              </w:rPr>
              <w:t>الاختيار المعتمد</w:t>
            </w:r>
          </w:p>
        </w:tc>
      </w:tr>
      <w:tr>
        <w:tc>
          <w:tcPr>
            <w:tcW w:type="dxa" w:w="4320"/>
            <w:vAlign w:val="center"/>
          </w:tcPr>
          <w:p>
            <w:pPr>
              <w:bidi w:val="1"/>
              <w:jc w:val="right"/>
            </w:pPr>
            <w:r/>
            <w:r>
              <w:rPr>
                <w:rFonts w:ascii="Arial" w:hAnsi="Arial"/>
                <w:b w:val="0"/>
                <w:sz w:val="19"/>
              </w:rPr>
              <w:t>Base UI</w:t>
            </w:r>
          </w:p>
        </w:tc>
        <w:tc>
          <w:tcPr>
            <w:tcW w:type="dxa" w:w="4320"/>
            <w:vAlign w:val="center"/>
          </w:tcPr>
          <w:p>
            <w:pPr>
              <w:bidi w:val="1"/>
              <w:jc w:val="right"/>
            </w:pPr>
            <w:r/>
            <w:r>
              <w:rPr>
                <w:rFonts w:ascii="Arial" w:hAnsi="Arial"/>
                <w:b w:val="0"/>
                <w:sz w:val="19"/>
              </w:rPr>
              <w:t>shadcn/ui + Radix UI + Lucide React</w:t>
            </w:r>
          </w:p>
        </w:tc>
      </w:tr>
      <w:tr>
        <w:tc>
          <w:tcPr>
            <w:tcW w:type="dxa" w:w="4320"/>
            <w:vAlign w:val="center"/>
          </w:tcPr>
          <w:p>
            <w:pPr>
              <w:bidi w:val="1"/>
              <w:jc w:val="right"/>
            </w:pPr>
            <w:r/>
            <w:r>
              <w:rPr>
                <w:rFonts w:ascii="Arial" w:hAnsi="Arial"/>
                <w:b w:val="0"/>
                <w:sz w:val="19"/>
              </w:rPr>
              <w:t>Forms</w:t>
            </w:r>
          </w:p>
        </w:tc>
        <w:tc>
          <w:tcPr>
            <w:tcW w:type="dxa" w:w="4320"/>
            <w:vAlign w:val="center"/>
          </w:tcPr>
          <w:p>
            <w:pPr>
              <w:bidi w:val="1"/>
              <w:jc w:val="right"/>
            </w:pPr>
            <w:r/>
            <w:r>
              <w:rPr>
                <w:rFonts w:ascii="Arial" w:hAnsi="Arial"/>
                <w:b w:val="0"/>
                <w:sz w:val="19"/>
              </w:rPr>
              <w:t>React Hook Form + Zod</w:t>
            </w:r>
          </w:p>
        </w:tc>
      </w:tr>
      <w:tr>
        <w:tc>
          <w:tcPr>
            <w:tcW w:type="dxa" w:w="4320"/>
            <w:vAlign w:val="center"/>
          </w:tcPr>
          <w:p>
            <w:pPr>
              <w:bidi w:val="1"/>
              <w:jc w:val="right"/>
            </w:pPr>
            <w:r/>
            <w:r>
              <w:rPr>
                <w:rFonts w:ascii="Arial" w:hAnsi="Arial"/>
                <w:b w:val="0"/>
                <w:sz w:val="19"/>
              </w:rPr>
              <w:t>Server State</w:t>
            </w:r>
          </w:p>
        </w:tc>
        <w:tc>
          <w:tcPr>
            <w:tcW w:type="dxa" w:w="4320"/>
            <w:vAlign w:val="center"/>
          </w:tcPr>
          <w:p>
            <w:pPr>
              <w:bidi w:val="1"/>
              <w:jc w:val="right"/>
            </w:pPr>
            <w:r/>
            <w:r>
              <w:rPr>
                <w:rFonts w:ascii="Arial" w:hAnsi="Arial"/>
                <w:b w:val="0"/>
                <w:sz w:val="19"/>
              </w:rPr>
              <w:t>TanStack Query</w:t>
            </w:r>
          </w:p>
        </w:tc>
      </w:tr>
      <w:tr>
        <w:tc>
          <w:tcPr>
            <w:tcW w:type="dxa" w:w="4320"/>
            <w:vAlign w:val="center"/>
          </w:tcPr>
          <w:p>
            <w:pPr>
              <w:bidi w:val="1"/>
              <w:jc w:val="right"/>
            </w:pPr>
            <w:r/>
            <w:r>
              <w:rPr>
                <w:rFonts w:ascii="Arial" w:hAnsi="Arial"/>
                <w:b w:val="0"/>
                <w:sz w:val="19"/>
              </w:rPr>
              <w:t>Routing</w:t>
            </w:r>
          </w:p>
        </w:tc>
        <w:tc>
          <w:tcPr>
            <w:tcW w:type="dxa" w:w="4320"/>
            <w:vAlign w:val="center"/>
          </w:tcPr>
          <w:p>
            <w:pPr>
              <w:bidi w:val="1"/>
              <w:jc w:val="right"/>
            </w:pPr>
            <w:r/>
            <w:r>
              <w:rPr>
                <w:rFonts w:ascii="Arial" w:hAnsi="Arial"/>
                <w:b w:val="0"/>
                <w:sz w:val="19"/>
              </w:rPr>
              <w:t>React Router أو TanStack Router</w:t>
            </w:r>
          </w:p>
        </w:tc>
      </w:tr>
      <w:tr>
        <w:tc>
          <w:tcPr>
            <w:tcW w:type="dxa" w:w="4320"/>
            <w:vAlign w:val="center"/>
          </w:tcPr>
          <w:p>
            <w:pPr>
              <w:bidi w:val="1"/>
              <w:jc w:val="right"/>
            </w:pPr>
            <w:r/>
            <w:r>
              <w:rPr>
                <w:rFonts w:ascii="Arial" w:hAnsi="Arial"/>
                <w:b w:val="0"/>
                <w:sz w:val="19"/>
              </w:rPr>
              <w:t>Simple Charts</w:t>
            </w:r>
          </w:p>
        </w:tc>
        <w:tc>
          <w:tcPr>
            <w:tcW w:type="dxa" w:w="4320"/>
            <w:vAlign w:val="center"/>
          </w:tcPr>
          <w:p>
            <w:pPr>
              <w:bidi w:val="1"/>
              <w:jc w:val="right"/>
            </w:pPr>
            <w:r/>
            <w:r>
              <w:rPr>
                <w:rFonts w:ascii="Arial" w:hAnsi="Arial"/>
                <w:b w:val="0"/>
                <w:sz w:val="19"/>
              </w:rPr>
              <w:t>Recharts</w:t>
            </w:r>
          </w:p>
        </w:tc>
      </w:tr>
      <w:tr>
        <w:tc>
          <w:tcPr>
            <w:tcW w:type="dxa" w:w="4320"/>
            <w:vAlign w:val="center"/>
          </w:tcPr>
          <w:p>
            <w:pPr>
              <w:bidi w:val="1"/>
              <w:jc w:val="right"/>
            </w:pPr>
            <w:r/>
            <w:r>
              <w:rPr>
                <w:rFonts w:ascii="Arial" w:hAnsi="Arial"/>
                <w:b w:val="0"/>
                <w:sz w:val="19"/>
              </w:rPr>
              <w:t>Advanced Charts</w:t>
            </w:r>
          </w:p>
        </w:tc>
        <w:tc>
          <w:tcPr>
            <w:tcW w:type="dxa" w:w="4320"/>
            <w:vAlign w:val="center"/>
          </w:tcPr>
          <w:p>
            <w:pPr>
              <w:bidi w:val="1"/>
              <w:jc w:val="right"/>
            </w:pPr>
            <w:r/>
            <w:r>
              <w:rPr>
                <w:rFonts w:ascii="Arial" w:hAnsi="Arial"/>
                <w:b w:val="0"/>
                <w:sz w:val="19"/>
              </w:rPr>
              <w:t>Apache ECharts</w:t>
            </w:r>
          </w:p>
        </w:tc>
      </w:tr>
      <w:tr>
        <w:tc>
          <w:tcPr>
            <w:tcW w:type="dxa" w:w="4320"/>
            <w:vAlign w:val="center"/>
          </w:tcPr>
          <w:p>
            <w:pPr>
              <w:bidi w:val="1"/>
              <w:jc w:val="right"/>
            </w:pPr>
            <w:r/>
            <w:r>
              <w:rPr>
                <w:rFonts w:ascii="Arial" w:hAnsi="Arial"/>
                <w:b w:val="0"/>
                <w:sz w:val="19"/>
              </w:rPr>
              <w:t>Large Tables</w:t>
            </w:r>
          </w:p>
        </w:tc>
        <w:tc>
          <w:tcPr>
            <w:tcW w:type="dxa" w:w="4320"/>
            <w:vAlign w:val="center"/>
          </w:tcPr>
          <w:p>
            <w:pPr>
              <w:bidi w:val="1"/>
              <w:jc w:val="right"/>
            </w:pPr>
            <w:r/>
            <w:r>
              <w:rPr>
                <w:rFonts w:ascii="Arial" w:hAnsi="Arial"/>
                <w:b w:val="0"/>
                <w:sz w:val="19"/>
              </w:rPr>
              <w:t>AG Grid</w:t>
            </w:r>
          </w:p>
        </w:tc>
      </w:tr>
      <w:tr>
        <w:tc>
          <w:tcPr>
            <w:tcW w:type="dxa" w:w="4320"/>
            <w:vAlign w:val="center"/>
          </w:tcPr>
          <w:p>
            <w:pPr>
              <w:bidi w:val="1"/>
              <w:jc w:val="right"/>
            </w:pPr>
            <w:r/>
            <w:r>
              <w:rPr>
                <w:rFonts w:ascii="Arial" w:hAnsi="Arial"/>
                <w:b w:val="0"/>
                <w:sz w:val="19"/>
              </w:rPr>
              <w:t>Flows</w:t>
            </w:r>
          </w:p>
        </w:tc>
        <w:tc>
          <w:tcPr>
            <w:tcW w:type="dxa" w:w="4320"/>
            <w:vAlign w:val="center"/>
          </w:tcPr>
          <w:p>
            <w:pPr>
              <w:bidi w:val="1"/>
              <w:jc w:val="right"/>
            </w:pPr>
            <w:r/>
            <w:r>
              <w:rPr>
                <w:rFonts w:ascii="Arial" w:hAnsi="Arial"/>
                <w:b w:val="0"/>
                <w:sz w:val="19"/>
              </w:rPr>
              <w:t>React Flow</w:t>
            </w:r>
          </w:p>
        </w:tc>
      </w:tr>
      <w:tr>
        <w:tc>
          <w:tcPr>
            <w:tcW w:type="dxa" w:w="4320"/>
            <w:vAlign w:val="center"/>
          </w:tcPr>
          <w:p>
            <w:pPr>
              <w:bidi w:val="1"/>
              <w:jc w:val="right"/>
            </w:pPr>
            <w:r/>
            <w:r>
              <w:rPr>
                <w:rFonts w:ascii="Arial" w:hAnsi="Arial"/>
                <w:b w:val="0"/>
                <w:sz w:val="19"/>
              </w:rPr>
              <w:t>Documentation</w:t>
            </w:r>
          </w:p>
        </w:tc>
        <w:tc>
          <w:tcPr>
            <w:tcW w:type="dxa" w:w="4320"/>
            <w:vAlign w:val="center"/>
          </w:tcPr>
          <w:p>
            <w:pPr>
              <w:bidi w:val="1"/>
              <w:jc w:val="right"/>
            </w:pPr>
            <w:r/>
            <w:r>
              <w:rPr>
                <w:rFonts w:ascii="Arial" w:hAnsi="Arial"/>
                <w:b w:val="0"/>
                <w:sz w:val="19"/>
              </w:rPr>
              <w:t>TipTap</w:t>
            </w:r>
          </w:p>
        </w:tc>
      </w:tr>
      <w:tr>
        <w:tc>
          <w:tcPr>
            <w:tcW w:type="dxa" w:w="4320"/>
            <w:vAlign w:val="center"/>
          </w:tcPr>
          <w:p>
            <w:pPr>
              <w:bidi w:val="1"/>
              <w:jc w:val="right"/>
            </w:pPr>
            <w:r/>
            <w:r>
              <w:rPr>
                <w:rFonts w:ascii="Arial" w:hAnsi="Arial"/>
                <w:b w:val="0"/>
                <w:sz w:val="19"/>
              </w:rPr>
              <w:t>Code and Contracts</w:t>
            </w:r>
          </w:p>
        </w:tc>
        <w:tc>
          <w:tcPr>
            <w:tcW w:type="dxa" w:w="4320"/>
            <w:vAlign w:val="center"/>
          </w:tcPr>
          <w:p>
            <w:pPr>
              <w:bidi w:val="1"/>
              <w:jc w:val="right"/>
            </w:pPr>
            <w:r/>
            <w:r>
              <w:rPr>
                <w:rFonts w:ascii="Arial" w:hAnsi="Arial"/>
                <w:b w:val="0"/>
                <w:sz w:val="19"/>
              </w:rPr>
              <w:t>Monaco Editor</w:t>
            </w:r>
          </w:p>
        </w:tc>
      </w:tr>
      <w:tr>
        <w:tc>
          <w:tcPr>
            <w:tcW w:type="dxa" w:w="4320"/>
            <w:vAlign w:val="center"/>
          </w:tcPr>
          <w:p>
            <w:pPr>
              <w:bidi w:val="1"/>
              <w:jc w:val="right"/>
            </w:pPr>
            <w:r/>
            <w:r>
              <w:rPr>
                <w:rFonts w:ascii="Arial" w:hAnsi="Arial"/>
                <w:b w:val="0"/>
                <w:sz w:val="19"/>
              </w:rPr>
              <w:t>Calendar</w:t>
            </w:r>
          </w:p>
        </w:tc>
        <w:tc>
          <w:tcPr>
            <w:tcW w:type="dxa" w:w="4320"/>
            <w:vAlign w:val="center"/>
          </w:tcPr>
          <w:p>
            <w:pPr>
              <w:bidi w:val="1"/>
              <w:jc w:val="right"/>
            </w:pPr>
            <w:r/>
            <w:r>
              <w:rPr>
                <w:rFonts w:ascii="Arial" w:hAnsi="Arial"/>
                <w:b w:val="0"/>
                <w:sz w:val="19"/>
              </w:rPr>
              <w:t>FullCalendar</w:t>
            </w:r>
          </w:p>
        </w:tc>
      </w:tr>
      <w:tr>
        <w:tc>
          <w:tcPr>
            <w:tcW w:type="dxa" w:w="4320"/>
            <w:vAlign w:val="center"/>
          </w:tcPr>
          <w:p>
            <w:pPr>
              <w:bidi w:val="1"/>
              <w:jc w:val="right"/>
            </w:pPr>
            <w:r/>
            <w:r>
              <w:rPr>
                <w:rFonts w:ascii="Arial" w:hAnsi="Arial"/>
                <w:b w:val="0"/>
                <w:sz w:val="19"/>
              </w:rPr>
              <w:t>Maps</w:t>
            </w:r>
          </w:p>
        </w:tc>
        <w:tc>
          <w:tcPr>
            <w:tcW w:type="dxa" w:w="4320"/>
            <w:vAlign w:val="center"/>
          </w:tcPr>
          <w:p>
            <w:pPr>
              <w:bidi w:val="1"/>
              <w:jc w:val="right"/>
            </w:pPr>
            <w:r/>
            <w:r>
              <w:rPr>
                <w:rFonts w:ascii="Arial" w:hAnsi="Arial"/>
                <w:b w:val="0"/>
                <w:sz w:val="19"/>
              </w:rPr>
              <w:t>Leaflet افتراضيًا، وMapbox GL أو MapLibre GL للحالات المتقدمة</w:t>
            </w:r>
          </w:p>
        </w:tc>
      </w:tr>
      <w:tr>
        <w:tc>
          <w:tcPr>
            <w:tcW w:type="dxa" w:w="4320"/>
            <w:vAlign w:val="center"/>
          </w:tcPr>
          <w:p>
            <w:pPr>
              <w:bidi w:val="1"/>
              <w:jc w:val="right"/>
            </w:pPr>
            <w:r/>
            <w:r>
              <w:rPr>
                <w:rFonts w:ascii="Arial" w:hAnsi="Arial"/>
                <w:b w:val="0"/>
                <w:sz w:val="19"/>
              </w:rPr>
              <w:t>Drag &amp; Drop</w:t>
            </w:r>
          </w:p>
        </w:tc>
        <w:tc>
          <w:tcPr>
            <w:tcW w:type="dxa" w:w="4320"/>
            <w:vAlign w:val="center"/>
          </w:tcPr>
          <w:p>
            <w:pPr>
              <w:bidi w:val="1"/>
              <w:jc w:val="right"/>
            </w:pPr>
            <w:r/>
            <w:r>
              <w:rPr>
                <w:rFonts w:ascii="Arial" w:hAnsi="Arial"/>
                <w:b w:val="0"/>
                <w:sz w:val="19"/>
              </w:rPr>
              <w:t>dnd-kit</w:t>
            </w:r>
          </w:p>
        </w:tc>
      </w:tr>
      <w:tr>
        <w:tc>
          <w:tcPr>
            <w:tcW w:type="dxa" w:w="4320"/>
            <w:vAlign w:val="center"/>
          </w:tcPr>
          <w:p>
            <w:pPr>
              <w:bidi w:val="1"/>
              <w:jc w:val="right"/>
            </w:pPr>
            <w:r/>
            <w:r>
              <w:rPr>
                <w:rFonts w:ascii="Arial" w:hAnsi="Arial"/>
                <w:b w:val="0"/>
                <w:sz w:val="19"/>
              </w:rPr>
              <w:t>Testing</w:t>
            </w:r>
          </w:p>
        </w:tc>
        <w:tc>
          <w:tcPr>
            <w:tcW w:type="dxa" w:w="4320"/>
            <w:vAlign w:val="center"/>
          </w:tcPr>
          <w:p>
            <w:pPr>
              <w:bidi w:val="1"/>
              <w:jc w:val="right"/>
            </w:pPr>
            <w:r/>
            <w:r>
              <w:rPr>
                <w:rFonts w:ascii="Arial" w:hAnsi="Arial"/>
                <w:b w:val="0"/>
                <w:sz w:val="19"/>
              </w:rPr>
              <w:t>Vitest + Testing Library + Playwright</w:t>
            </w:r>
          </w:p>
        </w:tc>
      </w:tr>
      <w:tr>
        <w:tc>
          <w:tcPr>
            <w:tcW w:type="dxa" w:w="4320"/>
            <w:vAlign w:val="center"/>
          </w:tcPr>
          <w:p>
            <w:pPr>
              <w:bidi w:val="1"/>
              <w:jc w:val="right"/>
            </w:pPr>
            <w:r/>
            <w:r>
              <w:rPr>
                <w:rFonts w:ascii="Arial" w:hAnsi="Arial"/>
                <w:b w:val="0"/>
                <w:sz w:val="19"/>
              </w:rPr>
              <w:t>Component Documentation</w:t>
            </w:r>
          </w:p>
        </w:tc>
        <w:tc>
          <w:tcPr>
            <w:tcW w:type="dxa" w:w="4320"/>
            <w:vAlign w:val="center"/>
          </w:tcPr>
          <w:p>
            <w:pPr>
              <w:bidi w:val="1"/>
              <w:jc w:val="right"/>
            </w:pPr>
            <w:r/>
            <w:r>
              <w:rPr>
                <w:rFonts w:ascii="Arial" w:hAnsi="Arial"/>
                <w:b w:val="0"/>
                <w:sz w:val="19"/>
              </w:rPr>
              <w:t>Storybook</w:t>
            </w:r>
          </w:p>
        </w:tc>
      </w:tr>
      <w:tr>
        <w:tc>
          <w:tcPr>
            <w:tcW w:type="dxa" w:w="4320"/>
            <w:vAlign w:val="center"/>
          </w:tcPr>
          <w:p>
            <w:pPr>
              <w:bidi w:val="1"/>
              <w:jc w:val="right"/>
            </w:pPr>
            <w:r/>
            <w:r>
              <w:rPr>
                <w:rFonts w:ascii="Arial" w:hAnsi="Arial"/>
                <w:b w:val="0"/>
                <w:sz w:val="19"/>
              </w:rPr>
              <w:t>API Mocking</w:t>
            </w:r>
          </w:p>
        </w:tc>
        <w:tc>
          <w:tcPr>
            <w:tcW w:type="dxa" w:w="4320"/>
            <w:vAlign w:val="center"/>
          </w:tcPr>
          <w:p>
            <w:pPr>
              <w:bidi w:val="1"/>
              <w:jc w:val="right"/>
            </w:pPr>
            <w:r/>
            <w:r>
              <w:rPr>
                <w:rFonts w:ascii="Arial" w:hAnsi="Arial"/>
                <w:b w:val="0"/>
                <w:sz w:val="19"/>
              </w:rPr>
              <w:t>MSW للاختبارات والتطوير فقط</w:t>
            </w:r>
          </w:p>
        </w:tc>
      </w:tr>
      <w:tr>
        <w:tc>
          <w:tcPr>
            <w:tcW w:type="dxa" w:w="4320"/>
            <w:vAlign w:val="center"/>
          </w:tcPr>
          <w:p>
            <w:pPr>
              <w:bidi w:val="1"/>
              <w:jc w:val="right"/>
            </w:pPr>
            <w:r/>
            <w:r>
              <w:rPr>
                <w:rFonts w:ascii="Arial" w:hAnsi="Arial"/>
                <w:b w:val="0"/>
                <w:sz w:val="19"/>
              </w:rPr>
              <w:t>3D</w:t>
            </w:r>
          </w:p>
        </w:tc>
        <w:tc>
          <w:tcPr>
            <w:tcW w:type="dxa" w:w="4320"/>
            <w:vAlign w:val="center"/>
          </w:tcPr>
          <w:p>
            <w:pPr>
              <w:bidi w:val="1"/>
              <w:jc w:val="right"/>
            </w:pPr>
            <w:r/>
            <w:r>
              <w:rPr>
                <w:rFonts w:ascii="Arial" w:hAnsi="Arial"/>
                <w:b w:val="0"/>
                <w:sz w:val="19"/>
              </w:rPr>
              <w:t>React Three Fiber عند وجود حاجة فعلية</w:t>
            </w:r>
          </w:p>
        </w:tc>
      </w:tr>
    </w:tbl>
    <w:p>
      <w:pPr>
        <w:pStyle w:val="Heading2"/>
        <w:bidi w:val="1"/>
        <w:jc w:val="right"/>
      </w:pPr>
      <w:r>
        <w:rPr>
          <w:rFonts w:ascii="Arial" w:hAnsi="Arial"/>
        </w:rPr>
        <w:t>الخلاصة التنفيذية لمعايير المكونات</w:t>
      </w:r>
    </w:p>
    <w:p>
      <w:pPr>
        <w:bidi w:val="1"/>
        <w:jc w:val="right"/>
      </w:pPr>
      <w:r>
        <w:rPr>
          <w:rFonts w:ascii="Arial" w:hAnsi="Arial"/>
          <w:b w:val="0"/>
          <w:sz w:val="22"/>
        </w:rPr>
        <w:t>بهذا الاعتماد تصبح مكتبات الواجهة جزءًا من وثيقة هندسية مرجعية، وليست مجرد قائمة أسماء. ويضمن هذا النهج اختيار كل أداة وفق طبيعة المهمة، مع الحفاظ على الاتساق والأداء وقابلية الاختبار والصيانة والتوسع.</w:t>
      </w:r>
    </w:p>
    <w:p>
      <w:r>
        <w:br w:type="page"/>
      </w:r>
    </w:p>
    <w:p>
      <w:pPr>
        <w:pStyle w:val="Heading1"/>
        <w:bidi w:val="1"/>
        <w:jc w:val="right"/>
      </w:pPr>
      <w:r>
        <w:t>70. Owner Visual Freeze — SOVEREIGN OBSIDIAN</w:t>
      </w:r>
    </w:p>
    <w:p>
      <w:pPr>
        <w:bidi w:val="1"/>
        <w:jc w:val="right"/>
      </w:pPr>
      <w:r>
        <w:rPr>
          <w:b w:val="0"/>
        </w:rPr>
        <w:t>هذا القسم هو المرجع التصميمي الحاكم الأخير. عند أي تعارض بصري مع نص أقدم، تطبق هذه المراجعة وFigure UI-04/UI-05. جميع Architecture وBusiness Logic وContracts وDatabase Ownership وRuntime وExposure وConfidentiality وEntitlement تبقى بلا تغيير.</w:t>
      </w:r>
    </w:p>
    <w:p>
      <w:pPr>
        <w:pStyle w:val="Heading2"/>
        <w:bidi w:val="1"/>
        <w:jc w:val="right"/>
      </w:pPr>
      <w:r>
        <w:t>70.1 المرجع البصري الشامل الحاكم</w:t>
      </w:r>
    </w:p>
    <w:p>
      <w:pPr>
        <w:bidi w:val="1"/>
        <w:jc w:val="right"/>
      </w:pPr>
      <w:r>
        <w:rPr>
          <w:b w:val="0"/>
        </w:rPr>
        <w:t>Figure UI-04 — Sovereign Obsidian Master Theme Board هو الـTheme Card الشامل الحاكم للألوان، Typography، surfaces، states، CORE Authority Card، components، spacing، radius، borders، shadows، motion، accessibility، Public Hero وAdmin analytical surface.</w:t>
      </w:r>
    </w:p>
    <w:p>
      <w:pPr>
        <w:jc w:val="center"/>
      </w:pPr>
      <w:r>
        <w:drawing>
          <wp:inline xmlns:a="http://schemas.openxmlformats.org/drawingml/2006/main" xmlns:pic="http://schemas.openxmlformats.org/drawingml/2006/picture">
            <wp:extent cx="6264910" cy="3525885"/>
            <wp:docPr id="4" name="Picture 4"/>
            <wp:cNvGraphicFramePr>
              <a:graphicFrameLocks noChangeAspect="1"/>
            </wp:cNvGraphicFramePr>
            <a:graphic>
              <a:graphicData uri="http://schemas.openxmlformats.org/drawingml/2006/picture">
                <pic:pic>
                  <pic:nvPicPr>
                    <pic:cNvPr id="0" name="NDSP_SOVEREIGN_OBSIDIAN_MASTER_THEME_BOARD.png"/>
                    <pic:cNvPicPr/>
                  </pic:nvPicPr>
                  <pic:blipFill>
                    <a:blip r:embed="rId16"/>
                    <a:stretch>
                      <a:fillRect/>
                    </a:stretch>
                  </pic:blipFill>
                  <pic:spPr>
                    <a:xfrm>
                      <a:off x="0" y="0"/>
                      <a:ext cx="6264910" cy="3525885"/>
                    </a:xfrm>
                    <a:prstGeom prst="rect"/>
                  </pic:spPr>
                </pic:pic>
              </a:graphicData>
            </a:graphic>
          </wp:inline>
        </w:drawing>
      </w:r>
    </w:p>
    <w:p>
      <w:pPr>
        <w:bidi w:val="1"/>
        <w:jc w:val="center"/>
      </w:pPr>
      <w:r>
        <w:rPr>
          <w:b/>
          <w:color w:val="7A5A24"/>
          <w:sz w:val="18"/>
        </w:rPr>
        <w:t>Figure UI-04 — Sovereign Obsidian Master Theme Board — CONTROLLING VISUAL REFERENCE</w:t>
      </w:r>
    </w:p>
    <w:p>
      <w:pPr>
        <w:pStyle w:val="Heading2"/>
        <w:bidi w:val="1"/>
        <w:jc w:val="right"/>
      </w:pPr>
      <w:r>
        <w:t>70.2 القيم البصرية الثابتة</w:t>
      </w:r>
    </w:p>
    <w:tbl>
      <w:tblPr>
        <w:tblStyle w:val="TableGrid"/>
        <w:tblW w:type="auto" w:w="0"/>
        <w:jc w:val="center"/>
        <w:tblLook w:firstColumn="1" w:firstRow="1" w:lastColumn="0" w:lastRow="0" w:noHBand="0" w:noVBand="1" w:val="04A0"/>
      </w:tblPr>
      <w:tblGrid>
        <w:gridCol w:w="4933"/>
        <w:gridCol w:w="4933"/>
      </w:tblGrid>
      <w:tr>
        <w:tc>
          <w:tcPr>
            <w:tcW w:type="dxa" w:w="4933"/>
            <w:shd w:fill="080D10"/>
            <w:vAlign w:val="center"/>
          </w:tcPr>
          <w:p>
            <w:r>
              <w:rPr>
                <w:color w:val="F5F6F7"/>
              </w:rPr>
              <w:t>Role</w:t>
            </w:r>
          </w:p>
        </w:tc>
        <w:tc>
          <w:tcPr>
            <w:tcW w:type="dxa" w:w="4933"/>
            <w:shd w:fill="080D10"/>
            <w:vAlign w:val="center"/>
          </w:tcPr>
          <w:p>
            <w:r>
              <w:rPr>
                <w:color w:val="F5F6F7"/>
              </w:rPr>
              <w:t>Exact Value</w:t>
            </w:r>
          </w:p>
        </w:tc>
      </w:tr>
      <w:tr>
        <w:tc>
          <w:tcPr>
            <w:tcW w:type="dxa" w:w="4933"/>
            <w:vAlign w:val="center"/>
          </w:tcPr>
          <w:p>
            <w:r>
              <w:t>Page Canvas / Deep Charcoal</w:t>
            </w:r>
          </w:p>
        </w:tc>
        <w:tc>
          <w:tcPr>
            <w:tcW w:type="dxa" w:w="4933"/>
            <w:vAlign w:val="center"/>
          </w:tcPr>
          <w:p>
            <w:r>
              <w:t>#080D10</w:t>
            </w:r>
          </w:p>
        </w:tc>
      </w:tr>
      <w:tr>
        <w:tc>
          <w:tcPr>
            <w:tcW w:type="dxa" w:w="4933"/>
            <w:vAlign w:val="center"/>
          </w:tcPr>
          <w:p>
            <w:r>
              <w:t>Surface</w:t>
            </w:r>
          </w:p>
        </w:tc>
        <w:tc>
          <w:tcPr>
            <w:tcW w:type="dxa" w:w="4933"/>
            <w:vAlign w:val="center"/>
          </w:tcPr>
          <w:p>
            <w:r>
              <w:t>#111518</w:t>
            </w:r>
          </w:p>
        </w:tc>
      </w:tr>
      <w:tr>
        <w:tc>
          <w:tcPr>
            <w:tcW w:type="dxa" w:w="4933"/>
            <w:vAlign w:val="center"/>
          </w:tcPr>
          <w:p>
            <w:r>
              <w:t>Surface Elevated</w:t>
            </w:r>
          </w:p>
        </w:tc>
        <w:tc>
          <w:tcPr>
            <w:tcW w:type="dxa" w:w="4933"/>
            <w:vAlign w:val="center"/>
          </w:tcPr>
          <w:p>
            <w:r>
              <w:t>#161C24</w:t>
            </w:r>
          </w:p>
        </w:tc>
      </w:tr>
      <w:tr>
        <w:tc>
          <w:tcPr>
            <w:tcW w:type="dxa" w:w="4933"/>
            <w:vAlign w:val="center"/>
          </w:tcPr>
          <w:p>
            <w:r>
              <w:t>Surface Disabled</w:t>
            </w:r>
          </w:p>
        </w:tc>
        <w:tc>
          <w:tcPr>
            <w:tcW w:type="dxa" w:w="4933"/>
            <w:vAlign w:val="center"/>
          </w:tcPr>
          <w:p>
            <w:r>
              <w:t>#0F1319</w:t>
            </w:r>
          </w:p>
        </w:tc>
      </w:tr>
      <w:tr>
        <w:tc>
          <w:tcPr>
            <w:tcW w:type="dxa" w:w="4933"/>
            <w:vAlign w:val="center"/>
          </w:tcPr>
          <w:p>
            <w:r>
              <w:t>Border</w:t>
            </w:r>
          </w:p>
        </w:tc>
        <w:tc>
          <w:tcPr>
            <w:tcW w:type="dxa" w:w="4933"/>
            <w:vAlign w:val="center"/>
          </w:tcPr>
          <w:p>
            <w:r>
              <w:t>1px #262C36</w:t>
            </w:r>
          </w:p>
        </w:tc>
      </w:tr>
      <w:tr>
        <w:tc>
          <w:tcPr>
            <w:tcW w:type="dxa" w:w="4933"/>
            <w:vAlign w:val="center"/>
          </w:tcPr>
          <w:p>
            <w:r>
              <w:t>Border Subtle</w:t>
            </w:r>
          </w:p>
        </w:tc>
        <w:tc>
          <w:tcPr>
            <w:tcW w:type="dxa" w:w="4933"/>
            <w:vAlign w:val="center"/>
          </w:tcPr>
          <w:p>
            <w:r>
              <w:t>1px #1D232C</w:t>
            </w:r>
          </w:p>
        </w:tc>
      </w:tr>
      <w:tr>
        <w:tc>
          <w:tcPr>
            <w:tcW w:type="dxa" w:w="4933"/>
            <w:vAlign w:val="center"/>
          </w:tcPr>
          <w:p>
            <w:r>
              <w:t>Refined Gold / Authority</w:t>
            </w:r>
          </w:p>
        </w:tc>
        <w:tc>
          <w:tcPr>
            <w:tcW w:type="dxa" w:w="4933"/>
            <w:vAlign w:val="center"/>
          </w:tcPr>
          <w:p>
            <w:r>
              <w:t>#D4AF37</w:t>
            </w:r>
          </w:p>
        </w:tc>
      </w:tr>
      <w:tr>
        <w:tc>
          <w:tcPr>
            <w:tcW w:type="dxa" w:w="4933"/>
            <w:vAlign w:val="center"/>
          </w:tcPr>
          <w:p>
            <w:r>
              <w:t>Sky Blue / Intelligence</w:t>
            </w:r>
          </w:p>
        </w:tc>
        <w:tc>
          <w:tcPr>
            <w:tcW w:type="dxa" w:w="4933"/>
            <w:vAlign w:val="center"/>
          </w:tcPr>
          <w:p>
            <w:r>
              <w:t>#29B6F6</w:t>
            </w:r>
          </w:p>
        </w:tc>
      </w:tr>
      <w:tr>
        <w:tc>
          <w:tcPr>
            <w:tcW w:type="dxa" w:w="4933"/>
            <w:vAlign w:val="center"/>
          </w:tcPr>
          <w:p>
            <w:r>
              <w:t>Off-White / Primary Text</w:t>
            </w:r>
          </w:p>
        </w:tc>
        <w:tc>
          <w:tcPr>
            <w:tcW w:type="dxa" w:w="4933"/>
            <w:vAlign w:val="center"/>
          </w:tcPr>
          <w:p>
            <w:r>
              <w:t>#F5F6F7</w:t>
            </w:r>
          </w:p>
        </w:tc>
      </w:tr>
      <w:tr>
        <w:tc>
          <w:tcPr>
            <w:tcW w:type="dxa" w:w="4933"/>
            <w:vAlign w:val="center"/>
          </w:tcPr>
          <w:p>
            <w:r>
              <w:t>Authorized Green</w:t>
            </w:r>
          </w:p>
        </w:tc>
        <w:tc>
          <w:tcPr>
            <w:tcW w:type="dxa" w:w="4933"/>
            <w:vAlign w:val="center"/>
          </w:tcPr>
          <w:p>
            <w:r>
              <w:t>#2FB67C</w:t>
            </w:r>
          </w:p>
        </w:tc>
      </w:tr>
      <w:tr>
        <w:tc>
          <w:tcPr>
            <w:tcW w:type="dxa" w:w="4933"/>
            <w:vAlign w:val="center"/>
          </w:tcPr>
          <w:p>
            <w:r>
              <w:t>Warning Amber</w:t>
            </w:r>
          </w:p>
        </w:tc>
        <w:tc>
          <w:tcPr>
            <w:tcW w:type="dxa" w:w="4933"/>
            <w:vAlign w:val="center"/>
          </w:tcPr>
          <w:p>
            <w:r>
              <w:t>#D89C3A</w:t>
            </w:r>
          </w:p>
        </w:tc>
      </w:tr>
      <w:tr>
        <w:tc>
          <w:tcPr>
            <w:tcW w:type="dxa" w:w="4933"/>
            <w:vAlign w:val="center"/>
          </w:tcPr>
          <w:p>
            <w:r>
              <w:t>Critical Red</w:t>
            </w:r>
          </w:p>
        </w:tc>
        <w:tc>
          <w:tcPr>
            <w:tcW w:type="dxa" w:w="4933"/>
            <w:vAlign w:val="center"/>
          </w:tcPr>
          <w:p>
            <w:r>
              <w:t>#D95C5C</w:t>
            </w:r>
          </w:p>
        </w:tc>
      </w:tr>
      <w:tr>
        <w:tc>
          <w:tcPr>
            <w:tcW w:type="dxa" w:w="4933"/>
            <w:vAlign w:val="center"/>
          </w:tcPr>
          <w:p>
            <w:r>
              <w:t>Review Purple</w:t>
            </w:r>
          </w:p>
        </w:tc>
        <w:tc>
          <w:tcPr>
            <w:tcW w:type="dxa" w:w="4933"/>
            <w:vAlign w:val="center"/>
          </w:tcPr>
          <w:p>
            <w:r>
              <w:t>#8B6BD9</w:t>
            </w:r>
          </w:p>
        </w:tc>
      </w:tr>
    </w:tbl>
    <w:p>
      <w:pPr>
        <w:pStyle w:val="Heading2"/>
        <w:bidi w:val="1"/>
        <w:jc w:val="right"/>
      </w:pPr>
      <w:r>
        <w:t>70.3 Typography / Spacing / Radius / Shadow / Motion</w:t>
      </w:r>
    </w:p>
    <w:p>
      <w:pPr>
        <w:pStyle w:val="ListBullet"/>
        <w:bidi w:val="1"/>
        <w:jc w:val="right"/>
      </w:pPr>
      <w:r>
        <w:rPr>
          <w:b w:val="0"/>
        </w:rPr>
        <w:t>Font pairing: IBM Plex Sans Arabic (AR) + Inter (EN).</w:t>
      </w:r>
    </w:p>
    <w:p>
      <w:pPr>
        <w:pStyle w:val="ListBullet"/>
        <w:bidi w:val="1"/>
        <w:jc w:val="right"/>
      </w:pPr>
      <w:r>
        <w:rPr>
          <w:b w:val="0"/>
        </w:rPr>
        <w:t>Type Scale: H1 48/56 Bold; H2 32/40 SemiBold; H3 24/32 SemiBold; Body1 16/24 Regular; Body2 14/20 Regular; Caption 12/16 Regular; Micro 11/16 Regular.</w:t>
      </w:r>
    </w:p>
    <w:p>
      <w:pPr>
        <w:pStyle w:val="ListBullet"/>
        <w:bidi w:val="1"/>
        <w:jc w:val="right"/>
      </w:pPr>
      <w:r>
        <w:rPr>
          <w:b w:val="0"/>
        </w:rPr>
        <w:t>Spacing: 4, 8, 12, 16, 24, 32, 48, 64 px.</w:t>
      </w:r>
    </w:p>
    <w:p>
      <w:pPr>
        <w:pStyle w:val="ListBullet"/>
        <w:bidi w:val="1"/>
        <w:jc w:val="right"/>
      </w:pPr>
      <w:r>
        <w:rPr>
          <w:b w:val="0"/>
        </w:rPr>
        <w:t>Radius: 4, 8, 12 px.</w:t>
      </w:r>
    </w:p>
    <w:p>
      <w:pPr>
        <w:pStyle w:val="ListBullet"/>
        <w:bidi w:val="1"/>
        <w:jc w:val="right"/>
      </w:pPr>
      <w:r>
        <w:rPr>
          <w:b w:val="0"/>
        </w:rPr>
        <w:t>Border: 1px #262C36.</w:t>
      </w:r>
    </w:p>
    <w:p>
      <w:pPr>
        <w:pStyle w:val="ListBullet"/>
        <w:bidi w:val="1"/>
        <w:jc w:val="right"/>
      </w:pPr>
      <w:r>
        <w:rPr>
          <w:b w:val="0"/>
        </w:rPr>
        <w:t>Shadows: Small 0 1px 2px rgba(0,0,0,.25); Medium 0 4px 12px rgba(0,0,0,.30); Large 0 12px 32px rgba(0,0,0,.35).</w:t>
      </w:r>
    </w:p>
    <w:p>
      <w:pPr>
        <w:pStyle w:val="ListBullet"/>
        <w:bidi w:val="1"/>
        <w:jc w:val="right"/>
      </w:pPr>
      <w:r>
        <w:rPr>
          <w:b w:val="0"/>
        </w:rPr>
        <w:t>Motion: Gentle Fade + Small Translate + Single Update Pulse. Public Hero may add one-time evidence line reveal and localized CORE convergence highlight.</w:t>
      </w:r>
    </w:p>
    <w:p>
      <w:pPr>
        <w:pStyle w:val="ListBullet"/>
        <w:bidi w:val="1"/>
        <w:jc w:val="right"/>
      </w:pPr>
      <w:r>
        <w:rPr>
          <w:b w:val="0"/>
        </w:rPr>
        <w:t>Accessibility: AA Contrast + RTL/LTR + Reduced Motion + visible focus + status icon/label/color.</w:t>
      </w:r>
    </w:p>
    <w:p>
      <w:pPr>
        <w:pStyle w:val="Heading2"/>
        <w:bidi w:val="1"/>
        <w:jc w:val="right"/>
      </w:pPr>
      <w:r>
        <w:t>70.4 CORE Authority Card</w:t>
      </w:r>
    </w:p>
    <w:p>
      <w:pPr>
        <w:bidi w:val="1"/>
        <w:jc w:val="right"/>
      </w:pPr>
      <w:r>
        <w:rPr>
          <w:b w:val="0"/>
        </w:rPr>
        <w:t>CORE هو Signature Authority Component وليس بطاقة عامة. الشكل الحاكم: Deep Surface، 1px Gold authority border، تقسيمات رأسية رفيعة، line icons ذهبية، localized convergence highlight، والعبارات العامة المصرح بها فقط: CORE | الاتجاه الرسمي | معتمد حوكميًا | أدلة قابلة للتحقق.</w:t>
      </w:r>
    </w:p>
    <w:p>
      <w:pPr>
        <w:pStyle w:val="Heading2"/>
        <w:bidi w:val="1"/>
        <w:jc w:val="right"/>
      </w:pPr>
      <w:r>
        <w:t>70.5 Public Hero / Evidence-to-CORE Composition</w:t>
      </w:r>
    </w:p>
    <w:p>
      <w:pPr>
        <w:bidi w:val="1"/>
        <w:jc w:val="right"/>
      </w:pPr>
      <w:r>
        <w:rPr>
          <w:b w:val="0"/>
        </w:rPr>
        <w:t>الـLanding Hero يطابق Figure UI-05: شعار NDSP الكامل أعلى اليمين، المنهجية/الحوكمة Navigation محدود، تسجيل الدخول أعلى اليسار؛ العنوان على اليمين، وخمسة مسارات Evidence عامة على اليسار تتقارب بالـSky Blue نحو نقطة Gold ثم تدخل إلى CORE. أسفل الـHero: 01 السياق → 02 الأدلة → 03 الاتجاه الرسمي.</w:t>
      </w:r>
    </w:p>
    <w:p>
      <w:pPr>
        <w:jc w:val="center"/>
      </w:pPr>
      <w:r>
        <w:drawing>
          <wp:inline xmlns:a="http://schemas.openxmlformats.org/drawingml/2006/main" xmlns:pic="http://schemas.openxmlformats.org/drawingml/2006/picture">
            <wp:extent cx="6264910" cy="4457481"/>
            <wp:docPr id="5" name="Picture 5"/>
            <wp:cNvGraphicFramePr>
              <a:graphicFrameLocks noChangeAspect="1"/>
            </wp:cNvGraphicFramePr>
            <a:graphic>
              <a:graphicData uri="http://schemas.openxmlformats.org/drawingml/2006/picture">
                <pic:pic>
                  <pic:nvPicPr>
                    <pic:cNvPr id="0" name="NDSP_PUBLIC_HERO_CONVERGENCE_REFERENCE.png"/>
                    <pic:cNvPicPr/>
                  </pic:nvPicPr>
                  <pic:blipFill>
                    <a:blip r:embed="rId17"/>
                    <a:stretch>
                      <a:fillRect/>
                    </a:stretch>
                  </pic:blipFill>
                  <pic:spPr>
                    <a:xfrm>
                      <a:off x="0" y="0"/>
                      <a:ext cx="6264910" cy="4457481"/>
                    </a:xfrm>
                    <a:prstGeom prst="rect"/>
                  </pic:spPr>
                </pic:pic>
              </a:graphicData>
            </a:graphic>
          </wp:inline>
        </w:drawing>
      </w:r>
    </w:p>
    <w:p>
      <w:pPr>
        <w:bidi w:val="1"/>
        <w:jc w:val="center"/>
      </w:pPr>
      <w:r>
        <w:rPr>
          <w:b/>
          <w:color w:val="7A5A24"/>
          <w:sz w:val="18"/>
        </w:rPr>
        <w:t>Figure UI-05 — Public Hero / Evidence-to-CORE Composition Reference</w:t>
      </w:r>
    </w:p>
    <w:p>
      <w:pPr>
        <w:pStyle w:val="Heading2"/>
        <w:bidi w:val="1"/>
        <w:jc w:val="right"/>
      </w:pPr>
      <w:r>
        <w:t>70.6 Public-safe narrative labels</w:t>
      </w:r>
    </w:p>
    <w:p>
      <w:pPr>
        <w:pStyle w:val="ListBullet"/>
        <w:bidi w:val="1"/>
        <w:jc w:val="right"/>
      </w:pPr>
      <w:r>
        <w:rPr>
          <w:b w:val="0"/>
        </w:rPr>
        <w:t>بيانات مؤسسية</w:t>
      </w:r>
    </w:p>
    <w:p>
      <w:pPr>
        <w:pStyle w:val="ListBullet"/>
        <w:bidi w:val="1"/>
        <w:jc w:val="right"/>
      </w:pPr>
      <w:r>
        <w:rPr>
          <w:b w:val="0"/>
        </w:rPr>
        <w:t>تقارير وتحليلات</w:t>
      </w:r>
    </w:p>
    <w:p>
      <w:pPr>
        <w:pStyle w:val="ListBullet"/>
        <w:bidi w:val="1"/>
        <w:jc w:val="right"/>
      </w:pPr>
      <w:r>
        <w:rPr>
          <w:b w:val="0"/>
        </w:rPr>
        <w:t>سياق تشغيلي</w:t>
      </w:r>
    </w:p>
    <w:p>
      <w:pPr>
        <w:pStyle w:val="ListBullet"/>
        <w:bidi w:val="1"/>
        <w:jc w:val="right"/>
      </w:pPr>
      <w:r>
        <w:rPr>
          <w:b w:val="0"/>
        </w:rPr>
        <w:t>معلومات خارجية</w:t>
      </w:r>
    </w:p>
    <w:p>
      <w:pPr>
        <w:pStyle w:val="ListBullet"/>
        <w:bidi w:val="1"/>
        <w:jc w:val="right"/>
      </w:pPr>
      <w:r>
        <w:rPr>
          <w:b w:val="0"/>
        </w:rPr>
        <w:t>معايير وسياسات</w:t>
      </w:r>
    </w:p>
    <w:p>
      <w:pPr>
        <w:bidi w:val="1"/>
        <w:jc w:val="right"/>
      </w:pPr>
      <w:r>
        <w:rPr>
          <w:b w:val="0"/>
        </w:rPr>
        <w:t>هذه labels هي Public Narrative Categories فقط وليست mapping إلى internal engines أو Decision Layers أو Producers/Providers بعينها. أي بيانات فعلية تحتها يجب أن تأتي من Public Contract وGovernance-authorized projection.</w:t>
      </w:r>
    </w:p>
    <w:p>
      <w:pPr>
        <w:pStyle w:val="Heading2"/>
        <w:bidi w:val="1"/>
        <w:jc w:val="right"/>
      </w:pPr>
      <w:r>
        <w:t>70.7 Design-only approval state</w:t>
      </w:r>
    </w:p>
    <w:p>
      <w:pPr>
        <w:jc w:val="left"/>
        <w:bidi w:val="0"/>
      </w:pPr>
      <w:r>
        <w:rPr>
          <w:rFonts w:ascii="Liberation Mono" w:hAnsi="Liberation Mono"/>
          <w:sz w:val="16"/>
        </w:rPr>
        <w:t>OWNER_VISUAL_REVISION=2026-08-08_SOVEREIGN_OBSIDIAN</w:t>
        <w:br/>
        <w:t>CONTROLLING_THEME=SOVEREIGN_OBSIDIAN</w:t>
        <w:br/>
        <w:t>DEFAULT_MODE=DARK_INSTITUTIONAL</w:t>
        <w:br/>
        <w:t>PAGE_CANVAS=#080D10</w:t>
        <w:br/>
        <w:t>SURFACE=#111518</w:t>
        <w:br/>
        <w:t>SURFACE_ELEVATED=#161C24</w:t>
        <w:br/>
        <w:t>SURFACE_DISABLED=#0F1319</w:t>
        <w:br/>
        <w:t>BORDER=#262C36</w:t>
        <w:br/>
        <w:t>BORDER_SUBTLE=#1D232C</w:t>
        <w:br/>
        <w:t>AUTHORITY_GOLD=#D4AF37</w:t>
        <w:br/>
        <w:t>INTELLIGENCE_SKY_BLUE=#29B6F6</w:t>
        <w:br/>
        <w:t>PRIMARY_TEXT=#F5F6F7</w:t>
        <w:br/>
        <w:t>AUTHORIZED_GREEN=#2FB67C</w:t>
        <w:br/>
        <w:t>WARNING_AMBER=#D89C3A</w:t>
        <w:br/>
        <w:t>CRITICAL_RED=#D95C5C</w:t>
        <w:br/>
        <w:t>REVIEW_PURPLE=#8B6BD9</w:t>
        <w:br/>
        <w:t>FONT_AR=IBM_PLEX_SANS_ARABIC</w:t>
        <w:br/>
        <w:t>FONT_EN=INTER</w:t>
        <w:br/>
        <w:t>SPACING=4_8_12_16_24_32_48_64</w:t>
        <w:br/>
        <w:t>RADIUS=4_8_12</w:t>
        <w:br/>
        <w:t>BORDER_WIDTH=1PX</w:t>
        <w:br/>
        <w:t>MOTION=GENTLE_FADE_SMALL_TRANSLATE_SINGLE_UPDATE_PULSE</w:t>
        <w:br/>
        <w:t>PUBLIC_HERO=EVIDENCE_CONVERGENCE_TO_CORE</w:t>
        <w:br/>
        <w:t>CORE_AUTHORITY_CARD=REQUIRED_SIGNATURE_COMPONENT</w:t>
        <w:br/>
        <w:t>PUBLIC_INTERNAL_MAPPING_EXPOSURE=FORBIDDEN</w:t>
        <w:br/>
        <w:t>ACCESSIBILITY=AA_RTL_LTR_REDUCED_MOTION</w:t>
      </w:r>
    </w:p>
    <w:sectPr w:rsidR="00FC693F" w:rsidRPr="0006063C" w:rsidSect="00034616">
      <w:pgSz w:w="11906" w:h="16838"/>
      <w:pgMar w:top="964" w:right="1020" w:bottom="964" w:left="102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rFonts w:ascii="Noto Sans Arabic" w:hAnsi="Noto Sans Arabic" w:cs="Noto Sans Arabic"/>
        <w:b w:val="0"/>
        <w:color w:val="5E6673"/>
        <w:sz w:val="15"/>
      </w:rPr>
      <w:t>مرجع حوكمة مدمج — Architecture / UI/UX / Visual Design</w:t>
    </w:r>
    <w:r>
      <w:rPr>
        <w:rFonts w:ascii="Noto Sans Arabic" w:hAnsi="Noto Sans Arabic" w:cs="Noto Sans Arabic"/>
        <w:b w:val="0"/>
        <w:color w:val="5E6673"/>
        <w:sz w:val="15"/>
      </w:rPr>
      <w:t xml:space="preserve">   |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DejaVu Sans Mono" w:hAnsi="DejaVu Sans Mono" w:cs="DejaVu Sans Mono"/>
        <w:b/>
        <w:color w:val="8E6D27"/>
        <w:sz w:val="15"/>
      </w:rPr>
      <w:t>NDSP  |  FINAL MASTER GOVERNANCE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Kufi Arabic" w:hAnsi="Noto Kufi Arabic" w:cs="Noto Kufi Arabic"/>
      <w:b/>
      <w:bCs/>
      <w:color w:val="C7A2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Kufi Arabic" w:hAnsi="Noto Kufi Arabic" w:cs="Noto Kufi Arabic"/>
      <w:b/>
      <w:bCs/>
      <w:color w:val="65BC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Kufi Arabic" w:hAnsi="Noto Kufi Arabic" w:cs="Noto Kufi Arabic"/>
      <w:b/>
      <w:bCs/>
      <w:color w:val="22262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Kufi Arabic" w:hAnsi="Noto Kufi Arabic" w:cs="Noto Kufi Arabic"/>
      <w:b/>
      <w:color w:val="8E6D2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DSPCaption">
    <w:name w:val="NDSP Caption"/>
    <w:rPr>
      <w:rFonts w:ascii="Noto Sans Arabic" w:hAnsi="Noto Sans Arabic"/>
      <w:i/>
      <w:color w:val="5E66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