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622" w:rsidRDefault="00A814E6">
      <w:pPr>
        <w:pStyle w:val="SBCtitle"/>
      </w:pPr>
      <w:bookmarkStart w:id="0" w:name="_Hlt486343546"/>
      <w:bookmarkStart w:id="1" w:name="_Hlt486343547"/>
      <w:r>
        <w:t>Análise estatística da variação do valor de ações no mercado financeiro</w:t>
      </w:r>
    </w:p>
    <w:p w:rsidR="006D6622" w:rsidRDefault="00A814E6">
      <w:pPr>
        <w:pStyle w:val="SBCauthors"/>
      </w:pPr>
      <w:r>
        <w:t>Yuri Thomas Pinheiro Nunes</w:t>
      </w:r>
      <w:r>
        <w:rPr>
          <w:vertAlign w:val="superscript"/>
        </w:rPr>
        <w:t>1</w:t>
      </w:r>
      <w:r>
        <w:t>, Rute Souza de Abreu</w:t>
      </w:r>
      <w:r>
        <w:rPr>
          <w:vertAlign w:val="superscript"/>
        </w:rPr>
        <w:t>2</w:t>
      </w:r>
    </w:p>
    <w:p w:rsidR="006D6622" w:rsidRDefault="00A814E6">
      <w:pPr>
        <w:pStyle w:val="SBCinstitution"/>
      </w:pPr>
      <w:r>
        <w:rPr>
          <w:vertAlign w:val="superscript"/>
        </w:rPr>
        <w:t>1</w:t>
      </w:r>
      <w:r>
        <w:t xml:space="preserve">Centro de Tecnologia – Universidade Federal do Rio Grande </w:t>
      </w:r>
      <w:r>
        <w:t>do Norte (UFRN)</w:t>
      </w:r>
    </w:p>
    <w:p w:rsidR="006D6622" w:rsidRDefault="00A814E6" w:rsidP="00C524E8">
      <w:pPr>
        <w:pStyle w:val="SBCaddress"/>
      </w:pPr>
      <w:r>
        <w:rPr>
          <w:rStyle w:val="nfase"/>
          <w:rFonts w:ascii="Times New Roman" w:hAnsi="Times New Roman"/>
          <w:bCs/>
          <w:i w:val="0"/>
          <w:iCs w:val="0"/>
          <w:shd w:val="clear" w:color="auto" w:fill="FFFFFF"/>
        </w:rPr>
        <w:t>CEP:</w:t>
      </w:r>
      <w:r w:rsidR="00C524E8">
        <w:rPr>
          <w:rStyle w:val="nfase"/>
          <w:rFonts w:ascii="Times New Roman" w:hAnsi="Times New Roman"/>
          <w:bCs/>
          <w:i w:val="0"/>
          <w:iCs w:val="0"/>
          <w:shd w:val="clear" w:color="auto" w:fill="FFFFFF"/>
        </w:rPr>
        <w:t xml:space="preserve"> </w:t>
      </w:r>
      <w:r>
        <w:rPr>
          <w:rFonts w:ascii="Times New Roman" w:hAnsi="Times New Roman"/>
          <w:shd w:val="clear" w:color="auto" w:fill="FFFFFF"/>
        </w:rPr>
        <w:t>59078-970; Caixa postal 1524</w:t>
      </w:r>
      <w:r>
        <w:t>– Natal– RN – Brasil</w:t>
      </w:r>
    </w:p>
    <w:p w:rsidR="006D6622" w:rsidRDefault="00A814E6">
      <w:pPr>
        <w:pStyle w:val="SBCinstitution"/>
      </w:pPr>
      <w:r>
        <w:rPr>
          <w:vertAlign w:val="superscript"/>
        </w:rPr>
        <w:t>2</w:t>
      </w:r>
      <w:r>
        <w:t>Centro de Tecnologia – Universidade Federal do Rio Grande do Norte (UFRN)</w:t>
      </w:r>
    </w:p>
    <w:p w:rsidR="006D6622" w:rsidRDefault="00A814E6" w:rsidP="00C524E8">
      <w:pPr>
        <w:pStyle w:val="SBCinstitution"/>
        <w:spacing w:before="0"/>
      </w:pPr>
      <w:r>
        <w:rPr>
          <w:bCs/>
        </w:rPr>
        <w:t>CEP:</w:t>
      </w:r>
      <w:r>
        <w:rPr>
          <w:b/>
          <w:bCs/>
        </w:rPr>
        <w:t xml:space="preserve"> </w:t>
      </w:r>
      <w:r>
        <w:t>59078-970; Caixa postal 1524– Natal– RN – Brasil</w:t>
      </w:r>
    </w:p>
    <w:p w:rsidR="006D6622" w:rsidRDefault="00CE152A">
      <w:pPr>
        <w:pStyle w:val="SBCemail"/>
      </w:pPr>
      <w:r>
        <w:rPr>
          <w:rFonts w:ascii="Times New Roman" w:hAnsi="Times New Roman"/>
        </w:rPr>
        <w:t>yuri.tpinheir</w:t>
      </w:r>
      <w:bookmarkStart w:id="2" w:name="_GoBack"/>
      <w:bookmarkEnd w:id="2"/>
      <w:r w:rsidR="00A814E6">
        <w:rPr>
          <w:rFonts w:ascii="Times New Roman" w:hAnsi="Times New Roman"/>
        </w:rPr>
        <w:t xml:space="preserve">o@gmail.com, </w:t>
      </w:r>
      <w:hyperlink r:id="rId8" w:history="1">
        <w:r w:rsidR="00A814E6">
          <w:rPr>
            <w:rStyle w:val="Hyperlink"/>
            <w:rFonts w:ascii="Times New Roman" w:hAnsi="Times New Roman"/>
            <w:color w:val="auto"/>
            <w:u w:val="none"/>
          </w:rPr>
          <w:t>rute.s.abreu@gmail.com</w:t>
        </w:r>
      </w:hyperlink>
    </w:p>
    <w:p w:rsidR="006D6622" w:rsidRDefault="006D6622">
      <w:pPr>
        <w:pStyle w:val="SBCabstract"/>
        <w:rPr>
          <w:lang w:val="pt-BR"/>
        </w:rPr>
      </w:pPr>
    </w:p>
    <w:p w:rsidR="006D6622" w:rsidRDefault="00A814E6">
      <w:pPr>
        <w:pStyle w:val="SBCresumo"/>
        <w:spacing w:line="360" w:lineRule="auto"/>
        <w:ind w:left="0" w:right="0"/>
      </w:pPr>
      <w:r>
        <w:rPr>
          <w:b/>
          <w:bCs/>
          <w:i w:val="0"/>
        </w:rPr>
        <w:t>Resumo.</w:t>
      </w:r>
      <w:r>
        <w:rPr>
          <w:i w:val="0"/>
        </w:rPr>
        <w:t xml:space="preserve"> Este artigo apresenta uma análise estatística das variações dos valores das ações de diversas companhias no mercado financeiro. Para realizar a análise, as companhias foram agrupadas por indústrias. Em segui</w:t>
      </w:r>
      <w:r>
        <w:rPr>
          <w:i w:val="0"/>
        </w:rPr>
        <w:t xml:space="preserve">da foram calculadas as variações diárias do preço das ações para cada companhia, sendo estas somadas as variações das demais companhias pertencentes a mesma indústria. A análise diz respeito ao calculo da correlação, entre diversos setores, com relação as </w:t>
      </w:r>
      <w:r>
        <w:rPr>
          <w:i w:val="0"/>
        </w:rPr>
        <w:t>suas variações diárias, nos anos de 2015 a 2017.</w:t>
      </w:r>
    </w:p>
    <w:p w:rsidR="006D6622" w:rsidRDefault="00A814E6">
      <w:pPr>
        <w:pStyle w:val="SBCresumo"/>
        <w:ind w:left="0" w:right="0"/>
      </w:pPr>
      <w:r>
        <w:rPr>
          <w:b/>
          <w:bCs/>
          <w:i w:val="0"/>
        </w:rPr>
        <w:t>Palavras-c</w:t>
      </w:r>
      <w:r>
        <w:rPr>
          <w:b/>
          <w:i w:val="0"/>
        </w:rPr>
        <w:t xml:space="preserve">have: </w:t>
      </w:r>
      <w:r>
        <w:rPr>
          <w:i w:val="0"/>
        </w:rPr>
        <w:t>variação, mercado, ações, correlação.</w:t>
      </w:r>
    </w:p>
    <w:p w:rsidR="006D6622" w:rsidRDefault="006D6622">
      <w:pPr>
        <w:pStyle w:val="SBCresumo"/>
      </w:pPr>
    </w:p>
    <w:p w:rsidR="006D6622" w:rsidRDefault="00A814E6">
      <w:pPr>
        <w:pStyle w:val="SBCabstract"/>
        <w:spacing w:line="360" w:lineRule="auto"/>
        <w:ind w:left="0" w:right="0"/>
      </w:pPr>
      <w:r w:rsidRPr="00395844">
        <w:rPr>
          <w:rFonts w:ascii="Times New Roman" w:hAnsi="Times New Roman"/>
          <w:b/>
          <w:bCs/>
          <w:szCs w:val="24"/>
        </w:rPr>
        <w:t>Abstract.</w:t>
      </w:r>
      <w:r w:rsidRPr="00395844">
        <w:rPr>
          <w:rFonts w:ascii="Times New Roman" w:hAnsi="Times New Roman"/>
          <w:szCs w:val="24"/>
        </w:rPr>
        <w:t xml:space="preserve"> This paper presents a statistic analysis of the stock prices variation from various companies in the financial market. In order to make this a</w:t>
      </w:r>
      <w:r w:rsidRPr="00395844">
        <w:rPr>
          <w:rFonts w:ascii="Times New Roman" w:hAnsi="Times New Roman"/>
          <w:szCs w:val="24"/>
        </w:rPr>
        <w:t>nalysis, the companies were grouped by industrials.  Next, the daily stock price variations were calculated for each company, being added up to variation from the companies belonging to the same industry.  The analysis is based on the calculus of correlati</w:t>
      </w:r>
      <w:r w:rsidRPr="00395844">
        <w:rPr>
          <w:rFonts w:ascii="Times New Roman" w:hAnsi="Times New Roman"/>
          <w:szCs w:val="24"/>
        </w:rPr>
        <w:t>on, among 12 industrials sectors, in relation with its daily stock price variation, in the years of 2015 to 2017.</w:t>
      </w:r>
    </w:p>
    <w:p w:rsidR="006D6622" w:rsidRPr="00395844" w:rsidRDefault="00A814E6">
      <w:pPr>
        <w:pStyle w:val="SBCresumo"/>
        <w:ind w:left="0" w:right="0"/>
        <w:rPr>
          <w:lang w:val="en-US"/>
        </w:rPr>
      </w:pPr>
      <w:r>
        <w:rPr>
          <w:b/>
          <w:bCs/>
          <w:lang w:val="en-US"/>
        </w:rPr>
        <w:t>Keywords</w:t>
      </w:r>
      <w:r>
        <w:rPr>
          <w:b/>
          <w:lang w:val="en-US"/>
        </w:rPr>
        <w:t xml:space="preserve">: </w:t>
      </w:r>
      <w:r>
        <w:rPr>
          <w:lang w:val="en-US"/>
        </w:rPr>
        <w:t xml:space="preserve"> variation, market, stocks, correlation.</w:t>
      </w:r>
    </w:p>
    <w:p w:rsidR="006D6622" w:rsidRPr="00395844" w:rsidRDefault="006D6622">
      <w:pPr>
        <w:pStyle w:val="SBCparagraphfirst"/>
        <w:rPr>
          <w:lang w:val="en-US"/>
        </w:rPr>
      </w:pPr>
    </w:p>
    <w:p w:rsidR="006D6622" w:rsidRDefault="00A814E6">
      <w:pPr>
        <w:pStyle w:val="SBCtitle1"/>
      </w:pPr>
      <w:r>
        <w:t>Introdução</w:t>
      </w:r>
    </w:p>
    <w:p w:rsidR="006D6622" w:rsidRDefault="00A814E6">
      <w:pPr>
        <w:pStyle w:val="SBCparagraphfirst"/>
        <w:spacing w:before="120" w:line="360" w:lineRule="auto"/>
        <w:ind w:firstLine="720"/>
        <w:rPr>
          <w:rFonts w:ascii="Times New Roman" w:hAnsi="Times New Roman"/>
          <w:color w:val="auto"/>
          <w:szCs w:val="24"/>
        </w:rPr>
      </w:pPr>
      <w:r>
        <w:rPr>
          <w:rFonts w:ascii="Times New Roman" w:hAnsi="Times New Roman"/>
          <w:color w:val="auto"/>
          <w:szCs w:val="24"/>
        </w:rPr>
        <w:t xml:space="preserve">O mercado de ações é responsável por uma enorme movimentação financeira sendo </w:t>
      </w:r>
      <w:r>
        <w:rPr>
          <w:rFonts w:ascii="Times New Roman" w:hAnsi="Times New Roman"/>
          <w:color w:val="auto"/>
          <w:szCs w:val="24"/>
        </w:rPr>
        <w:t xml:space="preserve">considerado um segmento de investimento de grande rentabilidade e risco. Por esse motivo existem diversos estudos objetivando analisar e predizer o comportamento </w:t>
      </w:r>
      <w:r>
        <w:rPr>
          <w:rFonts w:ascii="Times New Roman" w:hAnsi="Times New Roman"/>
          <w:color w:val="auto"/>
          <w:szCs w:val="24"/>
        </w:rPr>
        <w:lastRenderedPageBreak/>
        <w:t>dos mercados para maximizar lucros e diminuir riscos. Dentro do mercado de ações as empresas s</w:t>
      </w:r>
      <w:r>
        <w:rPr>
          <w:rFonts w:ascii="Times New Roman" w:hAnsi="Times New Roman"/>
          <w:color w:val="auto"/>
          <w:szCs w:val="24"/>
        </w:rPr>
        <w:t>ão divididas em setores, que estão relacionados ao tipo de atividade exercida pelas empresas. Os setores são agrupados em indústrias, estas são áreas de atuação genéricas como: Transporte e Saúde. Com isso tem-se interesse de conhecer o comportamento das i</w:t>
      </w:r>
      <w:r>
        <w:rPr>
          <w:rFonts w:ascii="Times New Roman" w:hAnsi="Times New Roman"/>
          <w:color w:val="auto"/>
          <w:szCs w:val="24"/>
        </w:rPr>
        <w:t>ndústrias e setores a fim de interpretar os valores e tomar decisões sobre investimento.</w:t>
      </w:r>
    </w:p>
    <w:p w:rsidR="006D6622" w:rsidRDefault="00A814E6">
      <w:pPr>
        <w:pStyle w:val="SBCparagraphfirst"/>
        <w:spacing w:before="120" w:line="360" w:lineRule="auto"/>
        <w:ind w:firstLine="720"/>
      </w:pPr>
      <w:r>
        <w:rPr>
          <w:rFonts w:ascii="Times New Roman" w:hAnsi="Times New Roman"/>
          <w:color w:val="auto"/>
          <w:szCs w:val="24"/>
        </w:rPr>
        <w:t>Este trabalho tem como objetivo analisar a correlação das variações de preço em cada indústria dentro do mercado de ações. Para isso o valor de cada indústria será cal</w:t>
      </w:r>
      <w:r>
        <w:rPr>
          <w:rFonts w:ascii="Times New Roman" w:hAnsi="Times New Roman"/>
          <w:color w:val="auto"/>
          <w:szCs w:val="24"/>
        </w:rPr>
        <w:t>culado como o somatório das variações de preço por ação de cada empresa em um dia, da abertura ao fechamento. Dessa forma será obtido um conjunto de variáveis aleatórias para o cálculo de covariância. Ao final será obtida uma distribuição aleatória para ca</w:t>
      </w:r>
      <w:r>
        <w:rPr>
          <w:rFonts w:ascii="Times New Roman" w:hAnsi="Times New Roman"/>
          <w:color w:val="auto"/>
          <w:szCs w:val="24"/>
        </w:rPr>
        <w:t>da indústria e uma matriz de correlação para o conjunto de variáveis</w:t>
      </w:r>
      <w:r>
        <w:rPr>
          <w:rFonts w:ascii="Times New Roman" w:hAnsi="Times New Roman"/>
          <w:color w:val="263238"/>
          <w:szCs w:val="24"/>
        </w:rPr>
        <w:t>.</w:t>
      </w:r>
    </w:p>
    <w:p w:rsidR="006D6622" w:rsidRDefault="00A814E6">
      <w:pPr>
        <w:pStyle w:val="SBCtitle1"/>
      </w:pPr>
      <w:r>
        <w:t>Escopo e metodologia</w:t>
      </w:r>
    </w:p>
    <w:p w:rsidR="00395844" w:rsidRPr="00395844" w:rsidRDefault="00395844" w:rsidP="00395844">
      <w:pPr>
        <w:pStyle w:val="SBCparagraphfirst"/>
      </w:pPr>
    </w:p>
    <w:p w:rsidR="006D6622" w:rsidRDefault="00A814E6">
      <w:pPr>
        <w:spacing w:line="360" w:lineRule="auto"/>
        <w:ind w:firstLine="720"/>
        <w:jc w:val="both"/>
        <w:textAlignment w:val="top"/>
      </w:pPr>
      <w:r>
        <w:rPr>
          <w:rFonts w:ascii="Times New Roman" w:hAnsi="Times New Roman" w:cs="Times New Roman"/>
        </w:rPr>
        <w:t xml:space="preserve">Para realizar a análise estatística foram utilizados os valores de ações registradas no mercado de ações: </w:t>
      </w:r>
      <w:r>
        <w:rPr>
          <w:rFonts w:ascii="Times New Roman" w:hAnsi="Times New Roman" w:cs="Times New Roman"/>
          <w:bCs/>
          <w:i/>
          <w:shd w:val="clear" w:color="auto" w:fill="FFFFFF"/>
        </w:rPr>
        <w:t>National Association of Securities Dealers Automated Quotat</w:t>
      </w:r>
      <w:r>
        <w:rPr>
          <w:rFonts w:ascii="Times New Roman" w:hAnsi="Times New Roman" w:cs="Times New Roman"/>
          <w:bCs/>
          <w:i/>
          <w:shd w:val="clear" w:color="auto" w:fill="FFFFFF"/>
        </w:rPr>
        <w:t>ions</w:t>
      </w:r>
      <w:r>
        <w:rPr>
          <w:rFonts w:ascii="Times New Roman" w:hAnsi="Times New Roman" w:cs="Times New Roman"/>
          <w:i/>
        </w:rPr>
        <w:t xml:space="preserve"> </w:t>
      </w:r>
      <w:r>
        <w:rPr>
          <w:rFonts w:ascii="Times New Roman" w:hAnsi="Times New Roman" w:cs="Times New Roman"/>
        </w:rPr>
        <w:t xml:space="preserve">(NASDAQ), bem como foram extraídas informações sobre as empresas e suas respectivas indústrias a partir dos dados da bolsa: </w:t>
      </w:r>
      <w:r>
        <w:rPr>
          <w:rFonts w:ascii="Times New Roman" w:hAnsi="Times New Roman" w:cs="Times New Roman"/>
          <w:i/>
        </w:rPr>
        <w:t xml:space="preserve">New York Stock Exchange </w:t>
      </w:r>
      <w:r>
        <w:rPr>
          <w:rFonts w:ascii="Times New Roman" w:hAnsi="Times New Roman" w:cs="Times New Roman"/>
        </w:rPr>
        <w:t xml:space="preserve">(NYSE), da empresa American Express (AMEX) e também do NASDAQ. A partir destas informações foi formado </w:t>
      </w:r>
      <w:r>
        <w:rPr>
          <w:rFonts w:ascii="Times New Roman" w:hAnsi="Times New Roman" w:cs="Times New Roman"/>
        </w:rPr>
        <w:t xml:space="preserve">um quadro de dados onde as empresas foram agrupadas por suas indústrias, tendo a variação do valor de suas ações, em relação ao preço de abertura e fechamento, computados por dia, no período de 2 de janeiro de 2009 </w:t>
      </w:r>
      <w:r w:rsidR="00407DB0">
        <w:rPr>
          <w:rFonts w:ascii="Times New Roman" w:hAnsi="Times New Roman" w:cs="Times New Roman"/>
        </w:rPr>
        <w:t>a</w:t>
      </w:r>
      <w:r>
        <w:rPr>
          <w:rFonts w:ascii="Times New Roman" w:hAnsi="Times New Roman" w:cs="Times New Roman"/>
        </w:rPr>
        <w:t xml:space="preserve"> 31 de março de 2017.</w:t>
      </w:r>
    </w:p>
    <w:p w:rsidR="006D6622" w:rsidRDefault="00A814E6" w:rsidP="00395844">
      <w:pPr>
        <w:spacing w:line="360" w:lineRule="auto"/>
        <w:ind w:firstLine="720"/>
        <w:jc w:val="both"/>
        <w:textAlignment w:val="top"/>
        <w:rPr>
          <w:rFonts w:ascii="Times New Roman" w:hAnsi="Times New Roman" w:cs="Times New Roman"/>
        </w:rPr>
      </w:pPr>
      <w:r>
        <w:rPr>
          <w:rFonts w:ascii="Times New Roman" w:hAnsi="Times New Roman" w:cs="Times New Roman"/>
        </w:rPr>
        <w:t>Utilizando estes d</w:t>
      </w:r>
      <w:r>
        <w:rPr>
          <w:rFonts w:ascii="Times New Roman" w:hAnsi="Times New Roman" w:cs="Times New Roman"/>
        </w:rPr>
        <w:t>ados, foi gerado um conjunto de variáveis aleatórias, onde cada variável representa uma indústria e é formada pelo somatório das flutuações de preço das ações das empresas dentro de cada indústria. Estas variáveis foram consideradas como modelos das flutua</w:t>
      </w:r>
      <w:r>
        <w:rPr>
          <w:rFonts w:ascii="Times New Roman" w:hAnsi="Times New Roman" w:cs="Times New Roman"/>
        </w:rPr>
        <w:t>ções dos valores das ações e foram utilizadas para os cálculos de correlação e estimação da densidade de probabilidade.</w:t>
      </w:r>
    </w:p>
    <w:p w:rsidR="006D6622" w:rsidRDefault="00A814E6" w:rsidP="00395844">
      <w:pPr>
        <w:pStyle w:val="SBCtitle1"/>
      </w:pPr>
      <w:r>
        <w:t>Resultados</w:t>
      </w:r>
    </w:p>
    <w:p w:rsidR="00395844" w:rsidRPr="00395844" w:rsidRDefault="00395844" w:rsidP="00395844">
      <w:pPr>
        <w:pStyle w:val="SBCparagraphfirst"/>
      </w:pPr>
    </w:p>
    <w:p w:rsidR="006D6622" w:rsidRDefault="00A814E6">
      <w:pPr>
        <w:spacing w:line="360" w:lineRule="auto"/>
        <w:ind w:firstLine="720"/>
        <w:jc w:val="both"/>
        <w:textAlignment w:val="top"/>
      </w:pPr>
      <w:r>
        <w:rPr>
          <w:rFonts w:ascii="Times New Roman" w:hAnsi="Times New Roman" w:cs="Times New Roman"/>
        </w:rPr>
        <w:t xml:space="preserve">Com o intuito de observar a distribuição das variáveis foi construído um gráfico de densidade </w:t>
      </w:r>
      <w:r>
        <w:rPr>
          <w:rFonts w:ascii="Times New Roman" w:hAnsi="Times New Roman" w:cs="Times New Roman"/>
        </w:rPr>
        <w:t xml:space="preserve">para cada variável. A </w:t>
      </w:r>
      <w:hyperlink r:id="rId9" w:history="1">
        <w:r w:rsidRPr="00395844">
          <w:rPr>
            <w:rStyle w:val="Hyperlink"/>
            <w:color w:val="auto"/>
            <w:u w:val="none"/>
          </w:rPr>
          <w:t>fig</w:t>
        </w:r>
      </w:hyperlink>
      <w:bookmarkStart w:id="3" w:name="_Hlt486374037"/>
      <w:r w:rsidRPr="00395844">
        <w:fldChar w:fldCharType="begin"/>
      </w:r>
      <w:r w:rsidRPr="00395844">
        <w:instrText xml:space="preserve"> HYPERLINK  "#Figura1" </w:instrText>
      </w:r>
      <w:r w:rsidRPr="00395844">
        <w:fldChar w:fldCharType="separate"/>
      </w:r>
      <w:r w:rsidRPr="00395844">
        <w:rPr>
          <w:rStyle w:val="Hyperlink"/>
          <w:color w:val="auto"/>
          <w:u w:val="none"/>
        </w:rPr>
        <w:t>u</w:t>
      </w:r>
      <w:r w:rsidRPr="00395844">
        <w:rPr>
          <w:rStyle w:val="Hyperlink"/>
          <w:color w:val="auto"/>
          <w:u w:val="none"/>
        </w:rPr>
        <w:fldChar w:fldCharType="end"/>
      </w:r>
      <w:bookmarkEnd w:id="3"/>
      <w:r w:rsidRPr="00395844">
        <w:fldChar w:fldCharType="begin"/>
      </w:r>
      <w:r w:rsidRPr="00395844">
        <w:instrText xml:space="preserve"> HYPERLINK  "#Figura1" </w:instrText>
      </w:r>
      <w:r w:rsidRPr="00395844">
        <w:fldChar w:fldCharType="separate"/>
      </w:r>
      <w:r w:rsidRPr="00395844">
        <w:rPr>
          <w:rStyle w:val="Hyperlink"/>
          <w:color w:val="auto"/>
          <w:u w:val="none"/>
        </w:rPr>
        <w:t>ra 1</w:t>
      </w:r>
      <w:r w:rsidRPr="00395844">
        <w:rPr>
          <w:rStyle w:val="Hyperlink"/>
          <w:color w:val="auto"/>
          <w:u w:val="none"/>
        </w:rPr>
        <w:fldChar w:fldCharType="end"/>
      </w:r>
      <w:r>
        <w:rPr>
          <w:rFonts w:ascii="Times New Roman" w:hAnsi="Times New Roman" w:cs="Times New Roman"/>
        </w:rPr>
        <w:t xml:space="preserve"> mostra o gráfico com todas as densidades de </w:t>
      </w:r>
      <w:r>
        <w:rPr>
          <w:rFonts w:ascii="Times New Roman" w:hAnsi="Times New Roman" w:cs="Times New Roman"/>
        </w:rPr>
        <w:lastRenderedPageBreak/>
        <w:t>probabilidade obtidas para o conjunto. É possível notar que as variáveis apresentam uma distribuição aproximada de uma distribuição gaussiana.</w:t>
      </w:r>
    </w:p>
    <w:p w:rsidR="006D6622" w:rsidRDefault="00A814E6">
      <w:pPr>
        <w:spacing w:line="360" w:lineRule="auto"/>
        <w:jc w:val="center"/>
        <w:textAlignment w:val="top"/>
      </w:pPr>
      <w:r>
        <w:rPr>
          <w:rFonts w:ascii="Times New Roman" w:hAnsi="Times New Roman" w:cs="Times New Roman"/>
          <w:noProof/>
        </w:rPr>
        <w:drawing>
          <wp:inline distT="0" distB="0" distL="0" distR="0">
            <wp:extent cx="5199840" cy="4695120"/>
            <wp:effectExtent l="0" t="0" r="810" b="0"/>
            <wp:docPr id="1" name="Imagem 6" descr="C:\Users\ruteee\Desktop\down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3712" t="7412" b="5646"/>
                    <a:stretch>
                      <a:fillRect/>
                    </a:stretch>
                  </pic:blipFill>
                  <pic:spPr>
                    <a:xfrm>
                      <a:off x="0" y="0"/>
                      <a:ext cx="5199840" cy="4695120"/>
                    </a:xfrm>
                    <a:prstGeom prst="rect">
                      <a:avLst/>
                    </a:prstGeom>
                    <a:noFill/>
                    <a:ln>
                      <a:noFill/>
                      <a:prstDash/>
                    </a:ln>
                  </pic:spPr>
                </pic:pic>
              </a:graphicData>
            </a:graphic>
          </wp:inline>
        </w:drawing>
      </w:r>
    </w:p>
    <w:p w:rsidR="006D6622" w:rsidRDefault="00A814E6">
      <w:pPr>
        <w:spacing w:line="240" w:lineRule="atLeast"/>
        <w:ind w:firstLine="720"/>
        <w:jc w:val="center"/>
        <w:textAlignment w:val="top"/>
      </w:pPr>
      <w:bookmarkStart w:id="4" w:name="Figura1"/>
      <w:r>
        <w:rPr>
          <w:rFonts w:ascii="Times New Roman" w:hAnsi="Times New Roman" w:cs="Times New Roman"/>
          <w:b/>
          <w:sz w:val="20"/>
          <w:szCs w:val="20"/>
        </w:rPr>
        <w:t>Figura 1:</w:t>
      </w:r>
      <w:r>
        <w:rPr>
          <w:rFonts w:ascii="Times New Roman" w:hAnsi="Times New Roman" w:cs="Times New Roman"/>
          <w:sz w:val="20"/>
          <w:szCs w:val="20"/>
        </w:rPr>
        <w:t xml:space="preserve"> Densidade de probabilidade das várias aleatórias</w:t>
      </w:r>
    </w:p>
    <w:p w:rsidR="006D6622" w:rsidRDefault="006D6622">
      <w:pPr>
        <w:spacing w:line="240" w:lineRule="atLeast"/>
        <w:ind w:firstLine="720"/>
        <w:jc w:val="both"/>
        <w:textAlignment w:val="top"/>
        <w:rPr>
          <w:rFonts w:ascii="Times New Roman" w:hAnsi="Times New Roman" w:cs="Times New Roman"/>
        </w:rPr>
      </w:pPr>
    </w:p>
    <w:bookmarkEnd w:id="4"/>
    <w:p w:rsidR="006D6622" w:rsidRDefault="006D6622">
      <w:pPr>
        <w:spacing w:line="240" w:lineRule="atLeast"/>
        <w:jc w:val="both"/>
        <w:textAlignment w:val="top"/>
        <w:rPr>
          <w:rFonts w:ascii="Times New Roman" w:hAnsi="Times New Roman" w:cs="Times New Roman"/>
        </w:rPr>
      </w:pPr>
    </w:p>
    <w:p w:rsidR="006D6622" w:rsidRDefault="00A814E6">
      <w:pPr>
        <w:spacing w:line="360" w:lineRule="auto"/>
        <w:ind w:firstLine="720"/>
        <w:jc w:val="both"/>
        <w:textAlignment w:val="top"/>
      </w:pPr>
      <w:r>
        <w:rPr>
          <w:rFonts w:ascii="Times New Roman" w:hAnsi="Times New Roman" w:cs="Times New Roman"/>
        </w:rPr>
        <w:t>A fim</w:t>
      </w:r>
      <w:r>
        <w:rPr>
          <w:rFonts w:ascii="Times New Roman" w:hAnsi="Times New Roman" w:cs="Times New Roman"/>
        </w:rPr>
        <w:t xml:space="preserve"> de descobrir como as indústrias estavam relacionadas, foi calculada uma matriz de correlação entre as variáveis. Dessa forma, pudemos analisar os efeitos quantitativos das altas e baixas de um setor industrial no mercado de ações; também foi possível anal</w:t>
      </w:r>
      <w:r>
        <w:rPr>
          <w:rFonts w:ascii="Times New Roman" w:hAnsi="Times New Roman" w:cs="Times New Roman"/>
        </w:rPr>
        <w:t>isar as indústrias mais e menos correlacionadas. A</w:t>
      </w:r>
      <w:r w:rsidRPr="00395844">
        <w:rPr>
          <w:rFonts w:ascii="Times New Roman" w:hAnsi="Times New Roman" w:cs="Times New Roman"/>
        </w:rPr>
        <w:t xml:space="preserve"> </w:t>
      </w:r>
      <w:hyperlink w:anchor="Figura2" w:history="1">
        <w:r w:rsidRPr="00395844">
          <w:rPr>
            <w:rStyle w:val="Hyperlink"/>
            <w:rFonts w:ascii="Times New Roman" w:hAnsi="Times New Roman" w:cs="Times New Roman"/>
            <w:color w:val="auto"/>
            <w:u w:val="none"/>
          </w:rPr>
          <w:t>figura 2</w:t>
        </w:r>
      </w:hyperlink>
      <w:r>
        <w:rPr>
          <w:rFonts w:ascii="Times New Roman" w:hAnsi="Times New Roman" w:cs="Times New Roman"/>
        </w:rPr>
        <w:t xml:space="preserve"> mostra a matriz de coeficientes de correlação das variáveis. Os valores variam de </w:t>
      </w:r>
      <w:r>
        <w:rPr>
          <w:rFonts w:ascii="Times New Roman" w:hAnsi="Times New Roman" w:cs="Times New Roman"/>
          <w:b/>
        </w:rPr>
        <w:t>-1 a 1</w:t>
      </w:r>
      <w:r>
        <w:rPr>
          <w:rFonts w:ascii="Times New Roman" w:hAnsi="Times New Roman" w:cs="Times New Roman"/>
        </w:rPr>
        <w:t xml:space="preserve"> e são categorizados por cores, do vermelho, máxima correlação negativa, indicado pelo valor -1, ao azul, co</w:t>
      </w:r>
      <w:r>
        <w:rPr>
          <w:rFonts w:ascii="Times New Roman" w:hAnsi="Times New Roman" w:cs="Times New Roman"/>
        </w:rPr>
        <w:t xml:space="preserve">eficiente de maior correlação positiva, referente ao valor 1. A cor branca ou próxima do branco indica baixa correlação entre as variáveis e é identificada pelo valor 0 para a </w:t>
      </w:r>
      <w:r w:rsidR="00407DB0">
        <w:rPr>
          <w:rFonts w:ascii="Times New Roman" w:hAnsi="Times New Roman" w:cs="Times New Roman"/>
        </w:rPr>
        <w:t>não correlação</w:t>
      </w:r>
      <w:r>
        <w:rPr>
          <w:rFonts w:ascii="Times New Roman" w:hAnsi="Times New Roman" w:cs="Times New Roman"/>
        </w:rPr>
        <w:t>.</w:t>
      </w:r>
    </w:p>
    <w:p w:rsidR="006D6622" w:rsidRDefault="00A814E6" w:rsidP="00395844">
      <w:pPr>
        <w:pStyle w:val="SBCparagraph"/>
        <w:ind w:firstLine="0"/>
        <w:jc w:val="center"/>
      </w:pPr>
      <w:r>
        <w:rPr>
          <w:noProof/>
        </w:rPr>
        <w:lastRenderedPageBreak/>
        <w:drawing>
          <wp:inline distT="0" distB="0" distL="0" distR="0">
            <wp:extent cx="4863600" cy="4217039"/>
            <wp:effectExtent l="0" t="0" r="0" b="0"/>
            <wp:docPr id="2" name="Figura1" descr="C:\Users\ruteee\Desktop\down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t="7418" b="5624"/>
                    <a:stretch>
                      <a:fillRect/>
                    </a:stretch>
                  </pic:blipFill>
                  <pic:spPr>
                    <a:xfrm>
                      <a:off x="0" y="0"/>
                      <a:ext cx="4863600" cy="4217039"/>
                    </a:xfrm>
                    <a:prstGeom prst="rect">
                      <a:avLst/>
                    </a:prstGeom>
                    <a:noFill/>
                    <a:ln>
                      <a:noFill/>
                      <a:prstDash/>
                    </a:ln>
                  </pic:spPr>
                </pic:pic>
              </a:graphicData>
            </a:graphic>
          </wp:inline>
        </w:drawing>
      </w:r>
    </w:p>
    <w:p w:rsidR="006D6622" w:rsidRDefault="00A814E6" w:rsidP="00395844">
      <w:pPr>
        <w:pStyle w:val="SBCparagraph"/>
        <w:spacing w:after="100" w:line="360" w:lineRule="auto"/>
        <w:jc w:val="center"/>
        <w:rPr>
          <w:sz w:val="20"/>
        </w:rPr>
      </w:pPr>
      <w:bookmarkStart w:id="5" w:name="Figura2"/>
      <w:r>
        <w:rPr>
          <w:b/>
          <w:sz w:val="20"/>
        </w:rPr>
        <w:t>Figura 2</w:t>
      </w:r>
      <w:r>
        <w:rPr>
          <w:sz w:val="20"/>
        </w:rPr>
        <w:t>: Matriz de correlação entre as variáveis</w:t>
      </w:r>
    </w:p>
    <w:p w:rsidR="00395844" w:rsidRDefault="00395844" w:rsidP="00395844">
      <w:pPr>
        <w:pStyle w:val="SBCparagraph"/>
        <w:spacing w:after="100" w:line="360" w:lineRule="auto"/>
        <w:jc w:val="center"/>
      </w:pPr>
    </w:p>
    <w:bookmarkEnd w:id="5"/>
    <w:p w:rsidR="006D6622" w:rsidRDefault="00A814E6">
      <w:pPr>
        <w:pStyle w:val="SBCparagraph"/>
        <w:spacing w:line="360" w:lineRule="auto"/>
      </w:pPr>
      <w:r>
        <w:t xml:space="preserve">Nesta </w:t>
      </w:r>
      <w:r>
        <w:t xml:space="preserve">matriz aproximadamente 83% dos coeficientes obtidos foram maiores que </w:t>
      </w:r>
      <w:r>
        <w:rPr>
          <w:i/>
        </w:rPr>
        <w:t>0,5</w:t>
      </w:r>
      <w:r>
        <w:t>. Isso aponta que maioria das indústrias possui um alto grau correlação positiva. Significando que, considerando apenas as flutuações no preço das ações, a maioria das indústrias cres</w:t>
      </w:r>
      <w:r>
        <w:t>ce e decresce conjuntamente. Esta conclusão é ratificada pelo fato de não ter sido encontrada nenhuma correlação negativa. A indústria que obteve a maior média de correlação com as demais foi a de bens de capital (</w:t>
      </w:r>
      <w:r>
        <w:rPr>
          <w:i/>
        </w:rPr>
        <w:t>Capital Goods</w:t>
      </w:r>
      <w:r>
        <w:t>), com o valor de 0,805. Já a</w:t>
      </w:r>
      <w:r>
        <w:t xml:space="preserve"> menos correlacionada foi a de utilidade pública (</w:t>
      </w:r>
      <w:r>
        <w:rPr>
          <w:i/>
        </w:rPr>
        <w:t>Public Utilities</w:t>
      </w:r>
      <w:r>
        <w:t>) obtendo uma média de 0,264.</w:t>
      </w:r>
    </w:p>
    <w:p w:rsidR="006D6622" w:rsidRDefault="006D6622">
      <w:pPr>
        <w:pStyle w:val="SBCparagraph"/>
      </w:pPr>
    </w:p>
    <w:p w:rsidR="006D6622" w:rsidRDefault="00A814E6">
      <w:pPr>
        <w:pStyle w:val="SBCparagraph"/>
        <w:ind w:firstLine="0"/>
        <w:rPr>
          <w:b/>
          <w:sz w:val="26"/>
          <w:szCs w:val="26"/>
        </w:rPr>
      </w:pPr>
      <w:r>
        <w:rPr>
          <w:b/>
          <w:sz w:val="26"/>
          <w:szCs w:val="26"/>
        </w:rPr>
        <w:t>Conclusão</w:t>
      </w:r>
    </w:p>
    <w:p w:rsidR="006D6622" w:rsidRDefault="006D6622">
      <w:pPr>
        <w:pStyle w:val="SBCparagraph"/>
        <w:ind w:firstLine="0"/>
        <w:rPr>
          <w:b/>
          <w:sz w:val="26"/>
          <w:szCs w:val="26"/>
        </w:rPr>
      </w:pPr>
    </w:p>
    <w:p w:rsidR="006D6622" w:rsidRDefault="00A814E6">
      <w:pPr>
        <w:pStyle w:val="Standard"/>
        <w:spacing w:line="360" w:lineRule="auto"/>
        <w:jc w:val="both"/>
        <w:rPr>
          <w:rFonts w:ascii="Times New Roman" w:hAnsi="Times New Roman"/>
        </w:rPr>
      </w:pPr>
      <w:r>
        <w:rPr>
          <w:rFonts w:ascii="Times New Roman" w:hAnsi="Times New Roman"/>
        </w:rPr>
        <w:t>Os dados obtidos mostram que todas as indústrias apresentam a correlação positiva indicando que o mercado de ações, de maneira geral, apresenta um c</w:t>
      </w:r>
      <w:r>
        <w:rPr>
          <w:rFonts w:ascii="Times New Roman" w:hAnsi="Times New Roman"/>
        </w:rPr>
        <w:t xml:space="preserve">rescimento ou decrescimento de valor das ações conjuntamente. A indústria de utilidade pública </w:t>
      </w:r>
      <w:r>
        <w:rPr>
          <w:rFonts w:ascii="Times New Roman" w:hAnsi="Times New Roman"/>
        </w:rPr>
        <w:lastRenderedPageBreak/>
        <w:t>apresenta menor correlação com as demais, indicando que as variações no mercado são sentidas de maneira diferente nesta indústria. Esse resultado causa certa est</w:t>
      </w:r>
      <w:r>
        <w:rPr>
          <w:rFonts w:ascii="Times New Roman" w:hAnsi="Times New Roman"/>
        </w:rPr>
        <w:t>ranheza, imagina-se que os investimentos migrariam de uma indústria para outra sempre visando lucros. Este resultado não é conclusivo sobre o fluxo de investimentos ou lucro e prejuízo das empresas, trazendo conhecimento sobre a valorização e desvalorizaçã</w:t>
      </w:r>
      <w:r>
        <w:rPr>
          <w:rFonts w:ascii="Times New Roman" w:hAnsi="Times New Roman"/>
        </w:rPr>
        <w:t>o das indústrias.</w:t>
      </w:r>
    </w:p>
    <w:p w:rsidR="006D6622" w:rsidRDefault="00A814E6">
      <w:pPr>
        <w:pStyle w:val="Standard"/>
        <w:spacing w:line="360" w:lineRule="auto"/>
        <w:jc w:val="both"/>
        <w:rPr>
          <w:rFonts w:ascii="Times New Roman" w:hAnsi="Times New Roman"/>
        </w:rPr>
      </w:pPr>
      <w:r>
        <w:rPr>
          <w:rFonts w:ascii="Times New Roman" w:hAnsi="Times New Roman"/>
        </w:rPr>
        <w:tab/>
        <w:t>Com os resultados obtidos faz sentido pensar em montantes movimentados por dias em cada indústria e analisar correlação entre esses valores. Isso possibilitaria analisar quais indústrias tem movimentação de ações em relação a outras. Tam</w:t>
      </w:r>
      <w:r>
        <w:rPr>
          <w:rFonts w:ascii="Times New Roman" w:hAnsi="Times New Roman"/>
        </w:rPr>
        <w:t>bém seria possível analisar o comportamento por período de tempo, assim seria possível analisar quais dias da semana ou trimestre tem maior valorização das indústrias.</w:t>
      </w:r>
    </w:p>
    <w:p w:rsidR="006D6622" w:rsidRDefault="00A814E6">
      <w:pPr>
        <w:pStyle w:val="SBCtitle1"/>
      </w:pPr>
      <w:r>
        <w:t>Referencias</w:t>
      </w:r>
      <w:bookmarkEnd w:id="0"/>
      <w:bookmarkEnd w:id="1"/>
    </w:p>
    <w:p w:rsidR="006D6622" w:rsidRPr="00395844" w:rsidRDefault="00A814E6">
      <w:pPr>
        <w:pStyle w:val="SBCreference"/>
        <w:rPr>
          <w:lang w:val="en-US"/>
        </w:rPr>
      </w:pPr>
      <w:r>
        <w:rPr>
          <w:rFonts w:ascii="Times New Roman" w:hAnsi="Times New Roman"/>
          <w:szCs w:val="24"/>
          <w:lang w:val="en-US"/>
        </w:rPr>
        <w:t xml:space="preserve">Papoulis, A. (2001), </w:t>
      </w:r>
      <w:r w:rsidRPr="00395844">
        <w:rPr>
          <w:rFonts w:ascii="Times New Roman" w:hAnsi="Times New Roman"/>
          <w:b/>
          <w:bCs/>
          <w:color w:val="333333"/>
          <w:szCs w:val="24"/>
          <w:lang w:val="en-US"/>
        </w:rPr>
        <w:t>Probability, random variables, and stochastic processes</w:t>
      </w:r>
      <w:r>
        <w:rPr>
          <w:rFonts w:ascii="Times New Roman" w:hAnsi="Times New Roman"/>
          <w:szCs w:val="24"/>
          <w:lang w:val="en-US"/>
        </w:rPr>
        <w:t xml:space="preserve">, </w:t>
      </w:r>
      <w:r>
        <w:rPr>
          <w:rFonts w:ascii="Times New Roman" w:hAnsi="Times New Roman"/>
          <w:color w:val="333333"/>
          <w:szCs w:val="24"/>
          <w:lang w:val="en-US"/>
        </w:rPr>
        <w:t>McGraw-Hill</w:t>
      </w:r>
      <w:r>
        <w:rPr>
          <w:rFonts w:ascii="Times New Roman" w:hAnsi="Times New Roman"/>
          <w:szCs w:val="24"/>
          <w:lang w:val="en-US"/>
        </w:rPr>
        <w:t>, 4ª edição.</w:t>
      </w:r>
    </w:p>
    <w:p w:rsidR="006D6622" w:rsidRDefault="00A814E6">
      <w:pPr>
        <w:pStyle w:val="SBCreference"/>
        <w:rPr>
          <w:b/>
          <w:bCs/>
        </w:rPr>
      </w:pPr>
      <w:r>
        <w:rPr>
          <w:b/>
          <w:bCs/>
        </w:rPr>
        <w:t>Economics and finance</w:t>
      </w:r>
      <w:r>
        <w:t xml:space="preserve">, Disponível em: </w:t>
      </w:r>
      <w:hyperlink r:id="rId12" w:history="1">
        <w:r>
          <w:t>https://www.khanacademy.org/economics-finance-domain/</w:t>
        </w:r>
      </w:hyperlink>
      <w:r>
        <w:t>, Acessado em: 28/06/2017.</w:t>
      </w:r>
    </w:p>
    <w:p w:rsidR="006D6622" w:rsidRDefault="00A814E6">
      <w:pPr>
        <w:pStyle w:val="SBCreference"/>
        <w:rPr>
          <w:b/>
          <w:bCs/>
        </w:rPr>
      </w:pPr>
      <w:r>
        <w:rPr>
          <w:b/>
          <w:bCs/>
        </w:rPr>
        <w:t>Investopedia Univeristy</w:t>
      </w:r>
      <w:r>
        <w:t xml:space="preserve">, Disponível em: </w:t>
      </w:r>
      <w:hyperlink r:id="rId13" w:history="1">
        <w:r>
          <w:t>http://www.investopedia.com/university/</w:t>
        </w:r>
      </w:hyperlink>
      <w:r>
        <w:t>, Acessado em: 28/06/2017.</w:t>
      </w:r>
    </w:p>
    <w:p w:rsidR="006D6622" w:rsidRDefault="00A814E6">
      <w:pPr>
        <w:pStyle w:val="SBCreference"/>
        <w:rPr>
          <w:b/>
          <w:bCs/>
        </w:rPr>
      </w:pPr>
      <w:r>
        <w:rPr>
          <w:b/>
          <w:bCs/>
        </w:rPr>
        <w:t>pystock-data</w:t>
      </w:r>
      <w:r>
        <w:t xml:space="preserve">, Disponível em: </w:t>
      </w:r>
      <w:hyperlink r:id="rId14" w:history="1">
        <w:r>
          <w:t>https://github.com/eliangcs/pystock-data</w:t>
        </w:r>
      </w:hyperlink>
      <w:r>
        <w:t>, Acess</w:t>
      </w:r>
      <w:r>
        <w:t>ado em: 28/06/2017</w:t>
      </w:r>
    </w:p>
    <w:sectPr w:rsidR="006D6622">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4E6" w:rsidRDefault="00A814E6">
      <w:r>
        <w:separator/>
      </w:r>
    </w:p>
  </w:endnote>
  <w:endnote w:type="continuationSeparator" w:id="0">
    <w:p w:rsidR="00A814E6" w:rsidRDefault="00A8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TimesNewRoman, Bold">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4E6" w:rsidRDefault="00A814E6">
      <w:r>
        <w:rPr>
          <w:color w:val="000000"/>
        </w:rPr>
        <w:separator/>
      </w:r>
    </w:p>
  </w:footnote>
  <w:footnote w:type="continuationSeparator" w:id="0">
    <w:p w:rsidR="00A814E6" w:rsidRDefault="00A81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A7F"/>
    <w:multiLevelType w:val="multilevel"/>
    <w:tmpl w:val="C0087BA6"/>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abstractNum w:abstractNumId="1">
    <w:nsid w:val="13530024"/>
    <w:multiLevelType w:val="multilevel"/>
    <w:tmpl w:val="0A420202"/>
    <w:styleLink w:val="WWOutlineListStyle1"/>
    <w:lvl w:ilvl="0">
      <w:start w:val="1"/>
      <w:numFmt w:val="decimal"/>
      <w:lvlText w:val="%1."/>
      <w:lvlJc w:val="left"/>
      <w:pPr>
        <w:ind w:left="425" w:hanging="425"/>
      </w:pPr>
    </w:lvl>
    <w:lvl w:ilvl="1">
      <w:start w:val="1"/>
      <w:numFmt w:val="decimal"/>
      <w:lvlText w:val="%1.%2."/>
      <w:lvlJc w:val="left"/>
      <w:pPr>
        <w:ind w:left="567" w:hanging="567"/>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9FB6706"/>
    <w:multiLevelType w:val="multilevel"/>
    <w:tmpl w:val="3022E46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3">
    <w:nsid w:val="3BC93FA4"/>
    <w:multiLevelType w:val="multilevel"/>
    <w:tmpl w:val="73C4BF1C"/>
    <w:styleLink w:val="WWOutlineList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2F31EF7"/>
    <w:multiLevelType w:val="multilevel"/>
    <w:tmpl w:val="52480AA2"/>
    <w:styleLink w:val="WWOutlineListStyle2"/>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6D6622"/>
    <w:rsid w:val="000C4420"/>
    <w:rsid w:val="00395844"/>
    <w:rsid w:val="00407DB0"/>
    <w:rsid w:val="006D6622"/>
    <w:rsid w:val="009706E9"/>
    <w:rsid w:val="00A814E6"/>
    <w:rsid w:val="00C524E8"/>
    <w:rsid w:val="00CE15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kern w:val="3"/>
        <w:sz w:val="24"/>
        <w:szCs w:val="24"/>
        <w:lang w:val="pt-BR" w:eastAsia="pt-B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Standard"/>
    <w:next w:val="SBCparagraph"/>
    <w:pPr>
      <w:keepNext/>
      <w:widowControl/>
      <w:spacing w:before="360"/>
      <w:outlineLvl w:val="0"/>
    </w:pPr>
    <w:rPr>
      <w:b/>
      <w:smallCaps/>
      <w:sz w:val="28"/>
    </w:rPr>
  </w:style>
  <w:style w:type="paragraph" w:styleId="Ttulo2">
    <w:name w:val="heading 2"/>
    <w:basedOn w:val="Ttulo1"/>
    <w:next w:val="SBCparagraph"/>
    <w:pPr>
      <w:spacing w:before="240"/>
      <w:outlineLvl w:val="1"/>
    </w:pPr>
    <w:rPr>
      <w:sz w:val="26"/>
    </w:rPr>
  </w:style>
  <w:style w:type="paragraph" w:styleId="Ttulo3">
    <w:name w:val="heading 3"/>
    <w:basedOn w:val="Standard"/>
    <w:next w:val="SBCparagraph"/>
    <w:pPr>
      <w:keepNext/>
      <w:spacing w:before="240"/>
      <w:outlineLvl w:val="2"/>
    </w:pPr>
    <w:rPr>
      <w:b/>
    </w:rPr>
  </w:style>
  <w:style w:type="paragraph" w:styleId="Ttulo4">
    <w:name w:val="heading 4"/>
    <w:basedOn w:val="Standard"/>
    <w:next w:val="SBCparagraph"/>
    <w:pPr>
      <w:keepNext/>
      <w:jc w:val="both"/>
      <w:outlineLvl w:val="3"/>
    </w:pPr>
    <w:rPr>
      <w:i/>
    </w:rPr>
  </w:style>
  <w:style w:type="paragraph" w:styleId="Ttulo5">
    <w:name w:val="heading 5"/>
    <w:basedOn w:val="Standard"/>
    <w:next w:val="SBCparagraph"/>
    <w:pPr>
      <w:keepNext/>
      <w:outlineLvl w:val="4"/>
    </w:pPr>
    <w:rPr>
      <w:rFonts w:ascii="TimesNewRoman, Bold" w:hAnsi="TimesNewRoman, Bold"/>
      <w:b/>
      <w:color w:val="000000"/>
    </w:rPr>
  </w:style>
  <w:style w:type="paragraph" w:styleId="Ttulo6">
    <w:name w:val="heading 6"/>
    <w:basedOn w:val="Standard"/>
    <w:next w:val="SBCparagraph"/>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2">
    <w:name w:val="WW_OutlineListStyle_2"/>
    <w:basedOn w:val="Semlista"/>
    <w:pPr>
      <w:numPr>
        <w:numId w:val="1"/>
      </w:numPr>
    </w:pPr>
  </w:style>
  <w:style w:type="paragraph" w:customStyle="1" w:styleId="Standard">
    <w:name w:val="Standard"/>
    <w:pPr>
      <w:suppressAutoHyphens/>
    </w:pPr>
    <w:rPr>
      <w:rFonts w:ascii="Times" w:eastAsia="Times New Roman" w:hAnsi="Times" w:cs="Times New Roman"/>
      <w:szCs w:val="20"/>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Heading">
    <w:name w:val="Heading"/>
    <w:basedOn w:val="Standard"/>
    <w:next w:val="SBCauthors"/>
    <w:pPr>
      <w:spacing w:after="227"/>
      <w:jc w:val="center"/>
    </w:pPr>
    <w:rPr>
      <w:b/>
      <w:smallCaps/>
      <w:sz w:val="36"/>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Subttulo">
    <w:name w:val="Subtitle"/>
    <w:basedOn w:val="Heading"/>
    <w:next w:val="Textbody"/>
    <w:rPr>
      <w:i/>
      <w:iCs/>
      <w:sz w:val="28"/>
      <w:szCs w:val="28"/>
    </w:rPr>
  </w:style>
  <w:style w:type="paragraph" w:customStyle="1" w:styleId="Heading10">
    <w:name w:val="Heading 10"/>
    <w:basedOn w:val="Heading"/>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4"/>
      </w:numPr>
      <w:tabs>
        <w:tab w:val="left" w:pos="143"/>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5"/>
      </w:numPr>
      <w:tabs>
        <w:tab w:val="left" w:pos="-2268"/>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paragraph" w:styleId="Textodebalo">
    <w:name w:val="Balloon Text"/>
    <w:basedOn w:val="Normal"/>
    <w:rPr>
      <w:rFonts w:ascii="Tahoma" w:hAnsi="Tahoma" w:cs="Tahoma"/>
      <w:sz w:val="16"/>
      <w:szCs w:val="16"/>
    </w:r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tl8wme">
    <w:name w:val="tl8wme"/>
    <w:basedOn w:val="Fontepargpadro"/>
  </w:style>
  <w:style w:type="character" w:styleId="nfase">
    <w:name w:val="Emphasis"/>
    <w:basedOn w:val="Fontepargpadro"/>
    <w:rPr>
      <w:i/>
      <w:iCs/>
    </w:rPr>
  </w:style>
  <w:style w:type="character" w:customStyle="1" w:styleId="apple-converted-space">
    <w:name w:val="apple-converted-space"/>
    <w:basedOn w:val="Fontepargpadro"/>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character" w:styleId="Refdenotaderodap">
    <w:name w:val="footnote reference"/>
    <w:basedOn w:val="Fontepargpadro"/>
    <w:rPr>
      <w:position w:val="0"/>
      <w:vertAlign w:val="superscript"/>
    </w:rPr>
  </w:style>
  <w:style w:type="character" w:customStyle="1" w:styleId="TextodebaloChar">
    <w:name w:val="Texto de balão Char"/>
    <w:basedOn w:val="Fontepargpadro"/>
    <w:rPr>
      <w:rFonts w:ascii="Tahoma" w:hAnsi="Tahoma" w:cs="Tahoma"/>
      <w:sz w:val="16"/>
      <w:szCs w:val="16"/>
    </w:rPr>
  </w:style>
  <w:style w:type="character" w:customStyle="1" w:styleId="StrongEmphasis">
    <w:name w:val="Strong Emphasis"/>
    <w:rPr>
      <w:b/>
      <w:bCs/>
    </w:rPr>
  </w:style>
  <w:style w:type="numbering" w:customStyle="1" w:styleId="WWOutlineListStyle1">
    <w:name w:val="WW_OutlineListStyle_1"/>
    <w:basedOn w:val="Semlista"/>
    <w:pPr>
      <w:numPr>
        <w:numId w:val="2"/>
      </w:numPr>
    </w:pPr>
  </w:style>
  <w:style w:type="numbering" w:customStyle="1" w:styleId="WWOutlineListStyle">
    <w:name w:val="WW_OutlineListStyle"/>
    <w:basedOn w:val="Semlista"/>
    <w:pPr>
      <w:numPr>
        <w:numId w:val="3"/>
      </w:numPr>
    </w:pPr>
  </w:style>
  <w:style w:type="numbering" w:customStyle="1" w:styleId="SBCnumberlist">
    <w:name w:val="SBC:number:list"/>
    <w:basedOn w:val="Semlista"/>
    <w:pPr>
      <w:numPr>
        <w:numId w:val="4"/>
      </w:numPr>
    </w:pPr>
  </w:style>
  <w:style w:type="numbering" w:customStyle="1" w:styleId="SBCnumberlistnumbered">
    <w:name w:val="SBC:number:list:numbered"/>
    <w:basedOn w:val="Semlista"/>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kern w:val="3"/>
        <w:sz w:val="24"/>
        <w:szCs w:val="24"/>
        <w:lang w:val="pt-BR" w:eastAsia="pt-B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Standard"/>
    <w:next w:val="SBCparagraph"/>
    <w:pPr>
      <w:keepNext/>
      <w:widowControl/>
      <w:spacing w:before="360"/>
      <w:outlineLvl w:val="0"/>
    </w:pPr>
    <w:rPr>
      <w:b/>
      <w:smallCaps/>
      <w:sz w:val="28"/>
    </w:rPr>
  </w:style>
  <w:style w:type="paragraph" w:styleId="Ttulo2">
    <w:name w:val="heading 2"/>
    <w:basedOn w:val="Ttulo1"/>
    <w:next w:val="SBCparagraph"/>
    <w:pPr>
      <w:spacing w:before="240"/>
      <w:outlineLvl w:val="1"/>
    </w:pPr>
    <w:rPr>
      <w:sz w:val="26"/>
    </w:rPr>
  </w:style>
  <w:style w:type="paragraph" w:styleId="Ttulo3">
    <w:name w:val="heading 3"/>
    <w:basedOn w:val="Standard"/>
    <w:next w:val="SBCparagraph"/>
    <w:pPr>
      <w:keepNext/>
      <w:spacing w:before="240"/>
      <w:outlineLvl w:val="2"/>
    </w:pPr>
    <w:rPr>
      <w:b/>
    </w:rPr>
  </w:style>
  <w:style w:type="paragraph" w:styleId="Ttulo4">
    <w:name w:val="heading 4"/>
    <w:basedOn w:val="Standard"/>
    <w:next w:val="SBCparagraph"/>
    <w:pPr>
      <w:keepNext/>
      <w:jc w:val="both"/>
      <w:outlineLvl w:val="3"/>
    </w:pPr>
    <w:rPr>
      <w:i/>
    </w:rPr>
  </w:style>
  <w:style w:type="paragraph" w:styleId="Ttulo5">
    <w:name w:val="heading 5"/>
    <w:basedOn w:val="Standard"/>
    <w:next w:val="SBCparagraph"/>
    <w:pPr>
      <w:keepNext/>
      <w:outlineLvl w:val="4"/>
    </w:pPr>
    <w:rPr>
      <w:rFonts w:ascii="TimesNewRoman, Bold" w:hAnsi="TimesNewRoman, Bold"/>
      <w:b/>
      <w:color w:val="000000"/>
    </w:rPr>
  </w:style>
  <w:style w:type="paragraph" w:styleId="Ttulo6">
    <w:name w:val="heading 6"/>
    <w:basedOn w:val="Standard"/>
    <w:next w:val="SBCparagraph"/>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2">
    <w:name w:val="WW_OutlineListStyle_2"/>
    <w:basedOn w:val="Semlista"/>
    <w:pPr>
      <w:numPr>
        <w:numId w:val="1"/>
      </w:numPr>
    </w:pPr>
  </w:style>
  <w:style w:type="paragraph" w:customStyle="1" w:styleId="Standard">
    <w:name w:val="Standard"/>
    <w:pPr>
      <w:suppressAutoHyphens/>
    </w:pPr>
    <w:rPr>
      <w:rFonts w:ascii="Times" w:eastAsia="Times New Roman" w:hAnsi="Times" w:cs="Times New Roman"/>
      <w:szCs w:val="20"/>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Heading">
    <w:name w:val="Heading"/>
    <w:basedOn w:val="Standard"/>
    <w:next w:val="SBCauthors"/>
    <w:pPr>
      <w:spacing w:after="227"/>
      <w:jc w:val="center"/>
    </w:pPr>
    <w:rPr>
      <w:b/>
      <w:smallCaps/>
      <w:sz w:val="36"/>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Subttulo">
    <w:name w:val="Subtitle"/>
    <w:basedOn w:val="Heading"/>
    <w:next w:val="Textbody"/>
    <w:rPr>
      <w:i/>
      <w:iCs/>
      <w:sz w:val="28"/>
      <w:szCs w:val="28"/>
    </w:rPr>
  </w:style>
  <w:style w:type="paragraph" w:customStyle="1" w:styleId="Heading10">
    <w:name w:val="Heading 10"/>
    <w:basedOn w:val="Heading"/>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4"/>
      </w:numPr>
      <w:tabs>
        <w:tab w:val="left" w:pos="143"/>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5"/>
      </w:numPr>
      <w:tabs>
        <w:tab w:val="left" w:pos="-2268"/>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paragraph" w:styleId="Textodebalo">
    <w:name w:val="Balloon Text"/>
    <w:basedOn w:val="Normal"/>
    <w:rPr>
      <w:rFonts w:ascii="Tahoma" w:hAnsi="Tahoma" w:cs="Tahoma"/>
      <w:sz w:val="16"/>
      <w:szCs w:val="16"/>
    </w:r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tl8wme">
    <w:name w:val="tl8wme"/>
    <w:basedOn w:val="Fontepargpadro"/>
  </w:style>
  <w:style w:type="character" w:styleId="nfase">
    <w:name w:val="Emphasis"/>
    <w:basedOn w:val="Fontepargpadro"/>
    <w:rPr>
      <w:i/>
      <w:iCs/>
    </w:rPr>
  </w:style>
  <w:style w:type="character" w:customStyle="1" w:styleId="apple-converted-space">
    <w:name w:val="apple-converted-space"/>
    <w:basedOn w:val="Fontepargpadro"/>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character" w:styleId="Refdenotaderodap">
    <w:name w:val="footnote reference"/>
    <w:basedOn w:val="Fontepargpadro"/>
    <w:rPr>
      <w:position w:val="0"/>
      <w:vertAlign w:val="superscript"/>
    </w:rPr>
  </w:style>
  <w:style w:type="character" w:customStyle="1" w:styleId="TextodebaloChar">
    <w:name w:val="Texto de balão Char"/>
    <w:basedOn w:val="Fontepargpadro"/>
    <w:rPr>
      <w:rFonts w:ascii="Tahoma" w:hAnsi="Tahoma" w:cs="Tahoma"/>
      <w:sz w:val="16"/>
      <w:szCs w:val="16"/>
    </w:rPr>
  </w:style>
  <w:style w:type="character" w:customStyle="1" w:styleId="StrongEmphasis">
    <w:name w:val="Strong Emphasis"/>
    <w:rPr>
      <w:b/>
      <w:bCs/>
    </w:rPr>
  </w:style>
  <w:style w:type="numbering" w:customStyle="1" w:styleId="WWOutlineListStyle1">
    <w:name w:val="WW_OutlineListStyle_1"/>
    <w:basedOn w:val="Semlista"/>
    <w:pPr>
      <w:numPr>
        <w:numId w:val="2"/>
      </w:numPr>
    </w:pPr>
  </w:style>
  <w:style w:type="numbering" w:customStyle="1" w:styleId="WWOutlineListStyle">
    <w:name w:val="WW_OutlineListStyle"/>
    <w:basedOn w:val="Semlista"/>
    <w:pPr>
      <w:numPr>
        <w:numId w:val="3"/>
      </w:numPr>
    </w:pPr>
  </w:style>
  <w:style w:type="numbering" w:customStyle="1" w:styleId="SBCnumberlist">
    <w:name w:val="SBC:number:list"/>
    <w:basedOn w:val="Semlista"/>
    <w:pPr>
      <w:numPr>
        <w:numId w:val="4"/>
      </w:numPr>
    </w:pPr>
  </w:style>
  <w:style w:type="numbering" w:customStyle="1" w:styleId="SBCnumberlistnumbered">
    <w:name w:val="SBC:number:list:numbered"/>
    <w:basedOn w:val="Sem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ute.s.abreu@gmail.com" TargetMode="External"/><Relationship Id="rId13" Type="http://schemas.openxmlformats.org/officeDocument/2006/relationships/hyperlink" Target="http://www.investopedia.com/universit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hanacademy.org/economics-finance-dom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gura1" TargetMode="External"/><Relationship Id="rId14" Type="http://schemas.openxmlformats.org/officeDocument/2006/relationships/hyperlink" Target="https://github.com/eliangcs/pystock-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5</Pages>
  <Words>1167</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ruteee</dc:creator>
  <cp:lastModifiedBy>ruteee</cp:lastModifiedBy>
  <cp:revision>5</cp:revision>
  <cp:lastPrinted>2017-06-29T14:35:00Z</cp:lastPrinted>
  <dcterms:created xsi:type="dcterms:W3CDTF">2010-08-03T10:11:00Z</dcterms:created>
  <dcterms:modified xsi:type="dcterms:W3CDTF">2017-06-29T14:38:00Z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