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4" w:firstLine="0"/>
        <w:jc w:val="center"/>
        <w:rPr>
          <w:rFonts w:ascii="Times New Roman" w:hAnsi="Times New Roman" w:cs="Times New Roman" w:eastAsia="Times New Roman"/>
          <w:color w:val="000000"/>
          <w:spacing w:val="0"/>
          <w:position w:val="0"/>
          <w:sz w:val="24"/>
          <w:shd w:fill="auto" w:val="clear"/>
        </w:rPr>
      </w:pPr>
      <w:r>
        <w:object w:dxaOrig="2479" w:dyaOrig="714">
          <v:rect xmlns:o="urn:schemas-microsoft-com:office:office" xmlns:v="urn:schemas-microsoft-com:vml" id="rectole0000000000" style="width:123.950000pt;height:3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1627" w:dyaOrig="446">
          <v:rect xmlns:o="urn:schemas-microsoft-com:office:office" xmlns:v="urn:schemas-microsoft-com:vml" id="rectole0000000001" style="width:81.350000pt;height:22.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000000"/>
          <w:spacing w:val="0"/>
          <w:position w:val="0"/>
          <w:sz w:val="28"/>
          <w:shd w:fill="auto" w:val="clear"/>
        </w:rPr>
        <w:t xml:space="preserve">Project Initialization and Planning Phase</w:t>
      </w:r>
    </w:p>
    <w:tbl>
      <w:tblPr>
        <w:tblInd w:w="10" w:type="dxa"/>
      </w:tblPr>
      <w:tblGrid>
        <w:gridCol w:w="4500"/>
        <w:gridCol w:w="4520"/>
      </w:tblGrid>
      <w:tr>
        <w:trPr>
          <w:trHeight w:val="500" w:hRule="auto"/>
          <w:jc w:val="left"/>
        </w:trPr>
        <w:tc>
          <w:tcPr>
            <w:tcW w:w="450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15"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w:t>
            </w:r>
          </w:p>
        </w:tc>
        <w:tc>
          <w:tcPr>
            <w:tcW w:w="452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3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15 June 2024</w:t>
            </w:r>
          </w:p>
        </w:tc>
      </w:tr>
      <w:tr>
        <w:trPr>
          <w:trHeight w:val="500" w:hRule="auto"/>
          <w:jc w:val="left"/>
        </w:trPr>
        <w:tc>
          <w:tcPr>
            <w:tcW w:w="450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w:t>
            </w:r>
          </w:p>
        </w:tc>
        <w:tc>
          <w:tcPr>
            <w:tcW w:w="452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3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739841</w:t>
            </w:r>
          </w:p>
        </w:tc>
      </w:tr>
      <w:tr>
        <w:trPr>
          <w:trHeight w:val="780" w:hRule="auto"/>
          <w:jc w:val="left"/>
        </w:trPr>
        <w:tc>
          <w:tcPr>
            <w:tcW w:w="450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top"/>
          </w:tcPr>
          <w:p>
            <w:pPr>
              <w:spacing w:before="0" w:after="0" w:line="259"/>
              <w:ind w:right="0" w:left="15"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Name</w:t>
            </w:r>
          </w:p>
        </w:tc>
        <w:tc>
          <w:tcPr>
            <w:tcW w:w="452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Income Activities Using Machine Learning</w:t>
            </w:r>
          </w:p>
        </w:tc>
      </w:tr>
      <w:tr>
        <w:trPr>
          <w:trHeight w:val="500" w:hRule="auto"/>
          <w:jc w:val="left"/>
        </w:trPr>
        <w:tc>
          <w:tcPr>
            <w:tcW w:w="450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15"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w:t>
            </w:r>
          </w:p>
        </w:tc>
        <w:tc>
          <w:tcPr>
            <w:tcW w:w="4520" w:type="dxa"/>
            <w:tcBorders>
              <w:top w:val="single" w:color="000000" w:sz="8"/>
              <w:left w:val="single" w:color="000000" w:sz="8"/>
              <w:bottom w:val="single" w:color="000000" w:sz="8"/>
              <w:right w:val="single" w:color="000000" w:sz="8"/>
            </w:tcBorders>
            <w:shd w:color="000000" w:fill="ffffff" w:val="clear"/>
            <w:tcMar>
              <w:left w:w="164" w:type="dxa"/>
              <w:right w:w="164" w:type="dxa"/>
            </w:tcMar>
            <w:vAlign w:val="center"/>
          </w:tcPr>
          <w:p>
            <w:pPr>
              <w:spacing w:before="0" w:after="0" w:line="259"/>
              <w:ind w:right="0" w:left="15"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 Marks</w:t>
            </w:r>
          </w:p>
        </w:tc>
      </w:tr>
    </w:tbl>
    <w:p>
      <w:pPr>
        <w:spacing w:before="0" w:after="149" w:line="259"/>
        <w:ind w:right="0" w:left="15" w:firstLine="0"/>
        <w:jc w:val="left"/>
        <w:rPr>
          <w:rFonts w:ascii="Times New Roman" w:hAnsi="Times New Roman" w:cs="Times New Roman" w:eastAsia="Times New Roman"/>
          <w:b/>
          <w:color w:val="000000"/>
          <w:spacing w:val="0"/>
          <w:position w:val="0"/>
          <w:sz w:val="24"/>
          <w:shd w:fill="auto" w:val="clear"/>
        </w:rPr>
      </w:pPr>
    </w:p>
    <w:p>
      <w:pPr>
        <w:spacing w:before="0" w:after="149" w:line="259"/>
        <w:ind w:right="0" w:left="15" w:firstLine="0"/>
        <w:jc w:val="left"/>
        <w:rPr>
          <w:rFonts w:ascii="Times New Roman" w:hAnsi="Times New Roman" w:cs="Times New Roman" w:eastAsia="Times New Roman"/>
          <w:b/>
          <w:color w:val="000000"/>
          <w:spacing w:val="0"/>
          <w:position w:val="0"/>
          <w:sz w:val="24"/>
          <w:shd w:fill="auto" w:val="clear"/>
        </w:rPr>
      </w:pPr>
    </w:p>
    <w:p>
      <w:pPr>
        <w:spacing w:before="0" w:after="149" w:line="259"/>
        <w:ind w:right="0" w:left="15"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Define Problem Statements (Customer Problem Statement and Planning Phase)</w:t>
      </w:r>
    </w:p>
    <w:p>
      <w:pPr>
        <w:spacing w:before="0" w:after="149" w:line="259"/>
        <w:ind w:right="0" w:left="15" w:firstLine="0"/>
        <w:jc w:val="left"/>
        <w:rPr>
          <w:rFonts w:ascii="Times New Roman" w:hAnsi="Times New Roman" w:cs="Times New Roman" w:eastAsia="Times New Roman"/>
          <w:color w:val="000000"/>
          <w:spacing w:val="0"/>
          <w:position w:val="0"/>
          <w:sz w:val="24"/>
          <w:shd w:fill="auto" w:val="clear"/>
        </w:rPr>
      </w:pPr>
    </w:p>
    <w:p>
      <w:pPr>
        <w:spacing w:before="0" w:after="149" w:line="259"/>
        <w:ind w:right="0" w:left="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reliable and fulfilling employment opportunities that align with one's skills and interests is a significant challenge. Additionally, many underserved communities lack access to financial resources and education, hindering their economic stability. The gender pay gap remains a persistent issue, with women often receiving lower compensation for equal work. The traditional 9-to-5 work schedule can be inflexible, making it difficult to balance work and personal life. The job search process is often inefficient, with candidates struggling to find relevant openings. Furthermore, many workers lack the skills needed for in-demand jobs in emerging industries. Entrepreneurship and small business development are often limited in underserved communities, stifling local economic growth. Finally, financial literacy and planning resources are often inadequate, leaving individuals ill-equipped to make informed decisions about their income and savings. Addressing these challenges is crucial for promoting economic stability, equality, and prosperity.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