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63827" w14:textId="4E385A1A" w:rsidR="004D59FA" w:rsidRPr="00516A04" w:rsidRDefault="00016BD6" w:rsidP="00016BD6">
      <w:pPr>
        <w:rPr>
          <w:rFonts w:asciiTheme="majorBidi" w:hAnsiTheme="majorBidi" w:cstheme="majorBidi"/>
        </w:rPr>
      </w:pPr>
      <w:r w:rsidRPr="00516A04">
        <w:rPr>
          <w:rFonts w:asciiTheme="majorBidi" w:hAnsiTheme="majorBidi" w:cstheme="majorBidi"/>
        </w:rPr>
        <w:t>While clinical decision-making requires dynamic, multi-source data integration, current deep learning models struggle to mimic this reasoning (Das &amp; Akter, 2025; Fan et al., 2024</w:t>
      </w:r>
      <w:proofErr w:type="gramStart"/>
      <w:r w:rsidRPr="00516A04">
        <w:rPr>
          <w:rFonts w:asciiTheme="majorBidi" w:hAnsiTheme="majorBidi" w:cstheme="majorBidi"/>
        </w:rPr>
        <w:t>),.</w:t>
      </w:r>
      <w:proofErr w:type="gramEnd"/>
      <w:r w:rsidRPr="00516A04">
        <w:rPr>
          <w:rFonts w:asciiTheme="majorBidi" w:hAnsiTheme="majorBidi" w:cstheme="majorBidi"/>
        </w:rPr>
        <w:t xml:space="preserve"> A universal flaw in existing pipelines is their rigid architecture, which relies on simple concatenation and allocates fixed attention to all inputs regardless of their actual relevance (Fan et al., 2024). This exposes a critical vulnerability to "Conflicting Modalities" (Fan et al., 2024). A "Diagnostic Mismatch" occurs when intrinsic noise creates discrepancies between data streams, </w:t>
      </w:r>
      <w:r w:rsidR="0090032B">
        <w:rPr>
          <w:rFonts w:asciiTheme="majorBidi" w:hAnsiTheme="majorBidi" w:cstheme="majorBidi"/>
        </w:rPr>
        <w:t>conflicting</w:t>
      </w:r>
      <w:r w:rsidRPr="00516A04">
        <w:rPr>
          <w:rFonts w:asciiTheme="majorBidi" w:hAnsiTheme="majorBidi" w:cstheme="majorBidi"/>
        </w:rPr>
        <w:t xml:space="preserve"> modalities, </w:t>
      </w:r>
      <w:r w:rsidR="0090032B">
        <w:rPr>
          <w:rFonts w:asciiTheme="majorBidi" w:hAnsiTheme="majorBidi" w:cstheme="majorBidi"/>
        </w:rPr>
        <w:t xml:space="preserve">and </w:t>
      </w:r>
      <w:r w:rsidRPr="00516A04">
        <w:rPr>
          <w:rFonts w:asciiTheme="majorBidi" w:hAnsiTheme="majorBidi" w:cstheme="majorBidi"/>
        </w:rPr>
        <w:t xml:space="preserve">current AI fails catastrophically; if one modality sends a deceptive signal that contradicts the others, the system cannot adaptively reduce its reliance on the flawed data, resulting in a severe decline in diagnostic accuracy (Fan et al., 2024; </w:t>
      </w:r>
      <w:proofErr w:type="spellStart"/>
      <w:r w:rsidRPr="00516A04">
        <w:rPr>
          <w:rFonts w:asciiTheme="majorBidi" w:hAnsiTheme="majorBidi" w:cstheme="majorBidi"/>
        </w:rPr>
        <w:t>Jandoubi</w:t>
      </w:r>
      <w:proofErr w:type="spellEnd"/>
      <w:r w:rsidRPr="00516A04">
        <w:rPr>
          <w:rFonts w:asciiTheme="majorBidi" w:hAnsiTheme="majorBidi" w:cstheme="majorBidi"/>
        </w:rPr>
        <w:t xml:space="preserve"> &amp; </w:t>
      </w:r>
      <w:proofErr w:type="spellStart"/>
      <w:r w:rsidRPr="00516A04">
        <w:rPr>
          <w:rFonts w:asciiTheme="majorBidi" w:hAnsiTheme="majorBidi" w:cstheme="majorBidi"/>
        </w:rPr>
        <w:t>Akhloufi</w:t>
      </w:r>
      <w:proofErr w:type="spellEnd"/>
      <w:r w:rsidRPr="00516A04">
        <w:rPr>
          <w:rFonts w:asciiTheme="majorBidi" w:hAnsiTheme="majorBidi" w:cstheme="majorBidi"/>
        </w:rPr>
        <w:t>, 2025)</w:t>
      </w:r>
    </w:p>
    <w:p w14:paraId="14598B04" w14:textId="26AE3AA0" w:rsidR="00016BD6" w:rsidRPr="00516A04" w:rsidRDefault="00016BD6" w:rsidP="00016BD6">
      <w:pPr>
        <w:rPr>
          <w:rFonts w:asciiTheme="majorBidi" w:hAnsiTheme="majorBidi" w:cstheme="majorBidi"/>
        </w:rPr>
      </w:pPr>
      <w:r w:rsidRPr="00516A04">
        <w:rPr>
          <w:rFonts w:asciiTheme="majorBidi" w:hAnsiTheme="majorBidi" w:cstheme="majorBidi"/>
        </w:rPr>
        <w:t>Most current multimodal deep learning pipelines execute early, late, or intermediate fusion operations without strong theoretical foundations regarding the complex, dynamic relationships between modalities (</w:t>
      </w:r>
      <w:proofErr w:type="spellStart"/>
      <w:r w:rsidRPr="00516A04">
        <w:rPr>
          <w:rFonts w:asciiTheme="majorBidi" w:hAnsiTheme="majorBidi" w:cstheme="majorBidi"/>
        </w:rPr>
        <w:t>Jandoubi</w:t>
      </w:r>
      <w:proofErr w:type="spellEnd"/>
      <w:r w:rsidRPr="00516A04">
        <w:rPr>
          <w:rFonts w:asciiTheme="majorBidi" w:hAnsiTheme="majorBidi" w:cstheme="majorBidi"/>
        </w:rPr>
        <w:t xml:space="preserve"> &amp; </w:t>
      </w:r>
      <w:proofErr w:type="spellStart"/>
      <w:r w:rsidRPr="00516A04">
        <w:rPr>
          <w:rFonts w:asciiTheme="majorBidi" w:hAnsiTheme="majorBidi" w:cstheme="majorBidi"/>
        </w:rPr>
        <w:t>Akh</w:t>
      </w:r>
      <w:r w:rsidR="000E141E">
        <w:rPr>
          <w:rFonts w:asciiTheme="majorBidi" w:hAnsiTheme="majorBidi" w:cstheme="majorBidi"/>
        </w:rPr>
        <w:t>suc</w:t>
      </w:r>
      <w:r w:rsidRPr="00516A04">
        <w:rPr>
          <w:rFonts w:asciiTheme="majorBidi" w:hAnsiTheme="majorBidi" w:cstheme="majorBidi"/>
        </w:rPr>
        <w:t>loufi</w:t>
      </w:r>
      <w:proofErr w:type="spellEnd"/>
      <w:r w:rsidRPr="00516A04">
        <w:rPr>
          <w:rFonts w:asciiTheme="majorBidi" w:hAnsiTheme="majorBidi" w:cstheme="majorBidi"/>
        </w:rPr>
        <w:t xml:space="preserve">, 2025). These traditional methods typically rely on the simple concatenation of latent features and utilize static weights, falsely assuming that the diagnostic reliability of each modality remains constant across every clinical scenario (Fan et al., 2024). This rigid architectural flaw fundamentally exacerbates the widely recognized "Black Box" problem in medical artificial intelligence (Otieno &amp; </w:t>
      </w:r>
      <w:proofErr w:type="spellStart"/>
      <w:r w:rsidRPr="00516A04">
        <w:rPr>
          <w:rFonts w:asciiTheme="majorBidi" w:hAnsiTheme="majorBidi" w:cstheme="majorBidi"/>
        </w:rPr>
        <w:t>Oluoch</w:t>
      </w:r>
      <w:proofErr w:type="spellEnd"/>
      <w:r w:rsidRPr="00516A04">
        <w:rPr>
          <w:rFonts w:asciiTheme="majorBidi" w:hAnsiTheme="majorBidi" w:cstheme="majorBidi"/>
        </w:rPr>
        <w:t xml:space="preserve">, 2026; Das &amp; Akter, 2025). Because late and early fusion models use these static weights rather than adaptive, context-aware mechanisms, they cannot provide the transparent, causal explainability (XAI) required to build clinical trust, satisfy regulatory standards, and ensure patient safety (Otieno &amp; </w:t>
      </w:r>
      <w:proofErr w:type="spellStart"/>
      <w:r w:rsidRPr="00516A04">
        <w:rPr>
          <w:rFonts w:asciiTheme="majorBidi" w:hAnsiTheme="majorBidi" w:cstheme="majorBidi"/>
        </w:rPr>
        <w:t>Oluoch</w:t>
      </w:r>
      <w:proofErr w:type="spellEnd"/>
      <w:r w:rsidRPr="00516A04">
        <w:rPr>
          <w:rFonts w:asciiTheme="majorBidi" w:hAnsiTheme="majorBidi" w:cstheme="majorBidi"/>
        </w:rPr>
        <w:t>, 2026; Luke, 2024; Fan et al., 2024).</w:t>
      </w:r>
    </w:p>
    <w:p w14:paraId="0A0A25C1" w14:textId="0D3E6797" w:rsidR="00016BD6" w:rsidRDefault="00516A04" w:rsidP="00516A04">
      <w:pPr>
        <w:rPr>
          <w:rFonts w:asciiTheme="majorBidi" w:hAnsiTheme="majorBidi" w:cstheme="majorBidi"/>
        </w:rPr>
      </w:pPr>
      <w:r w:rsidRPr="00516A04">
        <w:rPr>
          <w:rFonts w:asciiTheme="majorBidi" w:hAnsiTheme="majorBidi" w:cstheme="majorBidi"/>
        </w:rPr>
        <w:t xml:space="preserve">While cross-modal attention networks attempt to map correlations across heterogeneous data streams, </w:t>
      </w:r>
      <w:r w:rsidR="009E45C3" w:rsidRPr="00516A04">
        <w:rPr>
          <w:rFonts w:asciiTheme="majorBidi" w:hAnsiTheme="majorBidi" w:cstheme="majorBidi"/>
        </w:rPr>
        <w:t>these standards</w:t>
      </w:r>
      <w:r w:rsidRPr="00516A04">
        <w:rPr>
          <w:rFonts w:asciiTheme="majorBidi" w:hAnsiTheme="majorBidi" w:cstheme="majorBidi"/>
        </w:rPr>
        <w:t xml:space="preserve"> "data-driven" mechanisms frequently fail in clinical settings. Without clinical constraints, they are highly susceptible to "shortcut learning," often fixating on dataset-specific artifacts or irrelevant borders rather than genuine pathology (Otieno &amp; </w:t>
      </w:r>
      <w:proofErr w:type="spellStart"/>
      <w:r w:rsidRPr="00516A04">
        <w:rPr>
          <w:rFonts w:asciiTheme="majorBidi" w:hAnsiTheme="majorBidi" w:cstheme="majorBidi"/>
        </w:rPr>
        <w:t>Oluoch</w:t>
      </w:r>
      <w:proofErr w:type="spellEnd"/>
      <w:r w:rsidRPr="00516A04">
        <w:rPr>
          <w:rFonts w:asciiTheme="majorBidi" w:hAnsiTheme="majorBidi" w:cstheme="majorBidi"/>
        </w:rPr>
        <w:t xml:space="preserve">, 2026; </w:t>
      </w:r>
      <w:proofErr w:type="spellStart"/>
      <w:r w:rsidRPr="00516A04">
        <w:rPr>
          <w:rFonts w:asciiTheme="majorBidi" w:hAnsiTheme="majorBidi" w:cstheme="majorBidi"/>
        </w:rPr>
        <w:t>Dyrba</w:t>
      </w:r>
      <w:proofErr w:type="spellEnd"/>
      <w:r w:rsidRPr="00516A04">
        <w:rPr>
          <w:rFonts w:asciiTheme="majorBidi" w:hAnsiTheme="majorBidi" w:cstheme="majorBidi"/>
        </w:rPr>
        <w:t xml:space="preserve"> et al., 2020). This purely statistical approach becomes a critical liability during active biological conflicts, as standard attention lacks the contextual awareness to identify and resolve deceptive signals or intrinsic noise (Fan et al., 2024; Otieno &amp; </w:t>
      </w:r>
      <w:proofErr w:type="spellStart"/>
      <w:r w:rsidRPr="00516A04">
        <w:rPr>
          <w:rFonts w:asciiTheme="majorBidi" w:hAnsiTheme="majorBidi" w:cstheme="majorBidi"/>
        </w:rPr>
        <w:t>Oluoch</w:t>
      </w:r>
      <w:proofErr w:type="spellEnd"/>
      <w:r w:rsidRPr="00516A04">
        <w:rPr>
          <w:rFonts w:asciiTheme="majorBidi" w:hAnsiTheme="majorBidi" w:cstheme="majorBidi"/>
        </w:rPr>
        <w:t>, 2026). To overcome this gap, our architecture introduces a novel "Confounder-Driven" approach. Unlike standard cross-modal attention, which cannot resolve these conflicts, a Confounder-Driven mechanism uses external clinical context to dynamically "distrust" and down-weight any modality sending a contradictory signal. This adaptively resolves the diagnostic mismatches that cause traditional data-driven models to fail.</w:t>
      </w:r>
    </w:p>
    <w:p w14:paraId="7626971E" w14:textId="7ED1A068" w:rsidR="00516A04" w:rsidRPr="00516A04" w:rsidRDefault="00516A04" w:rsidP="000E141E">
      <w:pPr>
        <w:rPr>
          <w:rFonts w:asciiTheme="majorBidi" w:hAnsiTheme="majorBidi" w:cstheme="majorBidi"/>
        </w:rPr>
      </w:pPr>
      <w:r w:rsidRPr="00516A04">
        <w:rPr>
          <w:rFonts w:asciiTheme="majorBidi" w:hAnsiTheme="majorBidi" w:cstheme="majorBidi"/>
        </w:rPr>
        <w:t xml:space="preserve">To validate our architecture, we introduce a periodontal cohort of e-cigarette users as </w:t>
      </w:r>
      <w:r w:rsidR="000E141E" w:rsidRPr="000E141E">
        <w:rPr>
          <w:rFonts w:asciiTheme="majorBidi" w:hAnsiTheme="majorBidi" w:cstheme="majorBidi"/>
        </w:rPr>
        <w:t>a rigorous biological proof-of-concept</w:t>
      </w:r>
      <w:r w:rsidRPr="00516A04">
        <w:rPr>
          <w:rFonts w:asciiTheme="majorBidi" w:hAnsiTheme="majorBidi" w:cstheme="majorBidi"/>
        </w:rPr>
        <w:t>. In these patients, nicotine-induced vasoconstriction creates a "Vaping Paradox"—a known, physiologically grounded masking effect that suppresses visible clinical signs of gingival inflammation, such as bleeding and redness, despite underlying tissue destruction. To navigate this biological deception, the Clinical Attention Framework (CAF) introduces a mechanism of "Dynamic Reliability Routing".</w:t>
      </w:r>
    </w:p>
    <w:p w14:paraId="418062F1" w14:textId="48113721" w:rsidR="00516A04" w:rsidRDefault="00516A04" w:rsidP="00516A04">
      <w:pPr>
        <w:rPr>
          <w:rFonts w:asciiTheme="majorBidi" w:hAnsiTheme="majorBidi" w:cstheme="majorBidi"/>
        </w:rPr>
      </w:pPr>
      <w:r w:rsidRPr="00516A04">
        <w:rPr>
          <w:rFonts w:asciiTheme="majorBidi" w:hAnsiTheme="majorBidi" w:cstheme="majorBidi"/>
        </w:rPr>
        <w:lastRenderedPageBreak/>
        <w:t xml:space="preserve">Rather than blindly seeking cross-modal statistical correlations, the CAF evaluates the external clinical confounder (the patient's vaping profile) to generate mathematically interpretable attention probabilities, specifically </w:t>
      </w:r>
      <w:proofErr w:type="spellStart"/>
      <w:r w:rsidRPr="00516A04">
        <w:rPr>
          <w:rFonts w:asciiTheme="majorBidi" w:hAnsiTheme="majorBidi" w:cstheme="majorBidi"/>
          <w:i/>
          <w:iCs/>
        </w:rPr>
        <w:t>Psoft</w:t>
      </w:r>
      <w:proofErr w:type="spellEnd"/>
      <w:r w:rsidRPr="00516A04">
        <w:rPr>
          <w:rFonts w:asciiTheme="majorBidi" w:hAnsiTheme="majorBidi" w:cstheme="majorBidi"/>
        </w:rPr>
        <w:t xml:space="preserve">​ for clinical photos and </w:t>
      </w:r>
      <w:proofErr w:type="spellStart"/>
      <w:r w:rsidRPr="00516A04">
        <w:rPr>
          <w:rFonts w:asciiTheme="majorBidi" w:hAnsiTheme="majorBidi" w:cstheme="majorBidi"/>
          <w:i/>
          <w:iCs/>
        </w:rPr>
        <w:t>Phard</w:t>
      </w:r>
      <w:proofErr w:type="spellEnd"/>
      <w:r w:rsidRPr="00516A04">
        <w:rPr>
          <w:rFonts w:asciiTheme="majorBidi" w:hAnsiTheme="majorBidi" w:cstheme="majorBidi"/>
        </w:rPr>
        <w:t xml:space="preserve">​ for radiographs. This directly mimics deductive clinical reasoning: if the framework detects a heavy vaping history, it dynamically routes diagnostic trust away from the deceptive soft-tissue modality (driving </w:t>
      </w:r>
      <w:proofErr w:type="spellStart"/>
      <w:r w:rsidRPr="00516A04">
        <w:rPr>
          <w:rFonts w:asciiTheme="majorBidi" w:hAnsiTheme="majorBidi" w:cstheme="majorBidi"/>
          <w:i/>
          <w:iCs/>
        </w:rPr>
        <w:t>Psoft</w:t>
      </w:r>
      <w:proofErr w:type="spellEnd"/>
      <w:r w:rsidRPr="00516A04">
        <w:rPr>
          <w:rFonts w:asciiTheme="majorBidi" w:hAnsiTheme="majorBidi" w:cstheme="majorBidi"/>
        </w:rPr>
        <w:t>​ toward zero)</w:t>
      </w:r>
      <w:r>
        <w:rPr>
          <w:rFonts w:asciiTheme="majorBidi" w:hAnsiTheme="majorBidi" w:cstheme="majorBidi"/>
        </w:rPr>
        <w:t>. It heavily weights</w:t>
      </w:r>
      <w:r w:rsidRPr="00516A04">
        <w:rPr>
          <w:rFonts w:asciiTheme="majorBidi" w:hAnsiTheme="majorBidi" w:cstheme="majorBidi"/>
        </w:rPr>
        <w:t xml:space="preserve"> the objective hard-tissue X-rays (elevating </w:t>
      </w:r>
      <w:proofErr w:type="spellStart"/>
      <w:r w:rsidRPr="00516A04">
        <w:rPr>
          <w:rFonts w:asciiTheme="majorBidi" w:hAnsiTheme="majorBidi" w:cstheme="majorBidi"/>
          <w:i/>
          <w:iCs/>
        </w:rPr>
        <w:t>Phard</w:t>
      </w:r>
      <w:proofErr w:type="spellEnd"/>
      <w:r w:rsidRPr="00516A04">
        <w:rPr>
          <w:rFonts w:asciiTheme="majorBidi" w:hAnsiTheme="majorBidi" w:cstheme="majorBidi"/>
        </w:rPr>
        <w:t>​). By explicitly quantifying modality reliability, the CAF successfully bypasses physiological masking effects that cause traditional, static models to fail.</w:t>
      </w:r>
    </w:p>
    <w:p w14:paraId="663169FE" w14:textId="77777777" w:rsidR="000E141E" w:rsidRPr="000E141E" w:rsidRDefault="000E141E" w:rsidP="000E141E">
      <w:pPr>
        <w:rPr>
          <w:rFonts w:asciiTheme="majorBidi" w:hAnsiTheme="majorBidi" w:cstheme="majorBidi"/>
        </w:rPr>
      </w:pPr>
      <w:r w:rsidRPr="000E141E">
        <w:rPr>
          <w:rFonts w:asciiTheme="majorBidi" w:hAnsiTheme="majorBidi" w:cstheme="majorBidi"/>
        </w:rPr>
        <w:t xml:space="preserve">Current multimodal AI frequently exhibits "illusory generalizability," failing in real-world settings due to "shortcut learning" and the rigid assumption that modality reliability remains constant (Otieno &amp; </w:t>
      </w:r>
      <w:proofErr w:type="spellStart"/>
      <w:r w:rsidRPr="000E141E">
        <w:rPr>
          <w:rFonts w:asciiTheme="majorBidi" w:hAnsiTheme="majorBidi" w:cstheme="majorBidi"/>
        </w:rPr>
        <w:t>Oluoch</w:t>
      </w:r>
      <w:proofErr w:type="spellEnd"/>
      <w:r w:rsidRPr="000E141E">
        <w:rPr>
          <w:rFonts w:asciiTheme="majorBidi" w:hAnsiTheme="majorBidi" w:cstheme="majorBidi"/>
        </w:rPr>
        <w:t>, 2026; Fan et al., 2024). This creates a systemic, pan-medical bottleneck when biological confounders introduce deceptive signals. For example, in oncology, targeted therapies actively alter imaging phenotypes, confounding standard radiographic endpoints. Similarly, in cardiology, medications like beta-blockers mask physiological stress on ECG readouts, causing traditional networks to fail because they cannot dynamically "distrust" the confounded data (</w:t>
      </w:r>
      <w:proofErr w:type="spellStart"/>
      <w:r w:rsidRPr="000E141E">
        <w:rPr>
          <w:rFonts w:asciiTheme="majorBidi" w:hAnsiTheme="majorBidi" w:cstheme="majorBidi"/>
        </w:rPr>
        <w:t>Elantary</w:t>
      </w:r>
      <w:proofErr w:type="spellEnd"/>
      <w:r w:rsidRPr="000E141E">
        <w:rPr>
          <w:rFonts w:asciiTheme="majorBidi" w:hAnsiTheme="majorBidi" w:cstheme="majorBidi"/>
        </w:rPr>
        <w:t xml:space="preserve"> &amp; Othman, 2025).</w:t>
      </w:r>
    </w:p>
    <w:p w14:paraId="3B19B3F5" w14:textId="4A78AC81" w:rsidR="00516A04" w:rsidRPr="00516A04" w:rsidRDefault="000E141E" w:rsidP="000E141E">
      <w:pPr>
        <w:rPr>
          <w:rFonts w:asciiTheme="majorBidi" w:hAnsiTheme="majorBidi" w:cstheme="majorBidi"/>
        </w:rPr>
      </w:pPr>
      <w:r w:rsidRPr="000E141E">
        <w:rPr>
          <w:rFonts w:asciiTheme="majorBidi" w:hAnsiTheme="majorBidi" w:cstheme="majorBidi"/>
        </w:rPr>
        <w:t>Our proposed Conflict-Resolution Gate solves this critical vulnerability. Operating as a domain-agnostic safeguard, the Clinical Attention Framework uses external clinical context to adaptively down-weight deceptive signals. Whether navigating the masking effects of vaping in dentistry, immunotherapy in oncology, or beta-blockers in cardiology, the CAF provides a principled mechanism</w:t>
      </w:r>
      <w:r w:rsidR="0090032B">
        <w:rPr>
          <w:rFonts w:asciiTheme="majorBidi" w:hAnsiTheme="majorBidi" w:cstheme="majorBidi"/>
        </w:rPr>
        <w:t xml:space="preserve">. </w:t>
      </w:r>
      <w:r w:rsidRPr="000E141E">
        <w:rPr>
          <w:rFonts w:asciiTheme="majorBidi" w:hAnsiTheme="majorBidi" w:cstheme="majorBidi"/>
        </w:rPr>
        <w:t>To address these systemic vulnerabilities, this paper introduces the Clinical Attention Framework (CAF). Our core contributions are threefold. First, we present a novel gated multimodal architecture that generates transparent, mathematically interpretable attention weights, directly resolving the "black box" limitations of traditional fusion pipelines. Second, through our periodontal biological proof-of-concept, we provide empirical validation that the CAF’s attention gating engine successfully exhibits emergent, deductive clinical reasoning without requiring any modality-specific supervision or manual labeling. Third, we establish the CAF as a fully scalable, domain-agnostic framework; while empirically proven on a specific clinical cohort, its modular architecture provides a universally applicable blueprint with demonstrated out-of-distribution generalizability for diverse, large-scale medical domains.</w:t>
      </w:r>
    </w:p>
    <w:p w14:paraId="011A3503" w14:textId="77777777" w:rsidR="00516A04" w:rsidRPr="00516A04" w:rsidRDefault="00516A04" w:rsidP="00516A04">
      <w:pPr>
        <w:rPr>
          <w:rFonts w:asciiTheme="majorBidi" w:hAnsiTheme="majorBidi" w:cstheme="majorBidi"/>
        </w:rPr>
      </w:pPr>
    </w:p>
    <w:sectPr w:rsidR="00516A04" w:rsidRPr="00516A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17853"/>
    <w:multiLevelType w:val="multilevel"/>
    <w:tmpl w:val="A0B6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65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BD6"/>
    <w:rsid w:val="00016BD6"/>
    <w:rsid w:val="000E141E"/>
    <w:rsid w:val="00273355"/>
    <w:rsid w:val="004D59FA"/>
    <w:rsid w:val="00516A04"/>
    <w:rsid w:val="005B5EF5"/>
    <w:rsid w:val="0090032B"/>
    <w:rsid w:val="009E45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DA5F2"/>
  <w15:chartTrackingRefBased/>
  <w15:docId w15:val="{86D885DE-D453-468B-9B52-1ED387552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BD6"/>
    <w:rPr>
      <w:rFonts w:eastAsiaTheme="majorEastAsia" w:cstheme="majorBidi"/>
      <w:color w:val="272727" w:themeColor="text1" w:themeTint="D8"/>
    </w:rPr>
  </w:style>
  <w:style w:type="paragraph" w:styleId="Title">
    <w:name w:val="Title"/>
    <w:basedOn w:val="Normal"/>
    <w:next w:val="Normal"/>
    <w:link w:val="TitleChar"/>
    <w:uiPriority w:val="10"/>
    <w:qFormat/>
    <w:rsid w:val="00016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BD6"/>
    <w:pPr>
      <w:spacing w:before="160"/>
      <w:jc w:val="center"/>
    </w:pPr>
    <w:rPr>
      <w:i/>
      <w:iCs/>
      <w:color w:val="404040" w:themeColor="text1" w:themeTint="BF"/>
    </w:rPr>
  </w:style>
  <w:style w:type="character" w:customStyle="1" w:styleId="QuoteChar">
    <w:name w:val="Quote Char"/>
    <w:basedOn w:val="DefaultParagraphFont"/>
    <w:link w:val="Quote"/>
    <w:uiPriority w:val="29"/>
    <w:rsid w:val="00016BD6"/>
    <w:rPr>
      <w:i/>
      <w:iCs/>
      <w:color w:val="404040" w:themeColor="text1" w:themeTint="BF"/>
    </w:rPr>
  </w:style>
  <w:style w:type="paragraph" w:styleId="ListParagraph">
    <w:name w:val="List Paragraph"/>
    <w:basedOn w:val="Normal"/>
    <w:uiPriority w:val="34"/>
    <w:qFormat/>
    <w:rsid w:val="00016BD6"/>
    <w:pPr>
      <w:ind w:left="720"/>
      <w:contextualSpacing/>
    </w:pPr>
  </w:style>
  <w:style w:type="character" w:styleId="IntenseEmphasis">
    <w:name w:val="Intense Emphasis"/>
    <w:basedOn w:val="DefaultParagraphFont"/>
    <w:uiPriority w:val="21"/>
    <w:qFormat/>
    <w:rsid w:val="00016BD6"/>
    <w:rPr>
      <w:i/>
      <w:iCs/>
      <w:color w:val="0F4761" w:themeColor="accent1" w:themeShade="BF"/>
    </w:rPr>
  </w:style>
  <w:style w:type="paragraph" w:styleId="IntenseQuote">
    <w:name w:val="Intense Quote"/>
    <w:basedOn w:val="Normal"/>
    <w:next w:val="Normal"/>
    <w:link w:val="IntenseQuoteChar"/>
    <w:uiPriority w:val="30"/>
    <w:qFormat/>
    <w:rsid w:val="00016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BD6"/>
    <w:rPr>
      <w:i/>
      <w:iCs/>
      <w:color w:val="0F4761" w:themeColor="accent1" w:themeShade="BF"/>
    </w:rPr>
  </w:style>
  <w:style w:type="character" w:styleId="IntenseReference">
    <w:name w:val="Intense Reference"/>
    <w:basedOn w:val="DefaultParagraphFont"/>
    <w:uiPriority w:val="32"/>
    <w:qFormat/>
    <w:rsid w:val="00016B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240232">
      <w:bodyDiv w:val="1"/>
      <w:marLeft w:val="0"/>
      <w:marRight w:val="0"/>
      <w:marTop w:val="0"/>
      <w:marBottom w:val="0"/>
      <w:divBdr>
        <w:top w:val="none" w:sz="0" w:space="0" w:color="auto"/>
        <w:left w:val="none" w:sz="0" w:space="0" w:color="auto"/>
        <w:bottom w:val="none" w:sz="0" w:space="0" w:color="auto"/>
        <w:right w:val="none" w:sz="0" w:space="0" w:color="auto"/>
      </w:divBdr>
      <w:divsChild>
        <w:div w:id="930167173">
          <w:marLeft w:val="0"/>
          <w:marRight w:val="0"/>
          <w:marTop w:val="0"/>
          <w:marBottom w:val="0"/>
          <w:divBdr>
            <w:top w:val="none" w:sz="0" w:space="0" w:color="auto"/>
            <w:left w:val="none" w:sz="0" w:space="0" w:color="auto"/>
            <w:bottom w:val="none" w:sz="0" w:space="0" w:color="auto"/>
            <w:right w:val="none" w:sz="0" w:space="0" w:color="auto"/>
          </w:divBdr>
        </w:div>
      </w:divsChild>
    </w:div>
    <w:div w:id="1433548392">
      <w:bodyDiv w:val="1"/>
      <w:marLeft w:val="0"/>
      <w:marRight w:val="0"/>
      <w:marTop w:val="0"/>
      <w:marBottom w:val="0"/>
      <w:divBdr>
        <w:top w:val="none" w:sz="0" w:space="0" w:color="auto"/>
        <w:left w:val="none" w:sz="0" w:space="0" w:color="auto"/>
        <w:bottom w:val="none" w:sz="0" w:space="0" w:color="auto"/>
        <w:right w:val="none" w:sz="0" w:space="0" w:color="auto"/>
      </w:divBdr>
      <w:divsChild>
        <w:div w:id="1972400122">
          <w:marLeft w:val="0"/>
          <w:marRight w:val="0"/>
          <w:marTop w:val="0"/>
          <w:marBottom w:val="0"/>
          <w:divBdr>
            <w:top w:val="none" w:sz="0" w:space="0" w:color="auto"/>
            <w:left w:val="none" w:sz="0" w:space="0" w:color="auto"/>
            <w:bottom w:val="none" w:sz="0" w:space="0" w:color="auto"/>
            <w:right w:val="none" w:sz="0" w:space="0" w:color="auto"/>
          </w:divBdr>
        </w:div>
        <w:div w:id="38752354">
          <w:marLeft w:val="0"/>
          <w:marRight w:val="0"/>
          <w:marTop w:val="0"/>
          <w:marBottom w:val="0"/>
          <w:divBdr>
            <w:top w:val="none" w:sz="0" w:space="0" w:color="auto"/>
            <w:left w:val="none" w:sz="0" w:space="0" w:color="auto"/>
            <w:bottom w:val="none" w:sz="0" w:space="0" w:color="auto"/>
            <w:right w:val="none" w:sz="0" w:space="0" w:color="auto"/>
          </w:divBdr>
        </w:div>
      </w:divsChild>
    </w:div>
    <w:div w:id="1681195177">
      <w:bodyDiv w:val="1"/>
      <w:marLeft w:val="0"/>
      <w:marRight w:val="0"/>
      <w:marTop w:val="0"/>
      <w:marBottom w:val="0"/>
      <w:divBdr>
        <w:top w:val="none" w:sz="0" w:space="0" w:color="auto"/>
        <w:left w:val="none" w:sz="0" w:space="0" w:color="auto"/>
        <w:bottom w:val="none" w:sz="0" w:space="0" w:color="auto"/>
        <w:right w:val="none" w:sz="0" w:space="0" w:color="auto"/>
      </w:divBdr>
      <w:divsChild>
        <w:div w:id="396052632">
          <w:marLeft w:val="0"/>
          <w:marRight w:val="0"/>
          <w:marTop w:val="0"/>
          <w:marBottom w:val="0"/>
          <w:divBdr>
            <w:top w:val="none" w:sz="0" w:space="0" w:color="auto"/>
            <w:left w:val="none" w:sz="0" w:space="0" w:color="auto"/>
            <w:bottom w:val="none" w:sz="0" w:space="0" w:color="auto"/>
            <w:right w:val="none" w:sz="0" w:space="0" w:color="auto"/>
          </w:divBdr>
        </w:div>
        <w:div w:id="4765320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2</Pages>
  <Words>922</Words>
  <Characters>5260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2026-06-04T14:59:00Z</dcterms:created>
  <dcterms:modified xsi:type="dcterms:W3CDTF">2026-06-04T18:11:00Z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d7f49be0-75fc-42ff-962e-c918d3b841f7</vt:lpwstr>
  </property>
</Properties>
</file>