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b4a80ffd8cdaa7ab13fcb84a0783a03f905e19"/>
    <w:p>
      <w:pPr>
        <w:pStyle w:val="Heading1"/>
      </w:pPr>
      <w:r>
        <w:t xml:space="preserve">Project Summary: The Clinical Attention Framework (CAF) for Periodontal Diagnosis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University Scientific &amp; Clinical Review Board</w:t>
      </w:r>
      <w:r>
        <w:t xml:space="preserve"> </w:t>
      </w:r>
      <w:r>
        <w:rPr>
          <w:b/>
          <w:bCs/>
        </w:rPr>
        <w:t xml:space="preserve">Project Title:</w:t>
      </w:r>
      <w:r>
        <w:t xml:space="preserve"> </w:t>
      </w:r>
      <w:r>
        <w:t xml:space="preserve">Resolving the</w:t>
      </w:r>
      <w:r>
        <w:t xml:space="preserve"> </w:t>
      </w:r>
      <w:r>
        <w:t xml:space="preserve">“Vaping Paradox”</w:t>
      </w:r>
      <w:r>
        <w:t xml:space="preserve"> </w:t>
      </w:r>
      <w:r>
        <w:t xml:space="preserve">in Multimodal Periodontal Screening via Confounder-Driven Gating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project introduces and validates the</w:t>
      </w:r>
      <w:r>
        <w:t xml:space="preserve"> </w:t>
      </w:r>
      <w:r>
        <w:rPr>
          <w:b/>
          <w:bCs/>
        </w:rPr>
        <w:t xml:space="preserve">Clinical Attention Framework (CAF)</w:t>
      </w:r>
      <w:r>
        <w:t xml:space="preserve">, a novel, gated multimodal deep learning architecture designed to handle physiological confounders in medical diagnostics. As a clinical proof-of-concept, we address the</w:t>
      </w:r>
      <w:r>
        <w:t xml:space="preserve"> </w:t>
      </w:r>
      <w:r>
        <w:rPr>
          <w:b/>
          <w:bCs/>
        </w:rPr>
        <w:t xml:space="preserve">“Vaping Paradox”</w:t>
      </w:r>
      <w:r>
        <w:t xml:space="preserve"> </w:t>
      </w:r>
      <w:r>
        <w:t xml:space="preserve">in periodontics—a phenomenon where nicotine-induced peripheral vasoconstriction suppresses the cardinal visual signs of gingival inflammation (erythema and bleeding), presenting a deceptive</w:t>
      </w:r>
      <w:r>
        <w:t xml:space="preserve"> </w:t>
      </w:r>
      <w:r>
        <w:t xml:space="preserve">“healthy”</w:t>
      </w:r>
      <w:r>
        <w:t xml:space="preserve"> </w:t>
      </w:r>
      <w:r>
        <w:t xml:space="preserve">visual appearance in patients with underlying, active periodontitis.</w:t>
      </w:r>
    </w:p>
    <w:p>
      <w:pPr>
        <w:pStyle w:val="BodyText"/>
      </w:pPr>
      <w:r>
        <w:t xml:space="preserve">By utilizing patient-specific clinical context (vaping habits) as an exogenous gating signal, the CAF dynamically routes diagnostic trust. It down-weights the confounded photographic channel in active vapers and relies instead on objective risk factors and radiographic inputs. Tested on a clinical cohort (</w:t>
      </w:r>
      <m:oMath>
        <m:r>
          <m:t>N</m:t>
        </m:r>
        <m:r>
          <m:rPr>
            <m:sty m:val="p"/>
          </m:rPr>
          <m:t>=</m:t>
        </m:r>
        <m:r>
          <m:t>46</m:t>
        </m:r>
      </m:oMath>
      <w:r>
        <w:t xml:space="preserve">), the CAF achieved an ensembled accuracy of</w:t>
      </w:r>
      <w:r>
        <w:t xml:space="preserve"> </w:t>
      </w:r>
      <m:oMath>
        <m:r>
          <m:t>69.57</m:t>
        </m:r>
        <m:r>
          <m:rPr>
            <m:sty m:val="p"/>
          </m:rPr>
          <m:t>%</m:t>
        </m:r>
      </m:oMath>
      <w:r>
        <w:t xml:space="preserve"> </w:t>
      </w:r>
      <w:r>
        <w:t xml:space="preserve">(mean 100-seed LOOCV:</w:t>
      </w:r>
      <w:r>
        <w:t xml:space="preserve"> </w:t>
      </w:r>
      <m:oMath>
        <m:r>
          <m:t>68.59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1.52</m:t>
        </m:r>
        <m:r>
          <m:rPr>
            <m:sty m:val="p"/>
          </m:rPr>
          <m:t>%</m:t>
        </m:r>
      </m:oMath>
      <w:r>
        <w:t xml:space="preserve">), breaking the performance ceiling of unimodal tabular classifiers and significantly outperforming traditional static fusion models which suffer from boundary contamination.</w:t>
      </w:r>
    </w:p>
    <w:p>
      <w:r>
        <w:pict>
          <v:rect style="width:0;height:1.5pt" o:hralign="center" o:hrstd="t" o:hr="t"/>
        </w:pict>
      </w:r>
    </w:p>
    <w:bookmarkEnd w:id="9"/>
    <w:bookmarkStart w:id="10" w:name="X25d493096e66704ca3a516eee43563523cb1d29"/>
    <w:p>
      <w:pPr>
        <w:pStyle w:val="Heading2"/>
      </w:pPr>
      <w:r>
        <w:t xml:space="preserve">2. Clinical Cohort and Data Collection Protocol</w:t>
      </w:r>
    </w:p>
    <w:p>
      <w:pPr>
        <w:pStyle w:val="FirstParagraph"/>
      </w:pPr>
      <w:r>
        <w:t xml:space="preserve">The study cohort was recruited at the European University Tbilisi (Tbilisi, Georgia). After data quality screening and removing entries with incomplete questionnaires, the final pilot cohort consisted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46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subjects</w:t>
      </w:r>
      <w:r>
        <w:t xml:space="preserve"> </w:t>
      </w:r>
      <w:r>
        <w:t xml:space="preserve">divided into two groups: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Non-Vapers (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16 periodontally healthy, 8 diagnosed with active periodontitis.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Vapers (</w:t>
      </w:r>
      <m:oMath>
        <m:r>
          <m:t>n</m:t>
        </m:r>
        <m:r>
          <m:rPr>
            <m:sty m:val="p"/>
          </m:rPr>
          <m:t>=</m:t>
        </m:r>
        <m:r>
          <m:t>22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7 periodontally healthy, 15 diagnosed with active periodontitis.</w:t>
      </w:r>
    </w:p>
    <w:p>
      <w:pPr>
        <w:pStyle w:val="FirstParagraph"/>
      </w:pPr>
      <w:r>
        <w:t xml:space="preserve">For each patient, three primary streams of data (modalities) were collected: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Subjective Tabular Questionnaire (</w:t>
      </w:r>
      <m:oMath>
        <m:sSub>
          <m:e>
            <m:r>
              <m:t>X</m:t>
            </m:r>
          </m:e>
          <m:sub>
            <m:r>
              <m:t>t</m:t>
            </m:r>
            <m:r>
              <m:t>a</m:t>
            </m:r>
            <m:r>
              <m:t>b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Detailed demographic data (age, gender) alongside clinical risk factors, oral hygiene habits, self-reported symptoms (gum bleeding, tenderness), and specific vaping profiles. The vaping profile recorded: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Vaping Frequency:</w:t>
      </w:r>
      <w:r>
        <w:t xml:space="preserve"> </w:t>
      </w:r>
      <w:r>
        <w:t xml:space="preserve">Categorized from non-vaper (</w:t>
      </w:r>
      <m:oMath>
        <m:r>
          <m:t>0</m:t>
        </m:r>
      </m:oMath>
      <w:r>
        <w:t xml:space="preserve">) to rare (less than once a week) to heavy (</w:t>
      </w:r>
      <m:oMath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times/day).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Nicotine Concentration:</w:t>
      </w:r>
      <w:r>
        <w:t xml:space="preserve"> </w:t>
      </w:r>
      <w:r>
        <w:t xml:space="preserve">E-liquid strengths mapped from</w:t>
      </w:r>
      <w:r>
        <w:t xml:space="preserve"> </w:t>
      </w:r>
      <m:oMath>
        <m:r>
          <m:t>0</m:t>
        </m:r>
        <m:r>
          <m:rPr>
            <m:nor/>
            <m:sty m:val="p"/>
          </m:rPr>
          <m:t> mg/ml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50</m:t>
        </m:r>
        <m:r>
          <m:rPr>
            <m:nor/>
            <m:sty m:val="p"/>
          </m:rPr>
          <m:t> mg/ml</m:t>
        </m:r>
      </m:oMath>
      <w:r>
        <w:t xml:space="preserve"> </w:t>
      </w:r>
      <w:r>
        <w:t xml:space="preserve">(</w:t>
      </w:r>
      <m:oMath>
        <m:r>
          <m:t>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Vaping Duration:</w:t>
      </w:r>
      <w:r>
        <w:t xml:space="preserve"> </w:t>
      </w:r>
      <w:r>
        <w:t xml:space="preserve">Length of usage in years.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Intraoral Clinical Photographs (</w:t>
      </w:r>
      <m:oMath>
        <m:sSub>
          <m:e>
            <m:r>
              <m:t>s</m:t>
            </m:r>
          </m:e>
          <m:sub>
            <m:r>
              <m:t>s</m:t>
            </m:r>
            <m:r>
              <m:t>o</m:t>
            </m:r>
            <m:r>
              <m:t>f</m:t>
            </m:r>
            <m:r>
              <m:t>t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High-resolution photographs of the anterior gingival tissues. These photos were evaluated by three independent dental clinicians who rated the visible tissue inflammation on a standardized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10</m:t>
        </m:r>
      </m:oMath>
      <w:r>
        <w:t xml:space="preserve"> </w:t>
      </w:r>
      <w:r>
        <w:t xml:space="preserve">consensus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Radiographs / Pocket Depth (</w:t>
      </w:r>
      <m:oMath>
        <m:sSub>
          <m:e>
            <m:r>
              <m:t>s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d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Panoramic radiographs evaluating alveolar bone loss and physical pocket depth scores (PPD) across all teeth on a</w:t>
      </w:r>
      <w:r>
        <w:t xml:space="preserve"> </w:t>
      </w:r>
      <m:oMath>
        <m:r>
          <m:t>0</m:t>
        </m:r>
        <m:r>
          <m:rPr>
            <m:nor/>
            <m:sty m:val="p"/>
          </m:rPr>
          <m:t>–</m:t>
        </m:r>
        <m:r>
          <m:t>9</m:t>
        </m:r>
      </m:oMath>
      <w:r>
        <w:t xml:space="preserve"> </w:t>
      </w:r>
      <w:r>
        <w:t xml:space="preserve">scale.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Note on Experimental Setup:</w:t>
      </w:r>
      <w:r>
        <w:t xml:space="preserve"> </w:t>
      </w:r>
      <w:r>
        <w:t xml:space="preserve">To stress-test the gating network’s noise rejection capability, the radiographic channel was simulated with a constant uninformative score of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across all patients. A correctly functioning gating network was expected to recognize the zero predictive variance in this channel and suppress its weight.</w:t>
      </w:r>
    </w:p>
    <w:p>
      <w:r>
        <w:pict>
          <v:rect style="width:0;height:1.5pt" o:hralign="center" o:hrstd="t" o:hr="t"/>
        </w:pict>
      </w:r>
    </w:p>
    <w:bookmarkEnd w:id="10"/>
    <w:bookmarkStart w:id="11" w:name="X0d05ef2e3d38f3569ed7f56a45acf66b2e8b308"/>
    <w:p>
      <w:pPr>
        <w:pStyle w:val="Heading2"/>
      </w:pPr>
      <w:r>
        <w:t xml:space="preserve">3. The Clinical Challenge: The</w:t>
      </w:r>
      <w:r>
        <w:t xml:space="preserve"> </w:t>
      </w:r>
      <w:r>
        <w:t xml:space="preserve">“Vaping Paradox”</w:t>
      </w:r>
    </w:p>
    <w:p>
      <w:pPr>
        <w:pStyle w:val="FirstParagraph"/>
      </w:pPr>
      <w:r>
        <w:t xml:space="preserve">In a standard, non-vaping clinical subject, tissue inflammation manifests visibly as redness (erythema) and bleeding on probing (BOP) due to microvascular engorgement. Thus, visual photographs are highly diagnostic.</w:t>
      </w:r>
    </w:p>
    <w:p>
      <w:pPr>
        <w:pStyle w:val="BodyText"/>
      </w:pPr>
      <w:r>
        <w:t xml:space="preserve">However, nicotine is a potent sympathomimetic agonist that stimulates catecholamine release, binding to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-adrenergic receptors in the gingival microvasculature to trigger acute vasoconstriction. This vasoconstriction suppresses bleeding and redness, creating a clinical mask. An active vaper with advanced periodontitis can present pink, firm, and seemingly healthy gingiva in a photograph, misleading clinicians and standard AI computer vision models alike.</w:t>
      </w:r>
    </w:p>
    <w:p>
      <w:pPr>
        <w:pStyle w:val="BodyText"/>
      </w:pPr>
      <w:r>
        <w:t xml:space="preserve">Traditional multimodal fusion models (such as Late Concatenation or Bilinear Tensor Fusion) apply a static weight to the photographic channel across all patients. Because visual photos are highly predictive for the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non-vapers, the model assigns a positive weight to this channel. When applied to active vapers with periodontitis, the deceptive</w:t>
      </w:r>
      <w:r>
        <w:t xml:space="preserve"> </w:t>
      </w:r>
      <w:r>
        <w:t xml:space="preserve">“healthy-looking”</w:t>
      </w:r>
      <w:r>
        <w:t xml:space="preserve"> </w:t>
      </w:r>
      <w:r>
        <w:t xml:space="preserve">photograph drags down the prediction, resulting in severe false negatives. This is the</w:t>
      </w:r>
      <w:r>
        <w:t xml:space="preserve"> </w:t>
      </w:r>
      <w:r>
        <w:rPr>
          <w:b/>
          <w:bCs/>
        </w:rPr>
        <w:t xml:space="preserve">boundary contamination mechanism</w:t>
      </w:r>
      <w:r>
        <w:t xml:space="preserve"> </w:t>
      </w:r>
      <w:r>
        <w:t xml:space="preserve">that causes static fusion to perform worse (</w:t>
      </w:r>
      <m:oMath>
        <m:r>
          <m:t>60.9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accuracy) than a simple questionnaire baseline (</w:t>
      </w:r>
      <m:oMath>
        <m:r>
          <m:t>65.2</m:t>
        </m:r>
        <m:r>
          <m:rPr>
            <m:sty m:val="p"/>
          </m:rPr>
          <m:t>%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647a79cbfa3451ce28634ce9e9e197d95ea0133"/>
    <w:p>
      <w:pPr>
        <w:pStyle w:val="Heading2"/>
      </w:pPr>
      <w:r>
        <w:t xml:space="preserve">4. The Clinical Attention Framework (CAF) Architecture</w:t>
      </w:r>
    </w:p>
    <w:p>
      <w:pPr>
        <w:pStyle w:val="FirstParagraph"/>
      </w:pPr>
      <w:r>
        <w:t xml:space="preserve">To resolve this conflict, the CAF introduces</w:t>
      </w:r>
      <w:r>
        <w:t xml:space="preserve"> </w:t>
      </w:r>
      <w:r>
        <w:rPr>
          <w:b/>
          <w:bCs/>
        </w:rPr>
        <w:t xml:space="preserve">Dynamic Reliability Routing</w:t>
      </w:r>
      <w:r>
        <w:t xml:space="preserve">. Instead of statically merging modalities, it dynamically adjusts the trust allocated to each channel based on the patient’s individual clinical context: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Exogenous Gating:</w:t>
      </w:r>
      <w:r>
        <w:t xml:space="preserve"> </w:t>
      </w:r>
      <w:r>
        <w:t xml:space="preserve">The gating network ingests the patient’s vaping habits context vector (</w:t>
      </w:r>
      <m:oMath>
        <m:sSub>
          <m:e>
            <m:r>
              <m:t>x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representing frequency, nicotine concentration, and duration). It projects this context through a linear gating layer to generate raw attention logits: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g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sSub>
            <m:e>
              <m:r>
                <m:t>x</m:t>
              </m:r>
            </m:e>
            <m:sub>
              <m:r>
                <m:t>g</m:t>
              </m:r>
              <m:r>
                <m:t>a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g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Softmax Attention Allocation:</w:t>
      </w:r>
      <w:r>
        <w:t xml:space="preserve"> </w:t>
      </w:r>
      <w:r>
        <w:t xml:space="preserve">A Softmax activation is applied over the logits to distribute attention weights competitively: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numPr>
          <w:ilvl w:val="0"/>
          <w:numId w:val="1000"/>
        </w:numPr>
      </w:pPr>
      <w:r>
        <w:t xml:space="preserve">This competitive allocation ensures a zero-sum redistribution of trust: if the gate suppresses the visual channel (</w:t>
      </w:r>
      <m:oMath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), it mathematically amplifies the remaining channels.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Calibrated Fusion &amp; Positivity Constraint:</w:t>
      </w:r>
      <w:r>
        <w:t xml:space="preserve"> </w:t>
      </w:r>
      <w:r>
        <w:t xml:space="preserve">Aligned risk scores (</w:t>
      </w:r>
      <m:oMath>
        <m:sSub>
          <m:e>
            <m:r>
              <m:t>s</m:t>
            </m:r>
          </m:e>
          <m:sub>
            <m:r>
              <m:t>t</m:t>
            </m:r>
            <m:r>
              <m:t>a</m:t>
            </m:r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  <m:r>
              <m:t>o</m:t>
            </m:r>
            <m:r>
              <m:t>f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d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 are fused and scaled to generate the final diagnostic logit: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l</m:t>
              </m:r>
              <m:r>
                <m:t>o</m:t>
              </m:r>
              <m:r>
                <m:t>g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f</m:t>
                  </m:r>
                  <m:r>
                    <m:t>t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f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d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h</m:t>
                  </m:r>
                  <m:r>
                    <m:t>a</m:t>
                  </m:r>
                  <m:r>
                    <m:t>r</m:t>
                  </m:r>
                  <m:r>
                    <m:t>d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t>a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f</m:t>
              </m:r>
              <m:r>
                <m:t>i</m:t>
              </m:r>
              <m:r>
                <m:t>e</m:t>
              </m:r>
              <m:r>
                <m:t>r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To prevent optimization collapse and ensure numerical stability, the scale parameter is bound strictly positive using the Softplus function: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Softplus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γ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Parameter Efficiency:</w:t>
      </w:r>
      <w:r>
        <w:t xml:space="preserve"> </w:t>
      </w:r>
      <w:r>
        <w:t xml:space="preserve">The entire meta-reasoning fusion layer utilizes only</w:t>
      </w:r>
      <w:r>
        <w:t xml:space="preserve"> </w:t>
      </w:r>
      <w:r>
        <w:rPr>
          <w:b/>
          <w:bCs/>
        </w:rPr>
        <w:t xml:space="preserve">14 learnable parameters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 and the classifier bias). This extremely small parameter footprint satisfies PAC-learning bounds, preventing overfitting on our small clinical cohort (</w:t>
      </w:r>
      <m:oMath>
        <m:r>
          <m:t>N</m:t>
        </m:r>
        <m:r>
          <m:rPr>
            <m:sty m:val="p"/>
          </m:rPr>
          <m:t>=</m:t>
        </m:r>
        <m:r>
          <m:t>46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experimental-validation-protocol"/>
    <w:p>
      <w:pPr>
        <w:pStyle w:val="Heading2"/>
      </w:pPr>
      <w:r>
        <w:t xml:space="preserve">5. Experimental Validation Protocol</w:t>
      </w:r>
    </w:p>
    <w:p>
      <w:pPr>
        <w:pStyle w:val="FirstParagraph"/>
      </w:pPr>
      <w:r>
        <w:t xml:space="preserve">To ensure clinical and statistical rigor, we implemented the following protocols: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Nested Leave-One-Out Cross-Validation (LOOCV):</w:t>
      </w:r>
      <w:r>
        <w:t xml:space="preserve"> </w:t>
      </w:r>
      <w:r>
        <w:t xml:space="preserve">In each fold, a single patient was held out. Preprocessing, continuous tabular Z-scoring, and ANOVA-based</w:t>
      </w:r>
      <w:r>
        <w:t xml:space="preserve"> </w:t>
      </w:r>
      <w:r>
        <w:rPr>
          <w:rStyle w:val="VerbatimChar"/>
        </w:rPr>
        <w:t xml:space="preserve">SelectKBest</w:t>
      </w:r>
      <w:r>
        <w:t xml:space="preserve"> </w:t>
      </w:r>
      <w:r>
        <w:t xml:space="preserve">feature selection were fitted strictly on the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training patients to guarantee zero target leakage.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10-Seed Ensemble:</w:t>
      </w:r>
      <w:r>
        <w:t xml:space="preserve"> </w:t>
      </w:r>
      <w:r>
        <w:t xml:space="preserve">Within each fold, model outputs were averaged across 10 randomized initializations to eliminate local minima noise.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100-Seed Loop:</w:t>
      </w:r>
      <w:r>
        <w:t xml:space="preserve"> </w:t>
      </w:r>
      <w:r>
        <w:t xml:space="preserve">The entire LOOCV loop was executed across 100 randomized seeds to generate robust means and standard deviations.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 Benchmarks:</w:t>
      </w:r>
      <w:r>
        <w:t xml:space="preserve"> </w:t>
      </w:r>
      <w:r>
        <w:t xml:space="preserve">CAF was compared against a Questionnaire-Only baseline, a Visual-Only baseline, Late Concatenation, a Gated Multimodal Unit (GMU), and Bilinear Tensor Fusion.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Pairwise Significance Testing:</w:t>
      </w:r>
      <w:r>
        <w:t xml:space="preserve"> </w:t>
      </w:r>
      <w:r>
        <w:t xml:space="preserve">Formulated in R, including Welch’s t-test, Wilcoxon rank-sum test, Fisher’s Exact Test, and McNemar’s test.</w:t>
      </w:r>
    </w:p>
    <w:p>
      <w:r>
        <w:pict>
          <v:rect style="width:0;height:1.5pt" o:hralign="center" o:hrstd="t" o:hr="t"/>
        </w:pict>
      </w:r>
    </w:p>
    <w:bookmarkEnd w:id="13"/>
    <w:bookmarkStart w:id="14" w:name="key-scientific-results"/>
    <w:p>
      <w:pPr>
        <w:pStyle w:val="Heading2"/>
      </w:pPr>
      <w:r>
        <w:t xml:space="preserve">6. Key Scientific Results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Diagnostic Accuracy:</w:t>
      </w:r>
      <w:r>
        <w:t xml:space="preserve"> </w:t>
      </w:r>
      <w:r>
        <w:t xml:space="preserve">The consensus ensembled CAF model achieved</w:t>
      </w:r>
      <w:r>
        <w:t xml:space="preserve"> </w:t>
      </w:r>
      <m:oMath>
        <m:r>
          <m:t>69.57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and</w:t>
      </w:r>
      <w:r>
        <w:t xml:space="preserve"> </w:t>
      </w:r>
      <m:oMath>
        <m:r>
          <m:t>0.7127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ROC-AUC</w:t>
      </w:r>
      <w:r>
        <w:t xml:space="preserve">, breaking the</w:t>
      </w:r>
      <w:r>
        <w:t xml:space="preserve"> </w:t>
      </w:r>
      <m:oMath>
        <m:r>
          <m:t>65.2</m:t>
        </m:r>
        <m:r>
          <m:rPr>
            <m:sty m:val="p"/>
          </m:rPr>
          <m:t>%</m:t>
        </m:r>
      </m:oMath>
      <w:r>
        <w:t xml:space="preserve"> </w:t>
      </w:r>
      <w:r>
        <w:t xml:space="preserve">questionnaire ceiling, whereas static late concatenation collapsed to</w:t>
      </w:r>
      <w:r>
        <w:t xml:space="preserve"> </w:t>
      </w:r>
      <m:oMath>
        <m:r>
          <m:t>60.87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Modality Routing &amp; Vasoconstriction Drop:</w:t>
      </w:r>
    </w:p>
    <w:p>
      <w:pPr>
        <w:pStyle w:val="Compact"/>
        <w:numPr>
          <w:ilvl w:val="1"/>
          <w:numId w:val="1008"/>
        </w:numPr>
      </w:pPr>
      <w:r>
        <w:t xml:space="preserve">The mean visual attention weight (</w:t>
      </w:r>
      <m:oMath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f</m:t>
            </m:r>
            <m:r>
              <m:t>t</m:t>
            </m:r>
          </m:sub>
        </m:sSub>
      </m:oMath>
      <w:r>
        <w:t xml:space="preserve">) was</w:t>
      </w:r>
      <w:r>
        <w:t xml:space="preserve"> </w:t>
      </w:r>
      <m:oMath>
        <m:r>
          <m:t>0.4946</m:t>
        </m:r>
      </m:oMath>
      <w:r>
        <w:t xml:space="preserve"> </w:t>
      </w:r>
      <w:r>
        <w:t xml:space="preserve">for non-vapers, but dropped to</w:t>
      </w:r>
      <w:r>
        <w:t xml:space="preserve"> </w:t>
      </w:r>
      <m:oMath>
        <m:r>
          <m:t>0.1064</m:t>
        </m:r>
      </m:oMath>
      <w:r>
        <w:t xml:space="preserve"> </w:t>
      </w:r>
      <w:r>
        <w:t xml:space="preserve">for active vapers—representing a</w:t>
      </w:r>
      <w:r>
        <w:t xml:space="preserve"> </w:t>
      </w:r>
      <m:oMath>
        <m:r>
          <m:t>78.5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relative drop</w:t>
      </w:r>
      <w:r>
        <w:t xml:space="preserve"> </w:t>
      </w:r>
      <w:r>
        <w:t xml:space="preserve">in visual trust.</w:t>
      </w:r>
    </w:p>
    <w:p>
      <w:pPr>
        <w:pStyle w:val="Compact"/>
        <w:numPr>
          <w:ilvl w:val="1"/>
          <w:numId w:val="1008"/>
        </w:numPr>
      </w:pPr>
      <w:r>
        <w:t xml:space="preserve">Welch’s t-test confirmed the significance of this attention drop (</w:t>
      </w:r>
      <m:oMath>
        <m:r>
          <m:t>t</m:t>
        </m:r>
        <m:r>
          <m:rPr>
            <m:sty m:val="p"/>
          </m:rPr>
          <m:t>=</m:t>
        </m:r>
        <m:r>
          <m:t>16.441</m:t>
        </m:r>
        <m:r>
          <m:rPr>
            <m:sty m:val="p"/>
          </m:rPr>
          <m:t>,</m:t>
        </m:r>
        <m:r>
          <m:t>d</m:t>
        </m:r>
        <m:r>
          <m:t>f</m:t>
        </m:r>
        <m:r>
          <m:rPr>
            <m:sty m:val="p"/>
          </m:rPr>
          <m:t>=</m:t>
        </m:r>
        <m:r>
          <m:t>29.6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 with an astronomical 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effect size of</w:t>
      </w:r>
      <w:r>
        <w:t xml:space="preserve"> </w:t>
      </w:r>
      <m:oMath>
        <m:r>
          <m:t>4.99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Zero-Variance Noise Pruning:</w:t>
      </w:r>
      <w:r>
        <w:t xml:space="preserve"> </w:t>
      </w:r>
      <w:r>
        <w:t xml:space="preserve">The simulated radiographic channel (</w:t>
      </w:r>
      <m:oMath>
        <m:sSub>
          <m:e>
            <m:r>
              <m:t>s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d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) was pruned down to a cohort-wide mean attention weight of just</w:t>
      </w:r>
      <w:r>
        <w:t xml:space="preserve"> </w:t>
      </w:r>
      <m:oMath>
        <m:r>
          <m:t>1.77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d</m:t>
            </m:r>
          </m:sub>
        </m:sSub>
        <m:r>
          <m:rPr>
            <m:sty m:val="p"/>
          </m:rPr>
          <m:t>=</m:t>
        </m:r>
        <m:r>
          <m:t>0.0177</m:t>
        </m:r>
      </m:oMath>
      <w:r>
        <w:t xml:space="preserve">), proving the network’s capacity to suppress uninformative noise.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Fisher’s Exact Test (Modality Dismissal):</w:t>
      </w:r>
      <w:r>
        <w:t xml:space="preserve"> </w:t>
      </w:r>
      <w:r>
        <w:t xml:space="preserve">Setting a threshold of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&lt;</m:t>
        </m:r>
        <m:r>
          <m:t>0.25</m:t>
        </m:r>
      </m:oMath>
      <w:r>
        <w:t xml:space="preserve">, the model dismissed the visual channel in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out of</w:t>
      </w:r>
      <w:r>
        <w:t xml:space="preserve"> </w:t>
      </w:r>
      <m:oMath>
        <m:r>
          <m:t>22</m:t>
        </m:r>
      </m:oMath>
      <w:r>
        <w:t xml:space="preserve"> </w:t>
      </w:r>
      <w:r>
        <w:t xml:space="preserve">active vapers (</w:t>
      </w:r>
      <m:oMath>
        <m:r>
          <m:t>81.8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out of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non-vapers (</w:t>
      </w:r>
      <m:oMath>
        <m:r>
          <m:t>0</m:t>
        </m:r>
        <m:r>
          <m:rPr>
            <m:sty m:val="p"/>
          </m:rPr>
          <m:t>%</m:t>
        </m:r>
      </m:oMath>
      <w:r>
        <w:t xml:space="preserve">). This perfect separation was highly significant (</w:t>
      </w:r>
      <m:oMath>
        <m:r>
          <m:t>p</m:t>
        </m:r>
        <m:r>
          <m:rPr>
            <m:sty m:val="p"/>
          </m:rPr>
          <m:t>=</m:t>
        </m:r>
        <m:r>
          <m:t>2.64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Continuous Dose-Response Behavior:</w:t>
      </w:r>
      <w:r>
        <w:t xml:space="preserve"> </w:t>
      </w:r>
      <w:r>
        <w:t xml:space="preserve">The 4 active vaper outliers who retained partial visual attention (</w:t>
      </w:r>
      <m:oMath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f</m:t>
            </m:r>
            <m:r>
              <m:t>t</m:t>
            </m:r>
          </m:sub>
        </m:sSub>
        <m:r>
          <m:rPr>
            <m:sty m:val="p"/>
          </m:rPr>
          <m:t>&gt;</m:t>
        </m:r>
        <m:r>
          <m:t>0.25</m:t>
        </m:r>
      </m:oMath>
      <w:r>
        <w:t xml:space="preserve">) were clinically verified to have lighter exposure profiles (Patient ID 2 and 19 vaped</w:t>
      </w:r>
      <w:r>
        <w:t xml:space="preserve"> </w:t>
      </w:r>
      <w:r>
        <w:t xml:space="preserve">“rarely, &lt;1 time/week”</w:t>
      </w:r>
      <w:r>
        <w:t xml:space="preserve">; Patient ID 27 and 58 vaped daily but had short exposure durations of &lt;1 year). The model autonomously routed trust proportionally to their exposure level, demonstrating continuous biological modeling rather than a binary switch.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McNemar’s Test (Clinical Superiority):</w:t>
      </w:r>
      <w:r>
        <w:t xml:space="preserve"> </w:t>
      </w:r>
      <w:r>
        <w:t xml:space="preserve">Pairwise evaluation showed that CAF corrected 4 patient classifications where the baseline failed (</w:t>
      </w:r>
      <m:oMath>
        <m:r>
          <m:t>p</m:t>
        </m:r>
        <m:r>
          <m:rPr>
            <m:sty m:val="p"/>
          </m:rPr>
          <m:t>=</m:t>
        </m:r>
        <m:r>
          <m:t>0.0455</m:t>
        </m:r>
      </m:oMath>
      <w:r>
        <w:t xml:space="preserve">), including correct visual suppression for diseased vapers and preventing visual false positives from localized red tissue.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Autonomous Discovery:</w:t>
      </w:r>
      <w:r>
        <w:t xml:space="preserve"> </w:t>
      </w:r>
      <w:r>
        <w:t xml:space="preserve">Crucially, the model was never explicitly trained on nicotine pharmacology or visual vasoconstriction; it independently discovered this routing strategy using classification error minimization alone.</w:t>
      </w:r>
    </w:p>
    <w:p>
      <w:r>
        <w:pict>
          <v:rect style="width:0;height:1.5pt" o:hralign="center" o:hrstd="t" o:hr="t"/>
        </w:pict>
      </w:r>
    </w:p>
    <w:bookmarkEnd w:id="14"/>
    <w:bookmarkStart w:id="15" w:name="future-scalability-blueprint"/>
    <w:p>
      <w:pPr>
        <w:pStyle w:val="Heading2"/>
      </w:pPr>
      <w:r>
        <w:t xml:space="preserve">7. Future Scalability Blueprint</w:t>
      </w:r>
    </w:p>
    <w:p>
      <w:pPr>
        <w:pStyle w:val="FirstParagraph"/>
      </w:pPr>
      <w:r>
        <w:t xml:space="preserve">To scale this architecture from a pilot proof-of-concept to a production clinical system, the next phases will replace manual score predictors with automated deep learning encoders: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Automated Modality Encoders:</w:t>
      </w:r>
      <w:r>
        <w:t xml:space="preserve"> </w:t>
      </w:r>
      <w:r>
        <w:t xml:space="preserve">Train a vision-language model (e.g., BiomedCLIP) or vision transformer (e.g., DINOv2) to extract 512-dimensional embeddings directly from clinical photographs and panoramic X-rays.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High-Dimensional Scaling:</w:t>
      </w:r>
      <w:r>
        <w:t xml:space="preserve"> </w:t>
      </w:r>
      <w:r>
        <w:t xml:space="preserve">The current design mathematically guarantees scalability without architectural modification: the scalar gate probability (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) can be directly multiplied by the entire 512-D visual vector.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Biological Prior Transfer:</w:t>
      </w:r>
      <w:r>
        <w:t xml:space="preserve"> </w:t>
      </w:r>
      <w:r>
        <w:t xml:space="preserve">Freeze the trained gating network as a</w:t>
      </w:r>
      <w:r>
        <w:t xml:space="preserve"> </w:t>
      </w:r>
      <w:r>
        <w:t xml:space="preserve">“biological prior”</w:t>
      </w:r>
      <w:r>
        <w:t xml:space="preserve"> </w:t>
      </w:r>
      <w:r>
        <w:t xml:space="preserve">representing vasoconstrictive masking, transferring it to guide diagnostic training on larger multi-center cohorts.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Generalization:</w:t>
      </w:r>
      <w:r>
        <w:t xml:space="preserve"> </w:t>
      </w:r>
      <w:r>
        <w:t xml:space="preserve">Generalize the confounder-driven gate to other nicotine-confounded clinical applications, such as post-surgical wound healing monitoring and peripheral cardiovascular perfusion assessments.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2026-06-09T12:01:26Z</dcterms:created>
  <dcterms:modified xsi:type="dcterms:W3CDTF">2026-06-09T12:01:26Z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