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77777777" w:rsidR="00460AC8" w:rsidRPr="00CD4B01" w:rsidRDefault="00460AC8" w:rsidP="00460AC8">
      <w:pPr>
        <w:spacing w:before="240" w:after="240" w:line="480" w:lineRule="auto"/>
        <w:jc w:val="both"/>
        <w:rPr>
          <w:b/>
          <w:sz w:val="24"/>
          <w:szCs w:val="24"/>
        </w:rPr>
      </w:pPr>
      <w:r w:rsidRPr="00CD4B01">
        <w:rPr>
          <w:b/>
          <w:sz w:val="24"/>
          <w:szCs w:val="24"/>
        </w:rPr>
        <w:t>Divergent responses of soil AOA and AOB to drought in drained and rewetted fen peatlands</w:t>
      </w:r>
    </w:p>
    <w:p w14:paraId="5A5A6D92" w14:textId="77777777" w:rsidR="00460AC8" w:rsidRPr="0065680B" w:rsidRDefault="00460AC8" w:rsidP="00460AC8">
      <w:pPr>
        <w:spacing w:line="480" w:lineRule="auto"/>
        <w:rPr>
          <w:sz w:val="24"/>
          <w:szCs w:val="24"/>
          <w:vertAlign w:val="superscript"/>
          <w:lang w:val="en-US"/>
        </w:rPr>
      </w:pPr>
      <w:r w:rsidRPr="0065680B">
        <w:rPr>
          <w:sz w:val="24"/>
          <w:szCs w:val="24"/>
          <w:highlight w:val="cyan"/>
          <w:lang w:val="en-US"/>
        </w:rPr>
        <w:t>[Authors]</w:t>
      </w:r>
    </w:p>
    <w:p w14:paraId="5A2A5E54" w14:textId="77777777" w:rsidR="00460AC8" w:rsidRPr="00CD4B01" w:rsidRDefault="00460AC8" w:rsidP="00460AC8">
      <w:pPr>
        <w:spacing w:line="480" w:lineRule="auto"/>
        <w:rPr>
          <w:i/>
          <w:iCs/>
          <w:sz w:val="24"/>
          <w:szCs w:val="24"/>
          <w:lang w:val="en-US"/>
        </w:rPr>
      </w:pPr>
      <w:r w:rsidRPr="00CD4B01">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2671AE69" w14:textId="77777777" w:rsidR="00460AC8" w:rsidRPr="00CD4B01" w:rsidRDefault="00460AC8" w:rsidP="00460AC8">
      <w:pPr>
        <w:spacing w:line="480" w:lineRule="auto"/>
        <w:rPr>
          <w:i/>
          <w:iCs/>
          <w:sz w:val="24"/>
          <w:szCs w:val="24"/>
          <w:lang w:val="en-US"/>
        </w:rPr>
      </w:pPr>
    </w:p>
    <w:p w14:paraId="723CA937" w14:textId="77777777" w:rsidR="00460AC8" w:rsidRPr="00CD4B01" w:rsidRDefault="00460AC8" w:rsidP="00460AC8">
      <w:pPr>
        <w:spacing w:line="480" w:lineRule="auto"/>
        <w:rPr>
          <w:i/>
          <w:iCs/>
          <w:sz w:val="24"/>
          <w:szCs w:val="24"/>
          <w:lang w:val="en-US"/>
        </w:rPr>
      </w:pPr>
      <w:r w:rsidRPr="00CD4B01">
        <w:rPr>
          <w:i/>
          <w:iCs/>
          <w:sz w:val="24"/>
          <w:szCs w:val="24"/>
          <w:lang w:val="en-US"/>
        </w:rPr>
        <w:t>* [</w:t>
      </w:r>
      <w:r w:rsidRPr="00CD4B01">
        <w:rPr>
          <w:i/>
          <w:iCs/>
          <w:sz w:val="24"/>
          <w:szCs w:val="24"/>
          <w:highlight w:val="cyan"/>
          <w:lang w:val="en-US"/>
        </w:rPr>
        <w:t>corresponding author:</w:t>
      </w:r>
      <w:r w:rsidRPr="00CD4B01">
        <w:rPr>
          <w:i/>
          <w:iCs/>
          <w:sz w:val="24"/>
          <w:szCs w:val="24"/>
          <w:lang w:val="en-US"/>
        </w:rPr>
        <w:t>]</w:t>
      </w:r>
    </w:p>
    <w:p w14:paraId="1C34903A" w14:textId="77777777" w:rsidR="00357540" w:rsidRPr="00CD4B01" w:rsidRDefault="009D334C" w:rsidP="00460AC8">
      <w:pPr>
        <w:spacing w:before="240" w:after="240" w:line="480" w:lineRule="auto"/>
        <w:jc w:val="both"/>
        <w:rPr>
          <w:b/>
          <w:sz w:val="24"/>
          <w:szCs w:val="24"/>
        </w:rPr>
      </w:pPr>
      <w:r w:rsidRPr="00CD4B01">
        <w:rPr>
          <w:b/>
          <w:sz w:val="24"/>
          <w:szCs w:val="24"/>
        </w:rPr>
        <w:br w:type="page"/>
      </w:r>
    </w:p>
    <w:p w14:paraId="278DD49E"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77777777"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However, this carbon storage function is threatened by the increasing nitrogen eutrophication of soil since the industrial revolution</w:t>
      </w:r>
      <w:r w:rsidR="00797AA4">
        <w:t xml:space="preserve"> </w:t>
      </w:r>
      <w:r w:rsidR="00797AA4">
        <w:fldChar w:fldCharType="begin"/>
      </w:r>
      <w:r w:rsidR="00797AA4">
        <w:instrText xml:space="preserve"> ADDIN ZOTERO_ITEM CSL_CITATION {"citationID":"pATXqOoo","properties":{"formattedCitation":"[2]","plainCitation":"[2]","noteIndex":0},"citationItems":[{"id":2,"uris":["http://zotero.org/users/local/lzRxkMmx/items/XCWTCIS5"],"itemData":{"id":2,"type":"document","language":"en","title":"Anthropogenic global shifts in biospheric N and P concentrations and ratios and their impacts on biodiversity, ecosystem productivity, food security, and human health","author":[{"family":"Penuelas","given":"J."},{"family":"Janssens","given":"I.A."},{"family":"Ciais","given":"P."},{"family":"Obersteiner","given":"M."},{"family":"Sardans","given":"J."}]}}],"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disadvantages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97AA4">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97AA4">
        <w:instrText xml:space="preserve"> ADDIN ZOTERO_ITEM CSL_CITATION {"citationID":"Kuoyj26t","properties":{"formattedCitation":"[4]","plainCitation":"[4]","noteIndex":0},"citationItems":[{"id":5,"uris":["http://zotero.org/users/local/lzRxkMmx/items/SB8WCZCA"],"itemData":{"id":5,"type":"article-journal","container-title":"Environ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77777777"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Pr="00CD4B01">
        <w:rPr>
          <w:i/>
          <w:sz w:val="24"/>
          <w:szCs w:val="24"/>
        </w:rPr>
        <w:t>amo</w:t>
      </w:r>
      <w:r w:rsidRPr="00CD4B01">
        <w:rPr>
          <w:sz w:val="24"/>
          <w:szCs w:val="24"/>
        </w:rPr>
        <w:t xml:space="preserve"> and B</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7777777"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Wetscapes fen sites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77777777" w:rsidR="008332B6" w:rsidRDefault="009D334C" w:rsidP="008015E0">
      <w:pPr>
        <w:spacing w:before="240" w:after="240" w:line="480" w:lineRule="auto"/>
        <w:rPr>
          <w:color w:val="222222"/>
          <w:sz w:val="24"/>
          <w:szCs w:val="24"/>
        </w:rPr>
      </w:pPr>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 However, there has been no studies to date studying the impact of these extreme drought cycles on nitrification in central European peatlands, which is vital to understand drought impacts on peatland ecosystem functions from carbon storage to greenhouse gas emissions.</w:t>
      </w:r>
    </w:p>
    <w:p w14:paraId="228A2AE3" w14:textId="77777777" w:rsidR="008332B6" w:rsidRDefault="009D334C" w:rsidP="008015E0">
      <w:pPr>
        <w:spacing w:before="240" w:after="240" w:line="480" w:lineRule="auto"/>
        <w:rPr>
          <w:color w:val="222222"/>
          <w:sz w:val="24"/>
          <w:szCs w:val="24"/>
        </w:rPr>
      </w:pPr>
      <w:r w:rsidRPr="00CD4B01">
        <w:rPr>
          <w:sz w:val="24"/>
          <w:szCs w:val="24"/>
        </w:rPr>
        <w:t xml:space="preserve">Prior studies have been inconclusive in determining a standard ammonia oxidizer drought response;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evidence 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9379A9">
        <w:instrText xml:space="preserve"> ADDIN ZOTERO_ITEM CSL_CITATION {"citationID":"HNroxe9L","properties":{"formattedCitation":"[4]","plainCitation":"[4]","noteIndex":0},"citationItems":[{"id":5,"uris":["http://zotero.org/users/local/lzRxkMmx/items/SB8WCZCA"],"itemData":{"id":5,"type":"article-journal","container-title":"Environ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E5705DC"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sequencing across six time points.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amoA gene abundances during the 2018 drought cycle. We hypothesize that both AOA and AOB abundances will increase under drought conditions due to aeration in the soil as the water table lowers, facilitating the activities of obligate aerobe ammonia oxidizers. Further, ammonia oxidizing archaea </w:t>
      </w:r>
      <w:r w:rsidRPr="00CD4B01">
        <w:rPr>
          <w:sz w:val="24"/>
          <w:szCs w:val="24"/>
        </w:rPr>
        <w:lastRenderedPageBreak/>
        <w:t>should have higher abundances and demonstrate a greater drought response than ammonia oxidizing bacteria because of their higher substrate affinity in acidic soils such as those at the fen sites. Finally, we expect that the rewetted fen nitrogen cycling microbiomes will display greater resilience to drought conditions than those in the drained fens,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CC6EF35" w:rsidR="009D334C" w:rsidRDefault="009D334C" w:rsidP="009D334C">
      <w:pPr>
        <w:spacing w:before="240" w:after="240" w:line="480" w:lineRule="auto"/>
        <w:ind w:left="360"/>
        <w:rPr>
          <w:b/>
          <w:sz w:val="24"/>
          <w:szCs w:val="24"/>
        </w:rPr>
      </w:pPr>
      <w:r w:rsidRPr="00CD4B01">
        <w:rPr>
          <w:b/>
          <w:sz w:val="24"/>
          <w:szCs w:val="24"/>
        </w:rPr>
        <w:t>2.1 Sample collection</w:t>
      </w:r>
    </w:p>
    <w:p w14:paraId="26D3B15A" w14:textId="0521291F" w:rsidR="00984390" w:rsidRPr="00984390" w:rsidRDefault="00984390" w:rsidP="009D334C">
      <w:pPr>
        <w:spacing w:before="240" w:after="240" w:line="480" w:lineRule="auto"/>
        <w:ind w:left="360"/>
        <w:rPr>
          <w:sz w:val="24"/>
          <w:szCs w:val="24"/>
        </w:rPr>
      </w:pPr>
      <w:r>
        <w:rPr>
          <w:sz w:val="24"/>
          <w:szCs w:val="24"/>
          <w:highlight w:val="cyan"/>
        </w:rPr>
        <w:t>[</w:t>
      </w:r>
      <w:r w:rsidRPr="00984390">
        <w:rPr>
          <w:sz w:val="24"/>
          <w:szCs w:val="24"/>
          <w:highlight w:val="cyan"/>
        </w:rPr>
        <w:t>check that this is not too similar to other wetscapes papers]</w:t>
      </w:r>
    </w:p>
    <w:p w14:paraId="729918EA" w14:textId="4A0617BC" w:rsidR="00357540" w:rsidRPr="00CD4B01" w:rsidRDefault="009D334C" w:rsidP="009D334C">
      <w:pPr>
        <w:spacing w:before="240" w:after="240" w:line="480" w:lineRule="auto"/>
        <w:rPr>
          <w:sz w:val="24"/>
          <w:szCs w:val="24"/>
        </w:rPr>
      </w:pPr>
      <w:bookmarkStart w:id="0" w:name="_15lhibsf1fxw" w:colFirst="0" w:colLast="0"/>
      <w:bookmarkStart w:id="1" w:name="_ld4uyrza8krj" w:colFirst="0" w:colLast="0"/>
      <w:bookmarkEnd w:id="0"/>
      <w:bookmarkEnd w:id="1"/>
      <w:r w:rsidRPr="00CD4B01">
        <w:rPr>
          <w:sz w:val="24"/>
          <w:szCs w:val="24"/>
        </w:rPr>
        <w:t>The samples analyzed in this study were collected from WETSCAPES project sites between April 2017 and October 2019. The WETSCAPES sampling sites and methods are extensively described and are briefly included here</w:t>
      </w:r>
      <w:r w:rsidR="000B1D0F">
        <w:rPr>
          <w:sz w:val="24"/>
          <w:szCs w:val="24"/>
        </w:rPr>
        <w:t xml:space="preserve"> </w:t>
      </w:r>
      <w:r w:rsidR="008015E0">
        <w:rPr>
          <w:sz w:val="24"/>
          <w:szCs w:val="24"/>
        </w:rPr>
        <w:fldChar w:fldCharType="begin"/>
      </w:r>
      <w:r w:rsidR="008015E0">
        <w:rPr>
          <w:sz w:val="24"/>
          <w:szCs w:val="24"/>
        </w:rPr>
        <w:instrText xml:space="preserve"> ADDIN ZOTERO_ITEM CSL_CITATION {"citationID":"ylsVW1uh","properties":{"formattedCitation":"[21,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8015E0">
        <w:rPr>
          <w:sz w:val="24"/>
          <w:szCs w:val="24"/>
        </w:rPr>
        <w:fldChar w:fldCharType="separate"/>
      </w:r>
      <w:r w:rsidR="008015E0" w:rsidRPr="008015E0">
        <w:rPr>
          <w:sz w:val="24"/>
        </w:rPr>
        <w:t>[21, 36, 37]</w:t>
      </w:r>
      <w:r w:rsidR="008015E0">
        <w:rPr>
          <w:sz w:val="24"/>
          <w:szCs w:val="24"/>
        </w:rPr>
        <w:fldChar w:fldCharType="end"/>
      </w:r>
      <w:r w:rsidRPr="00CD4B01">
        <w:rPr>
          <w:sz w:val="24"/>
          <w:szCs w:val="24"/>
        </w:rPr>
        <w:t>. The samples included in this study were collected from paired drained and rewetted sites of a percolation fen (PD, PW) and coastal fen (CD, CW) in Mecklenburg-Vorpommern, Germany. The percolation fens are in the catchment area of the rivers Trebel and Recknitz and were deeply drained in the 20th century before the PW site was rewetted in 1998 as part of an EU-Life initiative</w:t>
      </w:r>
      <w:r w:rsidR="008015E0">
        <w:rPr>
          <w:sz w:val="24"/>
          <w:szCs w:val="24"/>
        </w:rPr>
        <w:t xml:space="preserve"> </w:t>
      </w:r>
      <w:r w:rsidR="008015E0">
        <w:rPr>
          <w:sz w:val="24"/>
          <w:szCs w:val="24"/>
        </w:rPr>
        <w:fldChar w:fldCharType="begin"/>
      </w:r>
      <w:r w:rsidR="008015E0">
        <w:rPr>
          <w:sz w:val="24"/>
          <w:szCs w:val="24"/>
        </w:rPr>
        <w:instrText xml:space="preserve"> ADDIN ZOTERO_ITEM CSL_CITATION {"citationID":"YH2M15l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rPr>
          <w:sz w:val="24"/>
          <w:szCs w:val="24"/>
        </w:rPr>
        <w:fldChar w:fldCharType="separate"/>
      </w:r>
      <w:r w:rsidR="008015E0" w:rsidRPr="008015E0">
        <w:rPr>
          <w:sz w:val="24"/>
        </w:rPr>
        <w:t>[36]</w:t>
      </w:r>
      <w:r w:rsidR="008015E0">
        <w:rPr>
          <w:sz w:val="24"/>
          <w:szCs w:val="24"/>
        </w:rPr>
        <w:fldChar w:fldCharType="end"/>
      </w:r>
      <w:r w:rsidRPr="00CD4B01">
        <w:rPr>
          <w:sz w:val="24"/>
          <w:szCs w:val="24"/>
        </w:rPr>
        <w:t>. The coastal fens were first drained for agricultural purposes in 1850; the CW site was rewetted via dyke removal in 1993 and has since been periodically flooded by brackish water from the Bay of Greifswald on the Baltic Sea</w:t>
      </w:r>
      <w:r w:rsidR="008015E0">
        <w:t xml:space="preserve"> </w:t>
      </w:r>
      <w:r w:rsidR="008015E0">
        <w:fldChar w:fldCharType="begin"/>
      </w:r>
      <w:r w:rsidR="008015E0">
        <w:instrText xml:space="preserve"> ADDIN ZOTERO_ITEM CSL_CITATION {"citationID":"zbM8B0iM","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fldChar w:fldCharType="separate"/>
      </w:r>
      <w:r w:rsidR="008015E0" w:rsidRPr="008015E0">
        <w:t>[36]</w:t>
      </w:r>
      <w:r w:rsidR="008015E0">
        <w:fldChar w:fldCharType="end"/>
      </w:r>
      <w:r w:rsidRPr="00CD4B01">
        <w:rPr>
          <w:sz w:val="24"/>
          <w:szCs w:val="24"/>
        </w:rPr>
        <w:t xml:space="preserve">. While both coastal sites and PD are currently used for cattle pasture, the </w:t>
      </w:r>
      <w:r w:rsidRPr="00CD4B01">
        <w:rPr>
          <w:sz w:val="24"/>
          <w:szCs w:val="24"/>
        </w:rPr>
        <w:lastRenderedPageBreak/>
        <w:t>PW site is not utilized for agricultural purposes and is managed via biannual mowing</w:t>
      </w:r>
      <w:r w:rsidR="008015E0">
        <w:t xml:space="preserve"> </w:t>
      </w:r>
      <w:r w:rsidR="008015E0">
        <w:fldChar w:fldCharType="begin"/>
      </w:r>
      <w:r w:rsidR="008015E0">
        <w:instrText xml:space="preserve"> ADDIN ZOTERO_ITEM CSL_CITATION {"citationID":"q8g9PEqR","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sidR="008015E0">
        <w:fldChar w:fldCharType="separate"/>
      </w:r>
      <w:r w:rsidR="008015E0" w:rsidRPr="008015E0">
        <w:t>[36]</w:t>
      </w:r>
      <w:r w:rsidR="008015E0">
        <w:fldChar w:fldCharType="end"/>
      </w:r>
      <w:r w:rsidRPr="00CD4B01">
        <w:rPr>
          <w:sz w:val="24"/>
          <w:szCs w:val="24"/>
        </w:rPr>
        <w:t>.</w:t>
      </w:r>
    </w:p>
    <w:p w14:paraId="765DB99F" w14:textId="77777777" w:rsidR="00357540" w:rsidRPr="00CD4B01" w:rsidRDefault="009D334C" w:rsidP="009D334C">
      <w:pPr>
        <w:spacing w:before="240" w:after="240" w:line="480" w:lineRule="auto"/>
        <w:rPr>
          <w:sz w:val="24"/>
          <w:szCs w:val="24"/>
        </w:rPr>
      </w:pPr>
      <w:r w:rsidRPr="00CD4B01">
        <w:rPr>
          <w:sz w:val="24"/>
          <w:szCs w:val="24"/>
        </w:rPr>
        <w:t xml:space="preserve">Peat cores were sampled in triplicate from each of the sites bi-monthly for three years (February, April, June, August, October and December between 2017 and 2019). Samples were removed from each core at a depth of 05-10 cm, homogenized and stored on ice while in the field before long-term storage at -20°C. </w:t>
      </w:r>
    </w:p>
    <w:p w14:paraId="04A70945" w14:textId="77777777" w:rsidR="00357540" w:rsidRPr="00CD4B01" w:rsidRDefault="009D334C" w:rsidP="009D334C">
      <w:pPr>
        <w:spacing w:before="240" w:after="240" w:line="480" w:lineRule="auto"/>
        <w:rPr>
          <w:sz w:val="24"/>
          <w:szCs w:val="24"/>
        </w:rPr>
      </w:pPr>
      <w:r w:rsidRPr="00CD4B01">
        <w:rPr>
          <w:sz w:val="24"/>
          <w:szCs w:val="24"/>
        </w:rPr>
        <w:t>Site water levels and soil temperatures were respectively monitored on a continuous basis between September 2017 and February 2020 with Campbell Scientific CR300 Dataloggers (Logan, USA) and HOBO Dataloggers (Bourne, USA).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2" w:name="_lg3lnejwpcqo" w:colFirst="0" w:colLast="0"/>
      <w:bookmarkEnd w:id="2"/>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F12CC55" w:rsidR="00357540" w:rsidRPr="00CD4B01" w:rsidRDefault="009D334C" w:rsidP="009D334C">
      <w:pPr>
        <w:spacing w:before="240" w:after="240" w:line="480" w:lineRule="auto"/>
        <w:rPr>
          <w:sz w:val="24"/>
          <w:szCs w:val="24"/>
        </w:rPr>
      </w:pPr>
      <w:r w:rsidRPr="00CD4B01">
        <w:rPr>
          <w:sz w:val="24"/>
          <w:szCs w:val="24"/>
        </w:rPr>
        <w:t xml:space="preserve">The RNA and 16S rRNA extraction protocols have previously been described in detail; brief summaries are included in the supplementary information; information regarding amplicon sequence processing is also available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8015E0" w:rsidRPr="008015E0">
        <w:rPr>
          <w:sz w:val="24"/>
        </w:rPr>
        <w:t>[21, 36, 38]</w:t>
      </w:r>
      <w:r w:rsidR="008015E0">
        <w:rPr>
          <w:sz w:val="24"/>
          <w:szCs w:val="24"/>
        </w:rPr>
        <w:fldChar w:fldCharType="end"/>
      </w:r>
      <w:r w:rsidRPr="00CD4B01">
        <w:rPr>
          <w:sz w:val="24"/>
          <w:szCs w:val="24"/>
        </w:rPr>
        <w:t xml:space="preserve">. The qPCR protocol for the 16S rRNA gene is also described in these publications, and here is multiplied with the 16S rRNA relative abundance data to analyze the absolute abundances of various ASVs. </w:t>
      </w:r>
    </w:p>
    <w:p w14:paraId="5F7E0B20" w14:textId="5F9B21C1" w:rsidR="00357540" w:rsidRPr="00CD4B01" w:rsidRDefault="009D334C" w:rsidP="009D334C">
      <w:pPr>
        <w:spacing w:before="240" w:after="240" w:line="480" w:lineRule="auto"/>
        <w:rPr>
          <w:sz w:val="24"/>
          <w:szCs w:val="24"/>
        </w:rPr>
      </w:pPr>
      <w:r w:rsidRPr="00CD4B01">
        <w:rPr>
          <w:sz w:val="24"/>
          <w:szCs w:val="24"/>
        </w:rPr>
        <w:lastRenderedPageBreak/>
        <w:t xml:space="preserve">Quantitative PCR of bacterial and archaeal amoA genes were performed with the amoA-1F/2R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camoA-19F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/tamoA-629R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004400CC" w:rsidRPr="004400CC">
        <w:rPr>
          <w:sz w:val="24"/>
          <w:szCs w:val="24"/>
          <w:highlight w:val="cyan"/>
        </w:rPr>
        <w:t>Check these citations are correct</w:t>
      </w:r>
      <w:r w:rsidR="004400CC">
        <w:rPr>
          <w:sz w:val="24"/>
          <w:szCs w:val="24"/>
        </w:rPr>
        <w:t xml:space="preserve">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amoA) and 5 minutes (bacterial amoA); 40 3-step cycles of 30 seconds denaturation at 95°C, 45 seconds annealing at 55°C, and elongation and scanning for 45 seconds at 72°C; and finally melting from 60 to 95°C for 15 seconds with ΔT 1°C. The reactions were quantified based on serial dilution standard curves  of 10⁸-10² gene copies for bacterial </w:t>
      </w:r>
      <w:r w:rsidRPr="00CD4B01">
        <w:rPr>
          <w:i/>
          <w:sz w:val="24"/>
          <w:szCs w:val="24"/>
        </w:rPr>
        <w:t>amoA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amoA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amoA reactions were 0.99; the average slopes were -3.60 and -3.44, respectively, for the archaeal and bacterial amoA reactions; and the mean reaction efficiencies were 0.90 and 0.96. </w:t>
      </w:r>
    </w:p>
    <w:p w14:paraId="017DAF08" w14:textId="06C7A67A"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with the RNA extractions used the same reaction cycles respective to bacterial and archaeal </w:t>
      </w:r>
      <w:r w:rsidRPr="00CD4B01">
        <w:rPr>
          <w:i/>
          <w:sz w:val="24"/>
          <w:szCs w:val="24"/>
        </w:rPr>
        <w:t>amoA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w:t>
      </w:r>
      <w:r w:rsidRPr="00CD4B01">
        <w:rPr>
          <w:sz w:val="24"/>
          <w:szCs w:val="24"/>
        </w:rPr>
        <w:lastRenderedPageBreak/>
        <w:t xml:space="preserve">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in an efficiency of 0.93 and slope of -3.52 (R² = 0.999); the results of the AOB protocol were an efficiency of 0.88 and slope of -3.65 (R² = 0.999). </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194F7E5B" w:rsidR="00357540" w:rsidRPr="00CD4B01" w:rsidRDefault="009D334C" w:rsidP="009D334C">
      <w:pPr>
        <w:spacing w:before="240" w:after="240" w:line="480" w:lineRule="auto"/>
        <w:rPr>
          <w:sz w:val="24"/>
          <w:szCs w:val="24"/>
        </w:rPr>
      </w:pPr>
      <w:bookmarkStart w:id="3" w:name="_yp3phgn5qiw3" w:colFirst="0" w:colLast="0"/>
      <w:bookmarkEnd w:id="3"/>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vegan’s Adonis2 package (distance method ‘Bray’). </w:t>
      </w:r>
    </w:p>
    <w:p w14:paraId="793BA1FA" w14:textId="26AB3CA5"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different time points were calculated using the Kruskal-Wallis rank sum test</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w:t>
      </w:r>
      <w:r w:rsidRPr="00CD4B01">
        <w:rPr>
          <w:sz w:val="24"/>
          <w:szCs w:val="24"/>
        </w:rPr>
        <w:lastRenderedPageBreak/>
        <w:t xml:space="preserve">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{"citationID":"ShHKW5ke","properties":{"formattedCitation":"[49]","plainCitation":"[49]","noteIndex":0},"citationItems":[{"id":50,"uris":["http://zotero.org/users/local/lzRxkMmx/items/Z6SKIIWT"],"itemData":{"id":50,"type":"book","language":"no","publisher":"Springer-Verlag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4400CC" w:rsidRPr="004400CC">
        <w:rPr>
          <w:sz w:val="24"/>
        </w:rPr>
        <w:t>[49]</w:t>
      </w:r>
      <w:r w:rsidR="004400CC">
        <w:rPr>
          <w:sz w:val="24"/>
          <w:szCs w:val="24"/>
        </w:rPr>
        <w:fldChar w:fldCharType="end"/>
      </w:r>
      <w:r w:rsidRPr="00CD4B01">
        <w:rPr>
          <w:sz w:val="24"/>
          <w:szCs w:val="24"/>
        </w:rPr>
        <w:t xml:space="preserve">. </w:t>
      </w:r>
      <w:bookmarkStart w:id="4" w:name="_xxgxrit529f7" w:colFirst="0" w:colLast="0"/>
      <w:bookmarkEnd w:id="4"/>
    </w:p>
    <w:p w14:paraId="7FC1E017" w14:textId="77777777" w:rsidR="009D334C" w:rsidRPr="00CD4B01" w:rsidRDefault="009D334C" w:rsidP="009D334C">
      <w:pPr>
        <w:spacing w:before="240" w:after="240" w:line="480" w:lineRule="auto"/>
        <w:rPr>
          <w:b/>
          <w:sz w:val="24"/>
          <w:szCs w:val="24"/>
        </w:rPr>
      </w:pPr>
      <w:r w:rsidRPr="00CD4B01">
        <w:rPr>
          <w:b/>
          <w:sz w:val="24"/>
          <w:szCs w:val="24"/>
        </w:rPr>
        <w:t>2.4 K-means algorithm for drought definition</w:t>
      </w:r>
    </w:p>
    <w:p w14:paraId="197E68AF" w14:textId="3821186C"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{"citationID":"mcjwqZVT","properties":{"formattedCitation":"[50]","plainCitation":"[50]","noteIndex":0},"citationItems":[{"id":51,"uris":["http://zotero.org/users/local/lzRxkMmx/items/CCZMT6IY"],"itemData":{"id":51,"type":"book","language":"en","publisher":"Defense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4400CC" w:rsidRPr="004400CC">
        <w:rPr>
          <w:sz w:val="24"/>
        </w:rPr>
        <w:t>[50]</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4400CC">
        <w:rPr>
          <w:sz w:val="24"/>
          <w:szCs w:val="24"/>
        </w:rPr>
        <w:instrText xml:space="preserve"> ADDIN ZOTERO_ITEM CSL_CITATION {"citationID":"diN333gJ","properties":{"formattedCitation":"[51]","plainCitation":"[51]","noteIndex":0},"citationItems":[{"id":52,"uris":["http://zotero.org/users/local/lzRxkMmx/items/X8X8DBYW"],"itemData":{"id":52,"type":"document","language":"en","title":"cluster: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4400CC" w:rsidRPr="004400CC">
        <w:rPr>
          <w:sz w:val="24"/>
        </w:rPr>
        <w:t>[51]</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4400CC">
        <w:rPr>
          <w:sz w:val="24"/>
          <w:szCs w:val="24"/>
        </w:rPr>
        <w:instrText xml:space="preserve"> ADDIN ZOTERO_ITEM CSL_CITATION {"citationID":"OszbSU8E","properties":{"formattedCitation":"[52]","plainCitation":"[52]","noteIndex":0},"citationItems":[{"id":53,"uris":["http://zotero.org/users/local/lzRxkMmx/items/WPWRHVDG"],"itemData":{"id":53,"type":"article-journal","container-title":"J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4400CC" w:rsidRPr="004400CC">
        <w:rPr>
          <w:sz w:val="24"/>
        </w:rPr>
        <w:t>[52]</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rPr>
                      <w:rFonts w:ascii="Cambria Math" w:hAnsi="Cambria Math"/>
                      <w:i/>
                      <w:sz w:val="24"/>
                      <w:szCs w:val="24"/>
                      <w:lang w:val="de-DE"/>
                    </w:rPr>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357540"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PD</w:t>
            </w:r>
          </w:p>
        </w:tc>
        <w:tc>
          <w:tcPr>
            <w:tcW w:w="1425" w:type="dxa"/>
            <w:shd w:val="clear" w:color="auto" w:fill="auto"/>
            <w:tcMar>
              <w:top w:w="100" w:type="dxa"/>
              <w:left w:w="100" w:type="dxa"/>
              <w:bottom w:w="100" w:type="dxa"/>
              <w:right w:w="100" w:type="dxa"/>
            </w:tcMar>
          </w:tcPr>
          <w:p w14:paraId="1B2E67E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-27.2</w:t>
            </w:r>
          </w:p>
        </w:tc>
        <w:tc>
          <w:tcPr>
            <w:tcW w:w="1565" w:type="dxa"/>
            <w:shd w:val="clear" w:color="auto" w:fill="auto"/>
            <w:tcMar>
              <w:top w:w="100" w:type="dxa"/>
              <w:left w:w="100" w:type="dxa"/>
              <w:bottom w:w="100" w:type="dxa"/>
              <w:right w:w="100" w:type="dxa"/>
            </w:tcMar>
          </w:tcPr>
          <w:p w14:paraId="5E55891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0.21</w:t>
            </w:r>
          </w:p>
        </w:tc>
        <w:tc>
          <w:tcPr>
            <w:tcW w:w="1330" w:type="dxa"/>
            <w:shd w:val="clear" w:color="auto" w:fill="auto"/>
            <w:tcMar>
              <w:top w:w="100" w:type="dxa"/>
              <w:left w:w="100" w:type="dxa"/>
              <w:bottom w:w="100" w:type="dxa"/>
              <w:right w:w="100" w:type="dxa"/>
            </w:tcMar>
          </w:tcPr>
          <w:p w14:paraId="12795F0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-31.05</w:t>
            </w:r>
          </w:p>
        </w:tc>
        <w:tc>
          <w:tcPr>
            <w:tcW w:w="1550" w:type="dxa"/>
            <w:shd w:val="clear" w:color="auto" w:fill="auto"/>
            <w:tcMar>
              <w:top w:w="100" w:type="dxa"/>
              <w:left w:w="100" w:type="dxa"/>
              <w:bottom w:w="100" w:type="dxa"/>
              <w:right w:w="100" w:type="dxa"/>
            </w:tcMar>
          </w:tcPr>
          <w:p w14:paraId="5540167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16.05.2018-08.12.2018</w:t>
            </w:r>
          </w:p>
        </w:tc>
        <w:tc>
          <w:tcPr>
            <w:tcW w:w="1530" w:type="dxa"/>
            <w:shd w:val="clear" w:color="auto" w:fill="auto"/>
            <w:tcMar>
              <w:top w:w="100" w:type="dxa"/>
              <w:left w:w="100" w:type="dxa"/>
              <w:bottom w:w="100" w:type="dxa"/>
              <w:right w:w="100" w:type="dxa"/>
            </w:tcMar>
          </w:tcPr>
          <w:p w14:paraId="16AABB8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20.04.2019-07.10.2019</w:t>
            </w:r>
          </w:p>
        </w:tc>
      </w:tr>
      <w:tr w:rsidR="00357540" w:rsidRPr="00CD4B01" w14:paraId="68B9CB77" w14:textId="77777777" w:rsidTr="00977741">
        <w:trPr>
          <w:jc w:val="center"/>
        </w:trPr>
        <w:tc>
          <w:tcPr>
            <w:tcW w:w="870" w:type="dxa"/>
            <w:shd w:val="clear" w:color="auto" w:fill="auto"/>
            <w:tcMar>
              <w:top w:w="100" w:type="dxa"/>
              <w:left w:w="100" w:type="dxa"/>
              <w:bottom w:w="100" w:type="dxa"/>
              <w:right w:w="100" w:type="dxa"/>
            </w:tcMar>
          </w:tcPr>
          <w:p w14:paraId="41208EE8"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917241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27D0369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79CBD79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1C1B6CD1"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632A4C30"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r w:rsidR="00357540" w:rsidRPr="00CD4B01" w14:paraId="5CDD1116" w14:textId="77777777" w:rsidTr="00977741">
        <w:trPr>
          <w:jc w:val="center"/>
        </w:trPr>
        <w:tc>
          <w:tcPr>
            <w:tcW w:w="870" w:type="dxa"/>
            <w:shd w:val="clear" w:color="auto" w:fill="auto"/>
            <w:tcMar>
              <w:top w:w="100" w:type="dxa"/>
              <w:left w:w="100" w:type="dxa"/>
              <w:bottom w:w="100" w:type="dxa"/>
              <w:right w:w="100" w:type="dxa"/>
            </w:tcMar>
          </w:tcPr>
          <w:p w14:paraId="3ABF8200"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CD</w:t>
            </w:r>
          </w:p>
        </w:tc>
        <w:tc>
          <w:tcPr>
            <w:tcW w:w="1425" w:type="dxa"/>
            <w:shd w:val="clear" w:color="auto" w:fill="auto"/>
            <w:tcMar>
              <w:top w:w="100" w:type="dxa"/>
              <w:left w:w="100" w:type="dxa"/>
              <w:bottom w:w="100" w:type="dxa"/>
              <w:right w:w="100" w:type="dxa"/>
            </w:tcMar>
          </w:tcPr>
          <w:p w14:paraId="5FEB17CF"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-44.3</w:t>
            </w:r>
          </w:p>
        </w:tc>
        <w:tc>
          <w:tcPr>
            <w:tcW w:w="1565" w:type="dxa"/>
            <w:shd w:val="clear" w:color="auto" w:fill="auto"/>
            <w:tcMar>
              <w:top w:w="100" w:type="dxa"/>
              <w:left w:w="100" w:type="dxa"/>
              <w:bottom w:w="100" w:type="dxa"/>
              <w:right w:w="100" w:type="dxa"/>
            </w:tcMar>
          </w:tcPr>
          <w:p w14:paraId="58FD49EC"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0.16</w:t>
            </w:r>
          </w:p>
        </w:tc>
        <w:tc>
          <w:tcPr>
            <w:tcW w:w="1330" w:type="dxa"/>
            <w:shd w:val="clear" w:color="auto" w:fill="auto"/>
            <w:tcMar>
              <w:top w:w="100" w:type="dxa"/>
              <w:left w:w="100" w:type="dxa"/>
              <w:bottom w:w="100" w:type="dxa"/>
              <w:right w:w="100" w:type="dxa"/>
            </w:tcMar>
          </w:tcPr>
          <w:p w14:paraId="0809C7E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-45.88</w:t>
            </w:r>
          </w:p>
        </w:tc>
        <w:tc>
          <w:tcPr>
            <w:tcW w:w="1550" w:type="dxa"/>
            <w:shd w:val="clear" w:color="auto" w:fill="auto"/>
            <w:tcMar>
              <w:top w:w="100" w:type="dxa"/>
              <w:left w:w="100" w:type="dxa"/>
              <w:bottom w:w="100" w:type="dxa"/>
              <w:right w:w="100" w:type="dxa"/>
            </w:tcMar>
          </w:tcPr>
          <w:p w14:paraId="7A4631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20.05.2018- 06.12.2018</w:t>
            </w:r>
          </w:p>
        </w:tc>
        <w:tc>
          <w:tcPr>
            <w:tcW w:w="1530" w:type="dxa"/>
            <w:shd w:val="clear" w:color="auto" w:fill="auto"/>
            <w:tcMar>
              <w:top w:w="100" w:type="dxa"/>
              <w:left w:w="100" w:type="dxa"/>
              <w:bottom w:w="100" w:type="dxa"/>
              <w:right w:w="100" w:type="dxa"/>
            </w:tcMar>
          </w:tcPr>
          <w:p w14:paraId="71E798C7"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08.04.2019-03.11.2019</w:t>
            </w:r>
          </w:p>
        </w:tc>
      </w:tr>
    </w:tbl>
    <w:p w14:paraId="2819D3D7" w14:textId="7D3415EA" w:rsidR="009D334C" w:rsidRPr="00977741" w:rsidRDefault="00977741"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57FFB14E">
                <wp:simplePos x="0" y="0"/>
                <wp:positionH relativeFrom="margin">
                  <wp:align>right</wp:align>
                </wp:positionH>
                <wp:positionV relativeFrom="page">
                  <wp:posOffset>3682365</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2348E91B" w:rsidR="001627C3" w:rsidRPr="00CD4B01" w:rsidRDefault="001627C3"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for each of the four study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89.9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" stroked="f">
                <v:textbox style="mso-fit-shape-to-text:t" inset="0,0,0,0">
                  <w:txbxContent>
                    <w:p w14:paraId="1D708FA9" w14:textId="2348E91B" w:rsidR="001627C3" w:rsidRPr="00CD4B01" w:rsidRDefault="001627C3"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for each of the four study sites.</w:t>
                      </w:r>
                    </w:p>
                  </w:txbxContent>
                </v:textbox>
                <w10:wrap type="square" anchorx="margin" anchory="page"/>
              </v:shape>
            </w:pict>
          </mc:Fallback>
        </mc:AlternateContent>
      </w:r>
      <w:bookmarkStart w:id="5" w:name="_z1v8aulsadua" w:colFirst="0" w:colLast="0"/>
      <w:bookmarkEnd w:id="5"/>
      <w:r w:rsidR="009D334C" w:rsidRPr="00CD4B01">
        <w:rPr>
          <w:b/>
          <w:sz w:val="24"/>
          <w:szCs w:val="24"/>
        </w:rPr>
        <w:t>2.5 Phylogenetic tree construction</w:t>
      </w:r>
    </w:p>
    <w:p w14:paraId="01E0A3D2" w14:textId="66904D41" w:rsidR="00357540" w:rsidRPr="00CD4B01" w:rsidRDefault="009D334C" w:rsidP="009D334C">
      <w:pPr>
        <w:spacing w:before="240" w:after="240" w:line="480" w:lineRule="auto"/>
        <w:rPr>
          <w:sz w:val="24"/>
          <w:szCs w:val="24"/>
        </w:r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977741">
        <w:rPr>
          <w:color w:val="000000"/>
          <w:sz w:val="24"/>
          <w:szCs w:val="24"/>
        </w:rPr>
        <w:instrText xml:space="preserve"> ADDIN ZOTERO_ITEM CSL_CITATION {"citationID":"AsYlt4Ai","properties":{"formattedCitation":"[53, 54]","plainCitation":"[53, 54]","noteIndex":0},"citationItems":[{"id":54,"uris":["http://zotero.org/users/local/lzRxkMmx/items/C8CFVZXJ"],"itemData":{"id":54,"type":"article-journal","container-title":"Nat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977741" w:rsidRPr="00977741">
        <w:rPr>
          <w:sz w:val="24"/>
        </w:rPr>
        <w:t>[53, 54]</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{"citationID":"U82EdzCC","properties":{"formattedCitation":"[55]","plainCitation":"[55]","noteIndex":0},"citationItems":[{"id":56,"uris":["http://zotero.org/users/local/lzRxkMmx/items/S5R3H852"],"itemData":{"id":56,"type":"article-journal","container-title":"Nucleic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977741" w:rsidRPr="00977741">
        <w:rPr>
          <w:sz w:val="24"/>
        </w:rPr>
        <w:t>[55]</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{"citationID":"ZqBXai8Q","properties":{"formattedCitation":"[56]","plainCitation":"[56]","noteIndex":0},"citationItems":[{"id":57,"uris":["http://zotero.org/users/local/lzRxkMmx/items/D95PRPE8"],"itemData":{"id":57,"type":"article-journal","container-title":"Brief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977741" w:rsidRPr="00977741">
        <w:rPr>
          <w:sz w:val="24"/>
        </w:rPr>
        <w:t>[56]</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YKbJtPC1","properties":{"formattedCitation":"[57]","plainCitation":"[57]","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977741" w:rsidRPr="00977741">
        <w:rPr>
          <w:sz w:val="24"/>
        </w:rPr>
        <w:t>[57]</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977741">
        <w:rPr>
          <w:sz w:val="24"/>
          <w:szCs w:val="24"/>
        </w:rPr>
        <w:instrText xml:space="preserve"> ADDIN ZOTERO_ITEM CSL_CITATION {"citationID":"om6xrCam","properties":{"formattedCitation":"[58]","plainCitation":"[58]","noteIndex":0},"citationItems":[{"id":59,"uris":["http://zotero.org/users/local/lzRxkMmx/items/3Y55GTF5"],"itemData":{"id":59,"type":"article-journal","container-title":"Mol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977741" w:rsidRPr="00977741">
        <w:rPr>
          <w:sz w:val="24"/>
        </w:rPr>
        <w:t>[58]</w:t>
      </w:r>
      <w:r w:rsidR="00977741">
        <w:rPr>
          <w:sz w:val="24"/>
          <w:szCs w:val="24"/>
        </w:rPr>
        <w:fldChar w:fldCharType="end"/>
      </w:r>
      <w:r w:rsidRPr="00CD4B01">
        <w:rPr>
          <w:sz w:val="24"/>
          <w:szCs w:val="24"/>
        </w:rPr>
        <w:t xml:space="preserve"> (v1.6.12) using the TIM3e+G64 model (BIC = 15778.75, identified via ModelFinder</w:t>
      </w:r>
      <w:r w:rsidR="00977741">
        <w:rPr>
          <w:sz w:val="24"/>
          <w:szCs w:val="24"/>
        </w:rPr>
        <w:fldChar w:fldCharType="begin"/>
      </w:r>
      <w:r w:rsidR="00977741">
        <w:rPr>
          <w:sz w:val="24"/>
          <w:szCs w:val="24"/>
        </w:rPr>
        <w:instrText xml:space="preserve"> ADDIN ZOTERO_ITEM CSL_CITATION {"citationID":"l4X6fISQ","properties":{"formattedCitation":"[59]","plainCitation":"[59]","noteIndex":0},"citationItems":[{"id":60,"uris":["http://zotero.org/users/local/lzRxkMmx/items/IM3T2GD8"],"itemData":{"id":60,"type":"article-journal","container-title":"Nat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977741" w:rsidRPr="00977741">
        <w:rPr>
          <w:sz w:val="24"/>
        </w:rPr>
        <w:t>[59]</w:t>
      </w:r>
      <w:r w:rsidR="00977741">
        <w:rPr>
          <w:sz w:val="24"/>
          <w:szCs w:val="24"/>
        </w:rPr>
        <w:fldChar w:fldCharType="end"/>
      </w:r>
      <w:r w:rsidRPr="00CD4B01">
        <w:rPr>
          <w:sz w:val="24"/>
          <w:szCs w:val="24"/>
        </w:rPr>
        <w:t xml:space="preserve">) with 1000 ultrafast bootstraps </w:t>
      </w:r>
      <w:r w:rsidRPr="00CD4B01">
        <w:rPr>
          <w:sz w:val="24"/>
          <w:szCs w:val="24"/>
        </w:rPr>
        <w:lastRenderedPageBreak/>
        <w:t xml:space="preserve">via UFBoot2 </w:t>
      </w:r>
      <w:r w:rsidR="00977741">
        <w:rPr>
          <w:sz w:val="24"/>
          <w:szCs w:val="24"/>
        </w:rPr>
        <w:fldChar w:fldCharType="begin"/>
      </w:r>
      <w:r w:rsidR="00977741">
        <w:rPr>
          <w:sz w:val="24"/>
          <w:szCs w:val="24"/>
        </w:rPr>
        <w:instrText xml:space="preserve"> ADDIN ZOTERO_ITEM CSL_CITATION {"citationID":"I6ojh8c2","properties":{"formattedCitation":"[60]","plainCitation":"[60]","noteIndex":0},"citationItems":[{"id":61,"uris":["http://zotero.org/users/local/lzRxkMmx/items/XU4LZY94"],"itemData":{"id":61,"type":"article-journal","container-title":"Mol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977741" w:rsidRPr="00977741">
        <w:rPr>
          <w:sz w:val="24"/>
        </w:rPr>
        <w:t>[60]</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977741">
        <w:rPr>
          <w:sz w:val="24"/>
          <w:szCs w:val="24"/>
        </w:rPr>
        <w:instrText xml:space="preserve"> ADDIN ZOTERO_ITEM CSL_CITATION {"citationID":"fp49yeZS","properties":{"formattedCitation":"[61]","plainCitation":"[61]","noteIndex":0},"citationItems":[{"id":62,"uris":["http://zotero.org/users/local/lzRxkMmx/items/LC4HJME5"],"itemData":{"id":62,"type":"article-journal","container-title":"Nucleic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977741" w:rsidRPr="00977741">
        <w:rPr>
          <w:sz w:val="24"/>
        </w:rPr>
        <w:t>[61]</w:t>
      </w:r>
      <w:r w:rsidR="00977741">
        <w:rPr>
          <w:sz w:val="24"/>
          <w:szCs w:val="24"/>
        </w:rPr>
        <w:fldChar w:fldCharType="end"/>
      </w:r>
      <w:r w:rsidRPr="00CD4B01">
        <w:rPr>
          <w:sz w:val="24"/>
          <w:szCs w:val="24"/>
        </w:rPr>
        <w:t>.</w:t>
      </w:r>
      <w:bookmarkStart w:id="6" w:name="_71o1rgr5c5bx" w:colFirst="0" w:colLast="0"/>
      <w:bookmarkEnd w:id="6"/>
    </w:p>
    <w:p w14:paraId="21F9520F"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Results and discussion</w:t>
      </w:r>
    </w:p>
    <w:p w14:paraId="74CDC7B7" w14:textId="77777777" w:rsidR="009D334C" w:rsidRPr="00CD4B01" w:rsidRDefault="009D334C" w:rsidP="009D334C">
      <w:pPr>
        <w:spacing w:before="240" w:after="240" w:line="480" w:lineRule="auto"/>
        <w:ind w:left="360"/>
        <w:rPr>
          <w:b/>
          <w:sz w:val="24"/>
          <w:szCs w:val="24"/>
        </w:rPr>
      </w:pPr>
      <w:r w:rsidRPr="00CD4B01">
        <w:rPr>
          <w:b/>
          <w:sz w:val="24"/>
          <w:szCs w:val="24"/>
        </w:rPr>
        <w:t>3.1 Defining drought periods</w:t>
      </w:r>
    </w:p>
    <w:p w14:paraId="1573A627" w14:textId="77777777" w:rsidR="00357540" w:rsidRPr="00CD4B01" w:rsidRDefault="009D334C" w:rsidP="009D334C">
      <w:pPr>
        <w:widowControl w:val="0"/>
        <w:spacing w:before="240" w:after="240" w:line="480" w:lineRule="auto"/>
        <w:rPr>
          <w:sz w:val="24"/>
          <w:szCs w:val="24"/>
        </w:rPr>
      </w:pPr>
      <w:bookmarkStart w:id="7" w:name="_kmty8j48pbm2" w:colFirst="0" w:colLast="0"/>
      <w:bookmarkEnd w:id="7"/>
      <w:r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as follows: PW at 23.85 cm, PD at 47.12 cm, CW at 48.59 cm and CD at 44.89 cm (p &lt; 0.0001 for all within-site tests, ANOVA with Tukey’s Range Test). Interestingly, there was no significant difference between water table levels in PD and CW, during either drought or normal conditions. Drought thresholds were defined by the site-specific lowermost water table value that clustered to the ‘normal’ hydrological conditions. For PW this value was -5.45 cm, for PD -31.05 cm, for CW -30.24 cm and for CD -45.88 cm (Figure 1). </w:t>
      </w:r>
    </w:p>
    <w:p w14:paraId="10B9E496" w14:textId="11702C8B" w:rsidR="00357540" w:rsidRPr="00CD4B01" w:rsidRDefault="009D334C" w:rsidP="009D334C">
      <w:pPr>
        <w:widowControl w:val="0"/>
        <w:spacing w:before="240" w:after="240" w:line="480" w:lineRule="auto"/>
        <w:rPr>
          <w:sz w:val="24"/>
          <w:szCs w:val="24"/>
        </w:rPr>
      </w:pPr>
      <w:r w:rsidRPr="00CD4B01">
        <w:rPr>
          <w:sz w:val="24"/>
          <w:szCs w:val="24"/>
        </w:rPr>
        <w:t xml:space="preserve">This unsupervised clustering method resulted in defining regionally-specific drought periods (May-November 2018 and April-October 2019) that largely coincided with previously published drought spans </w:t>
      </w:r>
      <w:r w:rsidR="00977741">
        <w:rPr>
          <w:sz w:val="24"/>
          <w:szCs w:val="24"/>
        </w:rPr>
        <w:fldChar w:fldCharType="begin"/>
      </w:r>
      <w:r w:rsidR="00977741">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77741">
        <w:rPr>
          <w:rFonts w:ascii="Cambria Math" w:hAnsi="Cambria Math" w:cs="Cambria Math"/>
          <w:sz w:val="24"/>
          <w:szCs w:val="24"/>
        </w:rPr>
        <w:instrText>‐</w:instrText>
      </w:r>
      <w:r w:rsidR="00977741">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77741">
        <w:rPr>
          <w:sz w:val="24"/>
          <w:szCs w:val="24"/>
        </w:rPr>
        <w:fldChar w:fldCharType="separate"/>
      </w:r>
      <w:r w:rsidR="00977741" w:rsidRPr="00977741">
        <w:rPr>
          <w:sz w:val="24"/>
        </w:rPr>
        <w:t>[9, 26, 27, 29]</w:t>
      </w:r>
      <w:r w:rsidR="00977741">
        <w:rPr>
          <w:sz w:val="24"/>
          <w:szCs w:val="24"/>
        </w:rPr>
        <w:fldChar w:fldCharType="end"/>
      </w:r>
      <w:r w:rsidRPr="00CD4B01">
        <w:rPr>
          <w:sz w:val="24"/>
          <w:szCs w:val="24"/>
        </w:rPr>
        <w:t xml:space="preserve">. However, often ‘drought’ is synonymous with ‘summer drought,’ which is not the case for events such as those in 2018 and 2019 where drought conditions extended into late autumn. Therefore, incorporating annual data rather than just spring and summer sampling points is </w:t>
      </w:r>
      <w:r w:rsidRPr="00CD4B01">
        <w:rPr>
          <w:sz w:val="24"/>
          <w:szCs w:val="24"/>
        </w:rPr>
        <w:lastRenderedPageBreak/>
        <w:t xml:space="preserve">necessary to capture the full scope of the drought cycle. Analysis of water table depth values via k-mean clustering facilitates such long-term research because it is cost-effective and requires only measurement of the water table depth. </w:t>
      </w:r>
    </w:p>
    <w:p w14:paraId="46830DBB" w14:textId="1FE2F6CE" w:rsidR="00A04769" w:rsidRPr="00CD4B01" w:rsidRDefault="009D334C" w:rsidP="009D334C">
      <w:pPr>
        <w:widowControl w:val="0"/>
        <w:spacing w:before="240" w:after="240" w:line="480" w:lineRule="auto"/>
        <w:rPr>
          <w:sz w:val="24"/>
          <w:szCs w:val="24"/>
        </w:rPr>
      </w:pPr>
      <w:r w:rsidRPr="00CD4B01">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the case of this study, the PW site has the highest water table drought threshold at 5.45 cm below the surface. This suggests that the PW site is more hydrologically robust, as </w:t>
      </w:r>
      <w:r w:rsidR="00A75082">
        <w:rPr>
          <w:sz w:val="24"/>
          <w:szCs w:val="24"/>
        </w:rPr>
        <w:t xml:space="preserve">a stable water table is desirable for maintaining mire landscapes </w:t>
      </w:r>
      <w:r w:rsidR="00A75082">
        <w:rPr>
          <w:sz w:val="24"/>
          <w:szCs w:val="24"/>
        </w:rPr>
        <w:fldChar w:fldCharType="begin"/>
      </w:r>
      <w:r w:rsidR="00A75082">
        <w:rPr>
          <w:sz w:val="24"/>
          <w:szCs w:val="24"/>
        </w:rPr>
        <w:instrText xml:space="preserve"> ADDIN ZOTERO_ITEM CSL_CITATION {"citationID":"fuXaK89l","properties":{"formattedCitation":"[62]","plainCitation":"[62]","noteIndex":0},"citationItems":[{"id":142,"uris":["http://zotero.org/users/local/lzRxkMmx/items/PJULRUYB"],"itemData":{"id":142,"type":"article-journal","abstract":"Summary\n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simple, spatially explicit model that assumes predominantly lateral water flow through an acrotelm that is draped over a dome</w:instrText>
      </w:r>
      <w:r w:rsidR="00A75082">
        <w:rPr>
          <w:rFonts w:ascii="Cambria Math" w:hAnsi="Cambria Math" w:cs="Cambria Math"/>
          <w:sz w:val="24"/>
          <w:szCs w:val="24"/>
        </w:rPr>
        <w:instrText>‐</w:instrText>
      </w:r>
      <w:r w:rsidR="00A75082">
        <w:rPr>
          <w:sz w:val="24"/>
          <w:szCs w:val="24"/>
        </w:rPr>
        <w:instrText>shaped catotelm. The model distinguishes two types of surface elements: hummocks with low transmissivity growing under dry conditions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reflecting the variety observed in natural systems.\n                \n                \n                  Our simple simulation model shows how small</w:instrText>
      </w:r>
      <w:r w:rsidR="00A75082">
        <w:rPr>
          <w:rFonts w:ascii="Cambria Math" w:hAnsi="Cambria Math" w:cs="Cambria Math"/>
          <w:sz w:val="24"/>
          <w:szCs w:val="24"/>
        </w:rPr>
        <w:instrText>‐</w:instrText>
      </w:r>
      <w:r w:rsidR="00A75082">
        <w:rPr>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A75082">
        <w:rPr>
          <w:rFonts w:ascii="Cambria Math" w:hAnsi="Cambria Math" w:cs="Cambria Math"/>
          <w:sz w:val="24"/>
          <w:szCs w:val="24"/>
        </w:rPr>
        <w:instrText>‐</w:instrText>
      </w:r>
      <w:r w:rsidR="00A75082">
        <w:rPr>
          <w:sz w:val="24"/>
          <w:szCs w:val="24"/>
        </w:rPr>
        <w:instrText>poor peatland ecosystems.","container-title":"Journal of Ecology","DOI":"10.1111/j.1365-2745.2005.01035.x","ISSN":"0022-0477, 1365-2745","issue":"6","journalAbbreviation":"Journal of Ecology","language":"en","page":"1238-1248","source":"DOI.org (Crossref)","title":"Self</w:instrText>
      </w:r>
      <w:r w:rsidR="00A75082">
        <w:rPr>
          <w:rFonts w:ascii="Cambria Math" w:hAnsi="Cambria Math" w:cs="Cambria Math"/>
          <w:sz w:val="24"/>
          <w:szCs w:val="24"/>
        </w:rPr>
        <w:instrText>‐</w:instrText>
      </w:r>
      <w:r w:rsidR="00A75082">
        <w:rPr>
          <w:sz w:val="24"/>
          <w:szCs w:val="24"/>
        </w:rPr>
        <w:instrText>organization in raised bog patterning: the origin of microtope zonation and mesotope diversity","title-short":"Self</w:instrText>
      </w:r>
      <w:r w:rsidR="00A75082">
        <w:rPr>
          <w:rFonts w:ascii="Cambria Math" w:hAnsi="Cambria Math" w:cs="Cambria Math"/>
          <w:sz w:val="24"/>
          <w:szCs w:val="24"/>
        </w:rPr>
        <w:instrText>‐</w:instrText>
      </w:r>
      <w:r w:rsidR="00A75082">
        <w:rPr>
          <w:sz w:val="24"/>
          <w:szCs w:val="24"/>
        </w:rPr>
        <w:instrText xml:space="preserve">organization in raised bog patterning","volume":"93","author":[{"family":"Couwenberg","given":"John"},{"family":"Joosten","given":"Hans"}],"issued":{"date-parts":[["2005",12]]}}}],"schema":"https://github.com/citation-style-language/schema/raw/master/csl-citation.json"} </w:instrText>
      </w:r>
      <w:r w:rsidR="00A75082">
        <w:rPr>
          <w:sz w:val="24"/>
          <w:szCs w:val="24"/>
        </w:rPr>
        <w:fldChar w:fldCharType="separate"/>
      </w:r>
      <w:r w:rsidR="00A75082" w:rsidRPr="00A75082">
        <w:rPr>
          <w:sz w:val="24"/>
        </w:rPr>
        <w:t>[62]</w:t>
      </w:r>
      <w:r w:rsidR="00A75082">
        <w:rPr>
          <w:sz w:val="24"/>
          <w:szCs w:val="24"/>
        </w:rPr>
        <w:fldChar w:fldCharType="end"/>
      </w:r>
      <w:r w:rsidR="00A75082">
        <w:rPr>
          <w:sz w:val="24"/>
          <w:szCs w:val="24"/>
        </w:rPr>
        <w:t xml:space="preserve">. </w:t>
      </w:r>
      <w:r w:rsidRPr="00CD4B01">
        <w:rPr>
          <w:sz w:val="24"/>
          <w:szCs w:val="24"/>
        </w:rPr>
        <w:t xml:space="preserve">Additionally, the PD and CW sites have similar drought thresholds at -31.05 and -30.24 cm, respectively, and in fact do not show significant differences in water table depth during either drought or normal conditions. This is in spite of the fact that the CW site has undergone hydrological restoration measures such as dike removal, while the PD site is still undergoing active drainage. This similarity could be due to the differences in fen typologies (drained percolation and coastal fens), or could suggest that the restoration measures undertaken in the CW site were insufficient to restore hydrological resilience. Alternatively, it could suggest that the PD site is a strong candidate for rewetting, as the water table already demonstrates similar robustness to drought as other rewetted sites in the region, so rewetting measures could be highly effective in further restoring hydrological balance to the PD landscape. As in this example, k-means defined drought thresholds could be used as a comparative metric of hydrological stability for fens under </w:t>
      </w:r>
      <w:r w:rsidRPr="00CD4B01">
        <w:rPr>
          <w:sz w:val="24"/>
          <w:szCs w:val="24"/>
        </w:rPr>
        <w:lastRenderedPageBreak/>
        <w:t xml:space="preserve">similar climatic conditions. Finally, the identification </w:t>
      </w:r>
      <w:r w:rsidR="007F7406" w:rsidRPr="00CD4B01">
        <w:rPr>
          <w:noProof/>
          <w:sz w:val="24"/>
          <w:szCs w:val="24"/>
          <w:lang w:val="en-US"/>
        </w:rPr>
        <w:drawing>
          <wp:anchor distT="114300" distB="114300" distL="114300" distR="114300" simplePos="0" relativeHeight="251658240" behindDoc="0" locked="0" layoutInCell="1" hidden="0" allowOverlap="1" wp14:anchorId="68AAE7F0" wp14:editId="0EA2184D">
            <wp:simplePos x="0" y="0"/>
            <wp:positionH relativeFrom="page">
              <wp:posOffset>3973830</wp:posOffset>
            </wp:positionH>
            <wp:positionV relativeFrom="margin">
              <wp:posOffset>0</wp:posOffset>
            </wp:positionV>
            <wp:extent cx="3526155" cy="271081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526155" cy="2710815"/>
                    </a:xfrm>
                    <a:prstGeom prst="rect">
                      <a:avLst/>
                    </a:prstGeom>
                    <a:ln/>
                  </pic:spPr>
                </pic:pic>
              </a:graphicData>
            </a:graphic>
            <wp14:sizeRelH relativeFrom="margin">
              <wp14:pctWidth>0</wp14:pctWidth>
            </wp14:sizeRelH>
          </wp:anchor>
        </w:drawing>
      </w:r>
      <w:r w:rsidR="007F7406" w:rsidRPr="00CD4B01">
        <w:rPr>
          <w:noProof/>
          <w:sz w:val="24"/>
          <w:szCs w:val="24"/>
          <w:lang w:val="en-US"/>
        </w:rPr>
        <w:drawing>
          <wp:anchor distT="114300" distB="114300" distL="114300" distR="114300" simplePos="0" relativeHeight="251659264" behindDoc="0" locked="0" layoutInCell="1" hidden="0" allowOverlap="1" wp14:anchorId="110D6EE8" wp14:editId="645B7F10">
            <wp:simplePos x="0" y="0"/>
            <wp:positionH relativeFrom="margin">
              <wp:posOffset>-328295</wp:posOffset>
            </wp:positionH>
            <wp:positionV relativeFrom="page">
              <wp:posOffset>1038225</wp:posOffset>
            </wp:positionV>
            <wp:extent cx="3336925" cy="2565400"/>
            <wp:effectExtent l="0" t="0" r="0" b="635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336925" cy="2565400"/>
                    </a:xfrm>
                    <a:prstGeom prst="rect">
                      <a:avLst/>
                    </a:prstGeom>
                    <a:ln/>
                  </pic:spPr>
                </pic:pic>
              </a:graphicData>
            </a:graphic>
            <wp14:sizeRelH relativeFrom="margin">
              <wp14:pctWidth>0</wp14:pctWidth>
            </wp14:sizeRelH>
            <wp14:sizeRelV relativeFrom="margin">
              <wp14:pctHeight>0</wp14:pctHeight>
            </wp14:sizeRelV>
          </wp:anchor>
        </w:drawing>
      </w:r>
      <w:r w:rsidRPr="00CD4B01">
        <w:rPr>
          <w:sz w:val="24"/>
          <w:szCs w:val="24"/>
        </w:rPr>
        <w:t>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2CB2A477" w14:textId="4E2302EF" w:rsidR="00357540" w:rsidRPr="00CD4B01" w:rsidRDefault="00A04769" w:rsidP="00A04769">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6432" behindDoc="0" locked="0" layoutInCell="1" allowOverlap="1" wp14:anchorId="3BFDBE41" wp14:editId="1078919E">
                <wp:simplePos x="0" y="0"/>
                <wp:positionH relativeFrom="margin">
                  <wp:posOffset>14631</wp:posOffset>
                </wp:positionH>
                <wp:positionV relativeFrom="page">
                  <wp:posOffset>4483862</wp:posOffset>
                </wp:positionV>
                <wp:extent cx="5946775" cy="706120"/>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946775" cy="706120"/>
                        </a:xfrm>
                        <a:prstGeom prst="rect">
                          <a:avLst/>
                        </a:prstGeom>
                        <a:solidFill>
                          <a:prstClr val="white"/>
                        </a:solidFill>
                        <a:ln>
                          <a:noFill/>
                        </a:ln>
                      </wps:spPr>
                      <wps:txbx>
                        <w:txbxContent>
                          <w:p w14:paraId="3803E3E7" w14:textId="77777777" w:rsidR="001627C3" w:rsidRPr="00CD4B01" w:rsidRDefault="001627C3" w:rsidP="00A04769">
                            <w:pPr>
                              <w:pStyle w:val="Beschriftung"/>
                              <w:rPr>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2</w:t>
                            </w:r>
                            <w:r w:rsidRPr="00CD4B01">
                              <w:rPr>
                                <w:color w:val="auto"/>
                                <w:sz w:val="24"/>
                                <w:szCs w:val="24"/>
                              </w:rPr>
                              <w:fldChar w:fldCharType="end"/>
                            </w:r>
                            <w:r w:rsidRPr="00CD4B01">
                              <w:rPr>
                                <w:color w:val="auto"/>
                                <w:sz w:val="24"/>
                                <w:szCs w:val="24"/>
                              </w:rPr>
                              <w:t xml:space="preserve"> (Right).</w:t>
                            </w:r>
                            <w:r w:rsidRPr="00CD4B01">
                              <w:rPr>
                                <w:i w:val="0"/>
                                <w:color w:val="auto"/>
                                <w:sz w:val="24"/>
                                <w:szCs w:val="24"/>
                              </w:rPr>
                              <w:t xml:space="preserve"> </w:t>
                            </w:r>
                            <w:r w:rsidRPr="00CD4B01">
                              <w:rPr>
                                <w:color w:val="auto"/>
                                <w:sz w:val="24"/>
                                <w:szCs w:val="24"/>
                              </w:rPr>
                              <w:t>NMDS ordination of the 16S rRNA relative abundance community composition in topsoils (depth of 05-10 cm) as differentiated by site (Adonis2 R² = 0.37 and p = 0.001); within-site dispersal is insignificant (PERMANOVA).</w:t>
                            </w:r>
                          </w:p>
                          <w:p w14:paraId="084AE03A" w14:textId="77777777" w:rsidR="001627C3" w:rsidRPr="00A04769" w:rsidRDefault="001627C3" w:rsidP="00A0476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FDBE41" id="Textfeld 9" o:spid="_x0000_s1027" type="#_x0000_t202" style="position:absolute;margin-left:1.15pt;margin-top:353.05pt;width:468.25pt;height:55.6pt;z-index:2516664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" stroked="f">
                <v:textbox style="mso-fit-shape-to-text:t" inset="0,0,0,0">
                  <w:txbxContent>
                    <w:p w14:paraId="3803E3E7" w14:textId="77777777" w:rsidR="001627C3" w:rsidRPr="00CD4B01" w:rsidRDefault="001627C3" w:rsidP="00A04769">
                      <w:pPr>
                        <w:pStyle w:val="Beschriftung"/>
                        <w:rPr>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2</w:t>
                      </w:r>
                      <w:r w:rsidRPr="00CD4B01">
                        <w:rPr>
                          <w:color w:val="auto"/>
                          <w:sz w:val="24"/>
                          <w:szCs w:val="24"/>
                        </w:rPr>
                        <w:fldChar w:fldCharType="end"/>
                      </w:r>
                      <w:r w:rsidRPr="00CD4B01">
                        <w:rPr>
                          <w:color w:val="auto"/>
                          <w:sz w:val="24"/>
                          <w:szCs w:val="24"/>
                        </w:rPr>
                        <w:t xml:space="preserve"> (Right).</w:t>
                      </w:r>
                      <w:r w:rsidRPr="00CD4B01">
                        <w:rPr>
                          <w:i w:val="0"/>
                          <w:color w:val="auto"/>
                          <w:sz w:val="24"/>
                          <w:szCs w:val="24"/>
                        </w:rPr>
                        <w:t xml:space="preserve"> </w:t>
                      </w:r>
                      <w:r w:rsidRPr="00CD4B01">
                        <w:rPr>
                          <w:color w:val="auto"/>
                          <w:sz w:val="24"/>
                          <w:szCs w:val="24"/>
                        </w:rPr>
                        <w:t>NMDS ordination of the 16S rRNA relative abundance community composition in topsoils (depth of 05-10 cm) as differentiated by site (Adonis2 R² = 0.37 and p = 0.001); within-site dispersal is insignificant (PERMANOVA).</w:t>
                      </w:r>
                    </w:p>
                    <w:p w14:paraId="084AE03A" w14:textId="77777777" w:rsidR="001627C3" w:rsidRPr="00A04769" w:rsidRDefault="001627C3" w:rsidP="00A04769"/>
                  </w:txbxContent>
                </v:textbox>
                <w10:wrap type="square" anchorx="margin" anchory="page"/>
              </v:shape>
            </w:pict>
          </mc:Fallback>
        </mc:AlternateContent>
      </w:r>
      <w:r w:rsidRPr="00CD4B01">
        <w:rPr>
          <w:noProof/>
          <w:sz w:val="24"/>
          <w:szCs w:val="24"/>
          <w:lang w:val="en-US"/>
        </w:rPr>
        <mc:AlternateContent>
          <mc:Choice Requires="wps">
            <w:drawing>
              <wp:anchor distT="0" distB="0" distL="114300" distR="114300" simplePos="0" relativeHeight="251664384" behindDoc="0" locked="0" layoutInCell="1" allowOverlap="1" wp14:anchorId="7C77113E" wp14:editId="57046A6D">
                <wp:simplePos x="0" y="0"/>
                <wp:positionH relativeFrom="margin">
                  <wp:posOffset>0</wp:posOffset>
                </wp:positionH>
                <wp:positionV relativeFrom="page">
                  <wp:posOffset>3745382</wp:posOffset>
                </wp:positionV>
                <wp:extent cx="5946775" cy="5213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26094C" w14:textId="77777777" w:rsidR="001627C3" w:rsidRPr="00CD4B01" w:rsidRDefault="001627C3" w:rsidP="00A04769">
                            <w:pPr>
                              <w:pStyle w:val="Beschriftung"/>
                              <w:rPr>
                                <w:noProof/>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(Left). Daily average water table depth values for each of the four sites (PW, PD, CW and CD) between September 2017 and February 2020, with drought thresholds included (PW = -5.45 cm, PD = -31.05 cm, CW = -30.24 cm, CD = -45.88 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77113E" id="Textfeld 7" o:spid="_x0000_s1028" type="#_x0000_t202" style="position:absolute;margin-left:0;margin-top:294.9pt;width:468.25pt;height:41.0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jMMw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" stroked="f">
                <v:textbox style="mso-fit-shape-to-text:t" inset="0,0,0,0">
                  <w:txbxContent>
                    <w:p w14:paraId="1D26094C" w14:textId="77777777" w:rsidR="001627C3" w:rsidRPr="00CD4B01" w:rsidRDefault="001627C3" w:rsidP="00A04769">
                      <w:pPr>
                        <w:pStyle w:val="Beschriftung"/>
                        <w:rPr>
                          <w:noProof/>
                          <w:color w:val="auto"/>
                          <w:sz w:val="24"/>
                          <w:szCs w:val="24"/>
                        </w:rPr>
                      </w:pPr>
                      <w:r w:rsidRPr="00CD4B01">
                        <w:rPr>
                          <w:color w:val="auto"/>
                          <w:sz w:val="24"/>
                          <w:szCs w:val="24"/>
                        </w:rPr>
                        <w:t xml:space="preserve">Figure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sidRPr="00CD4B01">
                        <w:rPr>
                          <w:noProof/>
                          <w:color w:val="auto"/>
                          <w:sz w:val="24"/>
                          <w:szCs w:val="24"/>
                        </w:rPr>
                        <w:t>1</w:t>
                      </w:r>
                      <w:r w:rsidRPr="00CD4B01">
                        <w:rPr>
                          <w:color w:val="auto"/>
                          <w:sz w:val="24"/>
                          <w:szCs w:val="24"/>
                        </w:rPr>
                        <w:fldChar w:fldCharType="end"/>
                      </w:r>
                      <w:r w:rsidRPr="00CD4B01">
                        <w:rPr>
                          <w:color w:val="auto"/>
                          <w:sz w:val="24"/>
                          <w:szCs w:val="24"/>
                        </w:rPr>
                        <w:t xml:space="preserve"> (Left). Daily average water table depth values for each of the four sites (PW, PD, CW and CD) between September 2017 and February 2020, with drought thresholds included (PW = -5.45 cm, PD = -31.05 cm, CW = -30.24 cm, CD = -45.88 cm).</w:t>
                      </w:r>
                    </w:p>
                  </w:txbxContent>
                </v:textbox>
                <w10:wrap type="square" anchorx="margin" anchory="page"/>
              </v:shape>
            </w:pict>
          </mc:Fallback>
        </mc:AlternateContent>
      </w:r>
      <w:r w:rsidR="00460AC8" w:rsidRPr="00CD4B01">
        <w:rPr>
          <w:b/>
          <w:sz w:val="24"/>
          <w:szCs w:val="24"/>
        </w:rPr>
        <w:t>3.2 16s rRNA-based community composition</w:t>
      </w:r>
    </w:p>
    <w:p w14:paraId="5C5C216D" w14:textId="24161171" w:rsidR="00357540" w:rsidRPr="00CD4B01" w:rsidRDefault="009D334C" w:rsidP="009D334C">
      <w:pPr>
        <w:spacing w:before="240" w:after="240" w:line="480" w:lineRule="auto"/>
        <w:rPr>
          <w:sz w:val="24"/>
          <w:szCs w:val="24"/>
        </w:rPr>
      </w:pPr>
      <w:bookmarkStart w:id="8" w:name="_q4akb6gm33q" w:colFirst="0" w:colLast="0"/>
      <w:bookmarkEnd w:id="8"/>
      <w:r w:rsidRPr="00CD4B01">
        <w:rPr>
          <w:sz w:val="24"/>
          <w:szCs w:val="24"/>
        </w:rPr>
        <w:t>Initial investigation into the community composition of the 2018 drought cycle topsoil samples (April 2018 to February 2019, 05-10 cm depth) via NMDS (Bray distance metric, stress = 0.067) revealed that community composition was strongly differentiated by site (R² = 0.37, p = 0.001, Adonis2) (Figure 2)</w:t>
      </w:r>
      <w:r w:rsidR="00977741">
        <w:rPr>
          <w:sz w:val="24"/>
          <w:szCs w:val="24"/>
        </w:rPr>
        <w:t xml:space="preserve"> </w:t>
      </w:r>
      <w:r w:rsidR="00977741">
        <w:rPr>
          <w:sz w:val="24"/>
          <w:szCs w:val="24"/>
        </w:rPr>
        <w:fldChar w:fldCharType="begin"/>
      </w:r>
      <w:r w:rsidR="00A75082">
        <w:rPr>
          <w:sz w:val="24"/>
          <w:szCs w:val="24"/>
        </w:rPr>
        <w:instrText xml:space="preserve"> ADDIN ZOTERO_ITEM CSL_CITATION {"citationID":"peOPVdqP","properties":{"formattedCitation":"[63]","plainCitation":"[63]","noteIndex":0},"citationItems":[{"id":63,"uris":["http://zotero.org/users/local/lzRxkMmx/items/CA8NNGNJ"],"itemData":{"id":63,"type":"article-journal","container-title":"Ecology","language":"en","title":"Fitting multivariate models to community data: a comment on distance</w:instrText>
      </w:r>
      <w:r w:rsidR="00A75082">
        <w:rPr>
          <w:rFonts w:ascii="Cambria Math" w:hAnsi="Cambria Math" w:cs="Cambria Math"/>
          <w:sz w:val="24"/>
          <w:szCs w:val="24"/>
        </w:rPr>
        <w:instrText>‐</w:instrText>
      </w:r>
      <w:r w:rsidR="00A75082">
        <w:rPr>
          <w:sz w:val="24"/>
          <w:szCs w:val="24"/>
        </w:rPr>
        <w:instrText xml:space="preserve">based redundancy analysis","author":[{"family":"McArdle","given":"B.H."},{"family":"Anderson","given":"M.J."}]}}],"schema":"https://github.com/citation-style-language/schema/raw/master/csl-citation.json"} </w:instrText>
      </w:r>
      <w:r w:rsidR="00977741">
        <w:rPr>
          <w:sz w:val="24"/>
          <w:szCs w:val="24"/>
        </w:rPr>
        <w:fldChar w:fldCharType="separate"/>
      </w:r>
      <w:r w:rsidR="00A75082" w:rsidRPr="00A75082">
        <w:rPr>
          <w:sz w:val="24"/>
        </w:rPr>
        <w:t>[63]</w:t>
      </w:r>
      <w:r w:rsidR="00977741">
        <w:rPr>
          <w:sz w:val="24"/>
          <w:szCs w:val="24"/>
        </w:rPr>
        <w:fldChar w:fldCharType="end"/>
      </w:r>
      <w:r w:rsidRPr="00CD4B01">
        <w:rPr>
          <w:sz w:val="24"/>
          <w:szCs w:val="24"/>
        </w:rPr>
        <w:t xml:space="preserve">. Further, in-site dispersal of the </w:t>
      </w:r>
      <w:r w:rsidRPr="00CD4B01">
        <w:rPr>
          <w:sz w:val="24"/>
          <w:szCs w:val="24"/>
        </w:rPr>
        <w:lastRenderedPageBreak/>
        <w:t xml:space="preserve">16S rRNA-based community composition was insignificant (PERMANOVA), indicating that the site-based differentiation is not due to within-site variation. </w:t>
      </w:r>
    </w:p>
    <w:p w14:paraId="557B3547" w14:textId="3B3D91B9" w:rsidR="00357540" w:rsidRPr="00CD4B01" w:rsidRDefault="009D334C" w:rsidP="009D334C">
      <w:pPr>
        <w:spacing w:before="240" w:after="240" w:line="480" w:lineRule="auto"/>
        <w:rPr>
          <w:sz w:val="24"/>
          <w:szCs w:val="24"/>
        </w:rPr>
      </w:pPr>
      <w:r w:rsidRPr="00CD4B01">
        <w:rPr>
          <w:sz w:val="24"/>
          <w:szCs w:val="24"/>
        </w:rPr>
        <w:t>Prior studies of the Trebetal percolation (PW/PD) and Karrendorfer coastal (CW/CD) mires have indicated that the coastal fen soils are slightly more acidic (pH 4.4 ± 0.5 for CW and 4.2 ± 0.6 for CD) than the percolation fens (pH 5.4 ± 0.3 for PW and 5.3 ± 0 for PD)</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{"citationID":"ZY2Gqmli","properties":{"formattedCitation":"[37]","plainCitation":"[37]","noteIndex":0},"citationItems":[{"id":36,"uris":["http://zotero.org/users/local/lzRxkMmx/items/W7WUVKM7"],"itemData":{"id":36,"type":"article-journal","container-title":"Soil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977741">
        <w:rPr>
          <w:sz w:val="24"/>
          <w:szCs w:val="24"/>
        </w:rPr>
        <w:fldChar w:fldCharType="separate"/>
      </w:r>
      <w:r w:rsidR="00977741" w:rsidRPr="00977741">
        <w:rPr>
          <w:sz w:val="24"/>
        </w:rPr>
        <w:t>[37]</w:t>
      </w:r>
      <w:r w:rsidR="00977741">
        <w:rPr>
          <w:sz w:val="24"/>
          <w:szCs w:val="24"/>
        </w:rPr>
        <w:fldChar w:fldCharType="end"/>
      </w:r>
      <w:r w:rsidRPr="00CD4B01">
        <w:rPr>
          <w:sz w:val="24"/>
          <w:szCs w:val="24"/>
        </w:rPr>
        <w:t>. Further, the dry bulk density of the peat in the percolation sites is much lower (0.19 g/cm³ ± 0 for PW and 0.28 g/cm³  ± 0 for PD) than in the coastal sites (0.57 g/cm³ ± 0 for CW and 0.63 g/cm³ ± 0 for CD)</w:t>
      </w:r>
      <w:r w:rsidR="00977741">
        <w:rPr>
          <w:sz w:val="24"/>
          <w:szCs w:val="24"/>
        </w:rPr>
        <w:t xml:space="preserve"> </w:t>
      </w:r>
      <w:r w:rsidR="00977741">
        <w:rPr>
          <w:sz w:val="24"/>
          <w:szCs w:val="24"/>
        </w:rPr>
        <w:fldChar w:fldCharType="begin"/>
      </w:r>
      <w:r w:rsidR="00977741">
        <w:rPr>
          <w:sz w:val="24"/>
          <w:szCs w:val="24"/>
        </w:rPr>
        <w:instrText xml:space="preserve"> ADDIN ZOTERO_ITEM CSL_CITATION {"citationID":"Rsl5wkKb","properties":{"formattedCitation":"[37]","plainCitation":"[37]","noteIndex":0},"citationItems":[{"id":36,"uris":["http://zotero.org/users/local/lzRxkMmx/items/W7WUVKM7"],"itemData":{"id":36,"type":"article-journal","container-title":"Soil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977741">
        <w:rPr>
          <w:sz w:val="24"/>
          <w:szCs w:val="24"/>
        </w:rPr>
        <w:fldChar w:fldCharType="separate"/>
      </w:r>
      <w:r w:rsidR="00977741" w:rsidRPr="00977741">
        <w:rPr>
          <w:sz w:val="24"/>
        </w:rPr>
        <w:t>[37]</w:t>
      </w:r>
      <w:r w:rsidR="00977741">
        <w:rPr>
          <w:sz w:val="24"/>
          <w:szCs w:val="24"/>
        </w:rPr>
        <w:fldChar w:fldCharType="end"/>
      </w:r>
      <w:r w:rsidRPr="00CD4B01">
        <w:rPr>
          <w:sz w:val="24"/>
          <w:szCs w:val="24"/>
        </w:rPr>
        <w:t xml:space="preserve">. These differing soil parameters are also reflected in topsoil nutrient content, which vary by site (Supplemental Fig. 3). While there is no significant between-site differences in topsoil ammonium content, there is significant variation (p &lt; 0.05, Dunn test with Bonferroni adjustment) in the following nutrients: nitrate and phosphorous (except for between CD and CW), and dissolved organic carbon (except for between CD/CW and PD/PW). The PW site had significantly higher volumes of phosphorus (Kruskal-Wallis p &lt; 0.0001) and dissolved organic carbon (p &lt; 0.0001) than the other three sites. Additionally, the PD site had significantly higher volumes of nitrate (p &lt; 0.0001). </w:t>
      </w:r>
    </w:p>
    <w:p w14:paraId="6A46F3F5" w14:textId="507EFAFB" w:rsidR="00C1572E" w:rsidRDefault="009D334C" w:rsidP="00C1572E">
      <w:pPr>
        <w:spacing w:before="240" w:after="240" w:line="480" w:lineRule="auto"/>
        <w:rPr>
          <w:sz w:val="24"/>
          <w:szCs w:val="24"/>
        </w:rPr>
      </w:pPr>
      <w:r w:rsidRPr="00CD4B01">
        <w:rPr>
          <w:sz w:val="24"/>
          <w:szCs w:val="24"/>
        </w:rPr>
        <w:t>The high variety in soil edaphic characteristics likely shapes the strongly differentiated microbial communities between sites, and reaffirms the novel nature of rewetted fen sites in comparison to thei</w:t>
      </w:r>
      <w:r w:rsidR="00C1572E">
        <w:rPr>
          <w:sz w:val="24"/>
          <w:szCs w:val="24"/>
        </w:rPr>
        <w:t>r drained counterparts.</w:t>
      </w:r>
    </w:p>
    <w:p w14:paraId="5A60D958" w14:textId="7CB1C8A1" w:rsidR="00460AC8" w:rsidRPr="007F7406" w:rsidRDefault="00C1572E" w:rsidP="00C1572E">
      <w:pPr>
        <w:rPr>
          <w:sz w:val="24"/>
          <w:szCs w:val="24"/>
        </w:rPr>
      </w:pPr>
      <w:r>
        <w:rPr>
          <w:sz w:val="24"/>
          <w:szCs w:val="24"/>
        </w:rPr>
        <w:br w:type="page"/>
      </w:r>
    </w:p>
    <w:p w14:paraId="643F6B35" w14:textId="14A0A1BC" w:rsidR="00D06B86" w:rsidRPr="00F00396" w:rsidRDefault="006F1134" w:rsidP="006F1134">
      <w:pPr>
        <w:spacing w:before="240" w:after="240" w:line="480" w:lineRule="auto"/>
        <w:rPr>
          <w:b/>
          <w:sz w:val="24"/>
          <w:szCs w:val="24"/>
        </w:rPr>
      </w:pPr>
      <w:r>
        <w:rPr>
          <w:b/>
          <w:noProof/>
          <w:sz w:val="24"/>
          <w:szCs w:val="24"/>
          <w:lang w:val="en-US"/>
        </w:rPr>
        <w:lastRenderedPageBreak/>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 xml:space="preserve">3.3 Absolute </w:t>
      </w:r>
      <w:r w:rsidR="00963D78">
        <w:rPr>
          <w:b/>
          <w:sz w:val="24"/>
          <w:szCs w:val="24"/>
        </w:rPr>
        <w:t>a</w:t>
      </w:r>
      <w:r w:rsidR="00460AC8" w:rsidRPr="00CD4B01">
        <w:rPr>
          <w:b/>
          <w:sz w:val="24"/>
          <w:szCs w:val="24"/>
        </w:rPr>
        <w:t>bundance of AOA and AOB via qPC</w:t>
      </w:r>
      <w:bookmarkStart w:id="9" w:name="_g03oy7tdspvp" w:colFirst="0" w:colLast="0"/>
      <w:bookmarkEnd w:id="9"/>
      <w:r w:rsidR="00460AC8" w:rsidRPr="00CD4B01">
        <w:rPr>
          <w:b/>
          <w:sz w:val="24"/>
          <w:szCs w:val="24"/>
        </w:rPr>
        <w:t>R</w:t>
      </w:r>
    </w:p>
    <w:p w14:paraId="4CEACB8C" w14:textId="25CEC320" w:rsidR="00357540" w:rsidRPr="00501105" w:rsidRDefault="009D334C" w:rsidP="00501105">
      <w:pPr>
        <w:widowControl w:val="0"/>
        <w:spacing w:before="240" w:after="240" w:line="240" w:lineRule="auto"/>
        <w:rPr>
          <w:i/>
          <w:color w:val="595959"/>
          <w:sz w:val="24"/>
          <w:szCs w:val="24"/>
        </w:rPr>
      </w:pPr>
      <w:r w:rsidRPr="00501105">
        <w:rPr>
          <w:i/>
          <w:color w:val="595959"/>
          <w:sz w:val="24"/>
          <w:szCs w:val="24"/>
        </w:rPr>
        <w:t xml:space="preserve">Figure 3.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NO3 and NH4 content (mg nitrogen per gram dry soil) are included. </w:t>
      </w:r>
      <w:r w:rsidR="00501105" w:rsidRPr="00501105">
        <w:rPr>
          <w:i/>
          <w:color w:val="595959"/>
          <w:sz w:val="24"/>
          <w:szCs w:val="24"/>
        </w:rPr>
        <w:t>Mean and standard error for each time point (n=3) are represented.</w:t>
      </w:r>
    </w:p>
    <w:p w14:paraId="43311D6B" w14:textId="419A4DAC" w:rsidR="00F702AD" w:rsidRDefault="00F67A60" w:rsidP="009D334C">
      <w:pPr>
        <w:widowControl w:val="0"/>
        <w:spacing w:before="240" w:after="240" w:line="480" w:lineRule="auto"/>
        <w:rPr>
          <w:color w:val="595959"/>
          <w:sz w:val="24"/>
          <w:szCs w:val="24"/>
        </w:rPr>
      </w:pPr>
      <w:r w:rsidRPr="00F67A60">
        <w:rPr>
          <w:color w:val="595959"/>
          <w:sz w:val="24"/>
          <w:szCs w:val="24"/>
        </w:rPr>
        <w:t xml:space="preserve">To investigate </w:t>
      </w:r>
      <w:r>
        <w:rPr>
          <w:color w:val="595959"/>
          <w:sz w:val="24"/>
          <w:szCs w:val="24"/>
        </w:rPr>
        <w:t xml:space="preserve">the temporal variability and impact of drought on ammonia oxidizing microbes in fen peatlands, both archaeal and bacterial ammonia oxidizers were considered. Although a third group known as complete ammonia oxidizing bacteria (comammox) </w:t>
      </w:r>
      <w:r w:rsidR="000A1695">
        <w:rPr>
          <w:color w:val="595959"/>
          <w:sz w:val="24"/>
          <w:szCs w:val="24"/>
        </w:rPr>
        <w:t xml:space="preserve">within the </w:t>
      </w:r>
      <w:r w:rsidR="000A1695">
        <w:rPr>
          <w:i/>
          <w:color w:val="595959"/>
          <w:sz w:val="24"/>
          <w:szCs w:val="24"/>
        </w:rPr>
        <w:t xml:space="preserve">Nitrospira </w:t>
      </w:r>
      <w:r w:rsidR="000A1695">
        <w:rPr>
          <w:color w:val="595959"/>
          <w:sz w:val="24"/>
          <w:szCs w:val="24"/>
        </w:rPr>
        <w:t xml:space="preserve">genus </w:t>
      </w:r>
      <w:r>
        <w:rPr>
          <w:color w:val="595959"/>
          <w:sz w:val="24"/>
          <w:szCs w:val="24"/>
        </w:rPr>
        <w:t xml:space="preserve">has been shown to play a role in ammonia oxidation </w:t>
      </w:r>
      <w:r w:rsidR="00265291">
        <w:rPr>
          <w:color w:val="595959"/>
          <w:sz w:val="24"/>
          <w:szCs w:val="24"/>
        </w:rPr>
        <w:t>by fully converting ammoni</w:t>
      </w:r>
      <w:r w:rsidR="000A1695">
        <w:rPr>
          <w:color w:val="595959"/>
          <w:sz w:val="24"/>
          <w:szCs w:val="24"/>
        </w:rPr>
        <w:t>a</w:t>
      </w:r>
      <w:r w:rsidR="00265291">
        <w:rPr>
          <w:color w:val="595959"/>
          <w:sz w:val="24"/>
          <w:szCs w:val="24"/>
        </w:rPr>
        <w:t xml:space="preserve"> to nitrate </w:t>
      </w:r>
      <w:r w:rsidR="000A1695">
        <w:rPr>
          <w:color w:val="595959"/>
          <w:sz w:val="24"/>
          <w:szCs w:val="24"/>
        </w:rPr>
        <w:fldChar w:fldCharType="begin"/>
      </w:r>
      <w:r w:rsidR="00A75082">
        <w:rPr>
          <w:color w:val="595959"/>
          <w:sz w:val="24"/>
          <w:szCs w:val="24"/>
        </w:rPr>
        <w:instrText xml:space="preserve"> ADDIN ZOTERO_ITEM CSL_CITATION {"citationID":"UGLQmXmk","properties":{"formattedCitation":"[64, 65]","plainCitation":"[64, 65]","noteIndex":0},"citationItems":[{"id":137,"uris":["http://zotero.org/users/local/lzRxkMmx/items/WG4RFYT5"],"itemData":{"id":137,"type":"article-journal","container-title":"Nature","DOI":"10.1038/nature16461","ISSN":"0028-0836,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Pr>
          <w:color w:val="595959"/>
          <w:sz w:val="24"/>
          <w:szCs w:val="24"/>
        </w:rPr>
        <w:fldChar w:fldCharType="separate"/>
      </w:r>
      <w:r w:rsidR="00A75082" w:rsidRPr="00A75082">
        <w:rPr>
          <w:sz w:val="24"/>
        </w:rPr>
        <w:t>[64, 65]</w:t>
      </w:r>
      <w:r w:rsidR="000A1695">
        <w:rPr>
          <w:color w:val="595959"/>
          <w:sz w:val="24"/>
          <w:szCs w:val="24"/>
        </w:rPr>
        <w:fldChar w:fldCharType="end"/>
      </w:r>
      <w:r w:rsidR="000A1695">
        <w:rPr>
          <w:color w:val="595959"/>
          <w:sz w:val="24"/>
          <w:szCs w:val="24"/>
        </w:rPr>
        <w:t xml:space="preserve">, </w:t>
      </w:r>
      <w:r>
        <w:rPr>
          <w:color w:val="595959"/>
          <w:sz w:val="24"/>
          <w:szCs w:val="24"/>
        </w:rPr>
        <w:t xml:space="preserve">their presence was negligible in the metagenomic data for these sites. </w:t>
      </w:r>
      <w:r w:rsidR="00265291">
        <w:rPr>
          <w:color w:val="595959"/>
          <w:sz w:val="24"/>
          <w:szCs w:val="24"/>
        </w:rPr>
        <w:t xml:space="preserve">Only </w:t>
      </w:r>
      <w:r w:rsidR="00C1572E">
        <w:rPr>
          <w:color w:val="595959"/>
          <w:sz w:val="24"/>
          <w:szCs w:val="24"/>
        </w:rPr>
        <w:t>10</w:t>
      </w:r>
      <w:r w:rsidR="00265291">
        <w:rPr>
          <w:color w:val="595959"/>
          <w:sz w:val="24"/>
          <w:szCs w:val="24"/>
        </w:rPr>
        <w:t xml:space="preserve"> </w:t>
      </w:r>
      <w:r w:rsidR="000A1695" w:rsidRPr="000A1695">
        <w:rPr>
          <w:i/>
          <w:color w:val="595959"/>
          <w:sz w:val="24"/>
          <w:szCs w:val="24"/>
        </w:rPr>
        <w:t>Nitrospira</w:t>
      </w:r>
      <w:r w:rsidR="00265291">
        <w:rPr>
          <w:color w:val="595959"/>
          <w:sz w:val="24"/>
          <w:szCs w:val="24"/>
        </w:rPr>
        <w:t xml:space="preserve"> </w:t>
      </w:r>
      <w:r w:rsidR="000A1695">
        <w:rPr>
          <w:color w:val="595959"/>
          <w:sz w:val="24"/>
          <w:szCs w:val="24"/>
        </w:rPr>
        <w:t xml:space="preserve">OTUs </w:t>
      </w:r>
      <w:r w:rsidR="00265291">
        <w:rPr>
          <w:color w:val="595959"/>
          <w:sz w:val="24"/>
          <w:szCs w:val="24"/>
        </w:rPr>
        <w:t xml:space="preserve">in the metagenomic dataset </w:t>
      </w:r>
      <w:r w:rsidR="00C1572E">
        <w:rPr>
          <w:color w:val="595959"/>
          <w:sz w:val="24"/>
          <w:szCs w:val="24"/>
        </w:rPr>
        <w:t xml:space="preserve">between April 2018 and February 2019 </w:t>
      </w:r>
      <w:r w:rsidR="00265291">
        <w:rPr>
          <w:color w:val="595959"/>
          <w:sz w:val="24"/>
          <w:szCs w:val="24"/>
        </w:rPr>
        <w:t xml:space="preserve">had over a 97.5% </w:t>
      </w:r>
      <w:r w:rsidR="000A1695">
        <w:rPr>
          <w:color w:val="595959"/>
          <w:sz w:val="24"/>
          <w:szCs w:val="24"/>
        </w:rPr>
        <w:t xml:space="preserve">identification match when compared against 7 known comammox genomic sequences via nucleotide BLAST </w:t>
      </w:r>
      <w:r w:rsidR="000A1695">
        <w:rPr>
          <w:color w:val="595959"/>
          <w:sz w:val="24"/>
          <w:szCs w:val="24"/>
        </w:rPr>
        <w:fldChar w:fldCharType="begin"/>
      </w:r>
      <w:r w:rsidR="00A75082">
        <w:rPr>
          <w:color w:val="595959"/>
          <w:sz w:val="24"/>
          <w:szCs w:val="24"/>
        </w:rPr>
        <w:instrText xml:space="preserve"> ADDIN ZOTERO_ITEM CSL_CITATION {"citationID":"ORhJwmyD","properties":{"formattedCitation":"[66]","plainCitation":"[66]","noteIndex":0},"citationItems":[{"id":141,"uris":["http://zotero.org/users/local/lzRxkMmx/items/BBL53CTN"],"itemData":{"id":141,"type":"article-journal","container-title":"Journal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Pr>
          <w:color w:val="595959"/>
          <w:sz w:val="24"/>
          <w:szCs w:val="24"/>
        </w:rPr>
        <w:fldChar w:fldCharType="separate"/>
      </w:r>
      <w:r w:rsidR="00A75082" w:rsidRPr="00A75082">
        <w:rPr>
          <w:sz w:val="24"/>
        </w:rPr>
        <w:t>[66]</w:t>
      </w:r>
      <w:r w:rsidR="000A1695">
        <w:rPr>
          <w:color w:val="595959"/>
          <w:sz w:val="24"/>
          <w:szCs w:val="24"/>
        </w:rPr>
        <w:fldChar w:fldCharType="end"/>
      </w:r>
      <w:r w:rsidR="000A1695">
        <w:rPr>
          <w:color w:val="595959"/>
          <w:sz w:val="24"/>
          <w:szCs w:val="24"/>
        </w:rPr>
        <w:t xml:space="preserve">. </w:t>
      </w:r>
      <w:r w:rsidR="00C1572E">
        <w:rPr>
          <w:color w:val="595959"/>
          <w:sz w:val="24"/>
          <w:szCs w:val="24"/>
        </w:rPr>
        <w:t>Of these, 6</w:t>
      </w:r>
      <w:r w:rsidR="000A1695">
        <w:rPr>
          <w:color w:val="595959"/>
          <w:sz w:val="24"/>
          <w:szCs w:val="24"/>
        </w:rPr>
        <w:t xml:space="preserve"> OTUs</w:t>
      </w:r>
      <w:r w:rsidR="00C1572E">
        <w:rPr>
          <w:color w:val="595959"/>
          <w:sz w:val="24"/>
          <w:szCs w:val="24"/>
        </w:rPr>
        <w:t xml:space="preserve"> were present in the PW site, 3 in the PD site and 1 in the CW site. In none of these sites did the </w:t>
      </w:r>
      <w:r w:rsidR="000A1695">
        <w:rPr>
          <w:color w:val="595959"/>
          <w:sz w:val="24"/>
          <w:szCs w:val="24"/>
        </w:rPr>
        <w:t xml:space="preserve">potential </w:t>
      </w:r>
      <w:r w:rsidR="00C1572E">
        <w:rPr>
          <w:color w:val="595959"/>
          <w:sz w:val="24"/>
          <w:szCs w:val="24"/>
        </w:rPr>
        <w:t xml:space="preserve">comammox OTUs display significant </w:t>
      </w:r>
      <w:r w:rsidR="00C1572E">
        <w:rPr>
          <w:color w:val="595959"/>
          <w:sz w:val="24"/>
          <w:szCs w:val="24"/>
        </w:rPr>
        <w:lastRenderedPageBreak/>
        <w:t>temporal variation (Kruskal-Wallis). Therefore, we considered the impact of potential comammox bacteria negligible on our central question of the impact of drought dynamics on ammonia oxidation in fen peatlands.</w:t>
      </w:r>
    </w:p>
    <w:p w14:paraId="57A296B3" w14:textId="7AC1DF77" w:rsidR="00A75082" w:rsidRDefault="00A75082" w:rsidP="009D334C">
      <w:pPr>
        <w:widowControl w:val="0"/>
        <w:spacing w:before="240" w:after="240" w:line="480" w:lineRule="auto"/>
        <w:rPr>
          <w:color w:val="595959"/>
          <w:sz w:val="24"/>
          <w:szCs w:val="24"/>
        </w:rPr>
      </w:pPr>
      <w:r>
        <w:rPr>
          <w:color w:val="595959"/>
          <w:sz w:val="24"/>
          <w:szCs w:val="24"/>
        </w:rPr>
        <w:t xml:space="preserve">Quantification of AOA and AOB was implemented with both genomic data via quantitative PCR (qPCR) and transcriptomic data via reverse-transcription qPCR (RT-qPCR). The temporal variability of the abundances (as </w:t>
      </w:r>
      <w:r>
        <w:rPr>
          <w:i/>
          <w:color w:val="595959"/>
          <w:sz w:val="24"/>
          <w:szCs w:val="24"/>
        </w:rPr>
        <w:t>amo</w:t>
      </w:r>
      <w:r>
        <w:rPr>
          <w:color w:val="595959"/>
          <w:sz w:val="24"/>
          <w:szCs w:val="24"/>
        </w:rPr>
        <w:t xml:space="preserve">A gene copies per gram dry weight soil) were then analyzed with Kruskal-Wallis tests, with a post-hoc Dunn test with a Bonferroni correction as necessary (when </w:t>
      </w:r>
      <w:r w:rsidR="00214125">
        <w:rPr>
          <w:color w:val="595959"/>
          <w:sz w:val="24"/>
          <w:szCs w:val="24"/>
        </w:rPr>
        <w:t>k</w:t>
      </w:r>
      <w:r>
        <w:rPr>
          <w:color w:val="595959"/>
          <w:sz w:val="24"/>
          <w:szCs w:val="24"/>
        </w:rPr>
        <w:t xml:space="preserve">&gt;2) </w:t>
      </w:r>
      <w:r>
        <w:rPr>
          <w:color w:val="595959"/>
          <w:sz w:val="24"/>
          <w:szCs w:val="24"/>
        </w:rPr>
        <w:fldChar w:fldCharType="begin"/>
      </w:r>
      <w:r>
        <w:rPr>
          <w:color w:val="595959"/>
          <w:sz w:val="24"/>
          <w:szCs w:val="24"/>
        </w:rPr>
        <w:instrText xml:space="preserve"> ADDIN ZOTERO_ITEM CSL_CITATION {"citationID":"78Am4j8W","properties":{"formattedCitation":"[46, 48]","plainCitation":"[46, 48]","noteIndex":0},"citationItems":[{"id":47,"uris":["http://zotero.org/users/local/lzRxkMmx/items/IGCEN759"],"itemData":{"id":47,"type":"article-journal","container-title":"J Am Stat Assoc","language":"en","page":"583–621","title":"Use of ranks in one-criterion variance analysis","volume":"47","author":[{"family":"Kruskal","given":"W.H."},{"family":"Wallis","given":"W.A."}],"issued":{"date-parts":[["1952"]]}}},{"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Pr>
          <w:color w:val="595959"/>
          <w:sz w:val="24"/>
          <w:szCs w:val="24"/>
        </w:rPr>
        <w:fldChar w:fldCharType="separate"/>
      </w:r>
      <w:r w:rsidRPr="00A75082">
        <w:rPr>
          <w:sz w:val="24"/>
        </w:rPr>
        <w:t>[46, 48]</w:t>
      </w:r>
      <w:r>
        <w:rPr>
          <w:color w:val="595959"/>
          <w:sz w:val="24"/>
          <w:szCs w:val="24"/>
        </w:rPr>
        <w:fldChar w:fldCharType="end"/>
      </w:r>
      <w:r>
        <w:rPr>
          <w:color w:val="595959"/>
          <w:sz w:val="24"/>
          <w:szCs w:val="24"/>
        </w:rPr>
        <w:t>. The genomic qPCR quantification of AOA revealed that temporal dynamics of AOA were in</w:t>
      </w:r>
      <w:r w:rsidR="00214125">
        <w:rPr>
          <w:color w:val="595959"/>
          <w:sz w:val="24"/>
          <w:szCs w:val="24"/>
        </w:rPr>
        <w:t xml:space="preserve">significant in all four sites (Kruskal-Wallis). Further, a comparison of drought AOA abundances compared to non-drought abundances were insignificant in all sites except CW (Dunn, k = 2, p = 0.047). In contrast, genomic qPCR quantification of AOB-associated genes displayed temporal variability in all four of the study sites. </w:t>
      </w:r>
      <w:r w:rsidR="00882FA8">
        <w:rPr>
          <w:color w:val="595959"/>
          <w:sz w:val="24"/>
          <w:szCs w:val="24"/>
        </w:rPr>
        <w:t xml:space="preserve">PW displayed a significant decrease in AOB during the drought period (p = 0.024), as well as sensitivity to temporal variability between sampling points (p = 0.02). A post-hoc Dunn Test with Bonferroni adjustment demonstrated a significant decrease in AOB abundance between April and October 2018 (p = 0.043). Similarly, although AOB in PD displayed insignificant sensitivity to global temporal variability (p = 0.058), </w:t>
      </w:r>
      <w:r w:rsidR="00771A56">
        <w:rPr>
          <w:color w:val="595959"/>
          <w:sz w:val="24"/>
          <w:szCs w:val="24"/>
        </w:rPr>
        <w:t xml:space="preserve">there is evidence for </w:t>
      </w:r>
      <w:r w:rsidR="00882FA8">
        <w:rPr>
          <w:color w:val="595959"/>
          <w:sz w:val="24"/>
          <w:szCs w:val="24"/>
        </w:rPr>
        <w:t xml:space="preserve">a significant decrease in AOB abundance between April and August 2018 (p = 0.033). Additionally, the PD AOB community displayed a significant decrease during drought periods when using genomic methods (p = 0.031). Finally, while AOB in both CW and CD demonstrated </w:t>
      </w:r>
      <w:r w:rsidR="009165AB">
        <w:rPr>
          <w:color w:val="595959"/>
          <w:sz w:val="24"/>
          <w:szCs w:val="24"/>
        </w:rPr>
        <w:t xml:space="preserve">significant </w:t>
      </w:r>
      <w:r w:rsidR="00882FA8">
        <w:rPr>
          <w:color w:val="595959"/>
          <w:sz w:val="24"/>
          <w:szCs w:val="24"/>
        </w:rPr>
        <w:t xml:space="preserve">temporal variability throughout the sampling period (p = 0.019 and 0.014), there was no significant difference in either site’s AOB abundance between </w:t>
      </w:r>
      <w:r w:rsidR="00882FA8">
        <w:rPr>
          <w:color w:val="595959"/>
          <w:sz w:val="24"/>
          <w:szCs w:val="24"/>
        </w:rPr>
        <w:lastRenderedPageBreak/>
        <w:t xml:space="preserve">drought and non-drought periods. Only CD had a significant </w:t>
      </w:r>
      <w:r w:rsidR="009165AB">
        <w:rPr>
          <w:color w:val="595959"/>
          <w:sz w:val="24"/>
          <w:szCs w:val="24"/>
        </w:rPr>
        <w:t xml:space="preserve">decrease in AOB abundance between June and August 2018 (Dunn with Bonferroni, p = 0.02). </w:t>
      </w:r>
    </w:p>
    <w:p w14:paraId="19215B0C" w14:textId="7FCE1343" w:rsidR="009165AB" w:rsidRDefault="009165AB" w:rsidP="009D334C">
      <w:pPr>
        <w:widowControl w:val="0"/>
        <w:spacing w:before="240" w:after="240" w:line="480" w:lineRule="auto"/>
        <w:rPr>
          <w:color w:val="595959"/>
          <w:sz w:val="24"/>
          <w:szCs w:val="24"/>
        </w:rPr>
      </w:pPr>
      <w:r>
        <w:rPr>
          <w:color w:val="595959"/>
          <w:sz w:val="24"/>
          <w:szCs w:val="24"/>
        </w:rPr>
        <w:t>Interestingly, the transcriptomic RT-qPCR method demonstrated divergent trends in AOA and AOB abundance when compared to the DNA-based qPCR results. While the qPCR method with DNA samples displayed a significant decrease in PW AOB during the drought period, RT-qPCR analysis of RNA samples from the same time points demonstrated a significant increase in abundance of AOB between April and August 2018 (p = 0.047), and a nearly-significant increase during drought periods (p = 0.059). Although AOA in PW was not found to be sensitive to temporal variability via genomic methods, the transcriptomic method revealed (similarly to AOB) a significant increase in abundance between April and August (p = 0.026), in addition to an increase during drought periods (p = 0.018). In contrast, CW samples displayed no significant temporal variability in either AOA or AOB abundances when analyzed via transcriptomic methods. Further, drought was not a significant corollary for either AOA or AOB</w:t>
      </w:r>
      <w:r w:rsidR="00771A56">
        <w:rPr>
          <w:color w:val="595959"/>
          <w:sz w:val="24"/>
          <w:szCs w:val="24"/>
        </w:rPr>
        <w:t xml:space="preserve"> in the CW site</w:t>
      </w:r>
      <w:r>
        <w:rPr>
          <w:color w:val="595959"/>
          <w:sz w:val="24"/>
          <w:szCs w:val="24"/>
        </w:rPr>
        <w:t xml:space="preserve">. The three time points analyzed via transcriptomic methods from the PD site are not sufficient for meaningful statistical analysis, but indicate a potential for temporal variability in this site as well. Because the primary focus of this study is the impact of hydrological disturbance (i.e. drought) in ecosystems that flourish under hydrological stability (i.e. the rewetted sites), further RNA-based analysis of the drained sites was not undertaken. </w:t>
      </w:r>
    </w:p>
    <w:p w14:paraId="0EE9D8F3" w14:textId="22BD669E" w:rsidR="00EB14AF" w:rsidRDefault="00DF62C2" w:rsidP="009D334C">
      <w:pPr>
        <w:widowControl w:val="0"/>
        <w:spacing w:before="240" w:after="240" w:line="480" w:lineRule="auto"/>
        <w:rPr>
          <w:color w:val="595959"/>
          <w:sz w:val="24"/>
          <w:szCs w:val="24"/>
        </w:rPr>
      </w:pPr>
      <w:r>
        <w:rPr>
          <w:color w:val="595959"/>
          <w:sz w:val="24"/>
          <w:szCs w:val="24"/>
        </w:rPr>
        <w:t>In addition to the quantification of archaeal and bacterial amoA copies, the sa</w:t>
      </w:r>
      <w:r w:rsidR="001627C3">
        <w:rPr>
          <w:color w:val="595959"/>
          <w:sz w:val="24"/>
          <w:szCs w:val="24"/>
        </w:rPr>
        <w:t>mples were analyzed for soil</w:t>
      </w:r>
      <w:r>
        <w:rPr>
          <w:color w:val="595959"/>
          <w:sz w:val="24"/>
          <w:szCs w:val="24"/>
        </w:rPr>
        <w:t xml:space="preserve"> RNA and DNA</w:t>
      </w:r>
      <w:r w:rsidR="001627C3">
        <w:rPr>
          <w:color w:val="595959"/>
          <w:sz w:val="24"/>
          <w:szCs w:val="24"/>
        </w:rPr>
        <w:t xml:space="preserve"> content</w:t>
      </w:r>
      <w:r>
        <w:rPr>
          <w:color w:val="595959"/>
          <w:sz w:val="24"/>
          <w:szCs w:val="24"/>
        </w:rPr>
        <w:t>, as well as a</w:t>
      </w:r>
      <w:r w:rsidR="00097094">
        <w:rPr>
          <w:color w:val="595959"/>
          <w:sz w:val="24"/>
          <w:szCs w:val="24"/>
        </w:rPr>
        <w:t xml:space="preserve">mmonium (NH4+) </w:t>
      </w:r>
      <w:r>
        <w:rPr>
          <w:color w:val="595959"/>
          <w:sz w:val="24"/>
          <w:szCs w:val="24"/>
        </w:rPr>
        <w:t>and nitrate (</w:t>
      </w:r>
      <w:r w:rsidR="00097094" w:rsidRPr="00DB6D84">
        <w:rPr>
          <w:color w:val="595959"/>
          <w:sz w:val="24"/>
          <w:szCs w:val="24"/>
        </w:rPr>
        <w:t>NO3-</w:t>
      </w:r>
      <w:r w:rsidRPr="00DB6D84">
        <w:rPr>
          <w:color w:val="595959"/>
          <w:sz w:val="24"/>
          <w:szCs w:val="24"/>
        </w:rPr>
        <w:t xml:space="preserve">) volumes. </w:t>
      </w:r>
      <w:r w:rsidR="00EB14AF" w:rsidRPr="00DB6D84">
        <w:rPr>
          <w:color w:val="595959"/>
          <w:sz w:val="24"/>
          <w:szCs w:val="24"/>
        </w:rPr>
        <w:t xml:space="preserve">First, PW had a higher copy number of </w:t>
      </w:r>
      <w:r w:rsidR="00DB6D84" w:rsidRPr="00DB6D84">
        <w:rPr>
          <w:color w:val="595959"/>
          <w:sz w:val="24"/>
          <w:szCs w:val="24"/>
        </w:rPr>
        <w:t xml:space="preserve">both DNA and </w:t>
      </w:r>
      <w:r w:rsidR="00EB14AF" w:rsidRPr="00DB6D84">
        <w:rPr>
          <w:color w:val="595959"/>
          <w:sz w:val="24"/>
          <w:szCs w:val="24"/>
        </w:rPr>
        <w:t xml:space="preserve">RNA per gram </w:t>
      </w:r>
      <w:r w:rsidR="00EB14AF" w:rsidRPr="00DB6D84">
        <w:rPr>
          <w:color w:val="595959"/>
          <w:sz w:val="24"/>
          <w:szCs w:val="24"/>
        </w:rPr>
        <w:lastRenderedPageBreak/>
        <w:t xml:space="preserve">dry weight soil than CW (ANOVA, </w:t>
      </w:r>
      <w:r w:rsidR="00DB6D84" w:rsidRPr="00DB6D84">
        <w:rPr>
          <w:color w:val="595959"/>
          <w:sz w:val="24"/>
          <w:szCs w:val="24"/>
        </w:rPr>
        <w:t>p &lt; 0.0001 and p = 0.0002</w:t>
      </w:r>
      <w:r w:rsidR="00EB14AF" w:rsidRPr="00DB6D84">
        <w:rPr>
          <w:color w:val="595959"/>
          <w:sz w:val="24"/>
          <w:szCs w:val="24"/>
        </w:rPr>
        <w:t>)</w:t>
      </w:r>
      <w:r w:rsidR="00DB6D84" w:rsidRPr="00DB6D84">
        <w:rPr>
          <w:color w:val="595959"/>
          <w:sz w:val="24"/>
          <w:szCs w:val="24"/>
        </w:rPr>
        <w:t>.</w:t>
      </w:r>
      <w:r w:rsidR="00EB14AF" w:rsidRPr="00DB6D84">
        <w:rPr>
          <w:color w:val="595959"/>
          <w:sz w:val="24"/>
          <w:szCs w:val="24"/>
        </w:rPr>
        <w:t xml:space="preserve"> </w:t>
      </w:r>
      <w:r w:rsidR="00DB6D84" w:rsidRPr="00DB6D84">
        <w:rPr>
          <w:color w:val="595959"/>
          <w:sz w:val="24"/>
          <w:szCs w:val="24"/>
        </w:rPr>
        <w:t>The</w:t>
      </w:r>
      <w:r w:rsidR="00DB6D84">
        <w:rPr>
          <w:color w:val="595959"/>
          <w:sz w:val="24"/>
          <w:szCs w:val="24"/>
        </w:rPr>
        <w:t xml:space="preserv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p>
    <w:p w14:paraId="1FC5E1A9" w14:textId="41D9529C" w:rsidR="00DF62C2" w:rsidRDefault="00DF62C2" w:rsidP="009D334C">
      <w:pPr>
        <w:widowControl w:val="0"/>
        <w:spacing w:before="240" w:after="240" w:line="480" w:lineRule="auto"/>
        <w:rPr>
          <w:color w:val="595959"/>
          <w:sz w:val="24"/>
          <w:szCs w:val="24"/>
        </w:rPr>
      </w:pPr>
      <w:r>
        <w:rPr>
          <w:color w:val="595959"/>
          <w:sz w:val="24"/>
          <w:szCs w:val="24"/>
        </w:rPr>
        <w:t>Ammonium was significantly dynamic in the PW site (ANOVA, p = 0.012), with a peak in October that was significantly higher than both the preceding April and August (Tukey HSD, p = 0.024 and 0.010), as well as the following December and February (p = 0.026 and 0.048). Nitrate was not significantly dynamic across any time points in the PW site. The CW site displayed an opposing trend, with no significant shifts in ammonium content across the study period, but a significant variation in nitrate (Kruskal-Wallis, p = 0.</w:t>
      </w:r>
      <w:r w:rsidRPr="001627C3">
        <w:rPr>
          <w:color w:val="595959"/>
          <w:sz w:val="24"/>
          <w:szCs w:val="24"/>
        </w:rPr>
        <w:t>033).</w:t>
      </w:r>
      <w:r w:rsidR="00097094" w:rsidRPr="001627C3">
        <w:rPr>
          <w:color w:val="595959"/>
          <w:sz w:val="24"/>
          <w:szCs w:val="24"/>
        </w:rPr>
        <w:t xml:space="preserve"> Both sites had a higher volume </w:t>
      </w:r>
      <w:r w:rsidR="001627C3" w:rsidRPr="001627C3">
        <w:rPr>
          <w:color w:val="595959"/>
          <w:sz w:val="24"/>
          <w:szCs w:val="24"/>
        </w:rPr>
        <w:t>of ammonium than nitrate (</w:t>
      </w:r>
      <w:r w:rsidR="001627C3">
        <w:rPr>
          <w:color w:val="595959"/>
          <w:sz w:val="24"/>
          <w:szCs w:val="24"/>
        </w:rPr>
        <w:t xml:space="preserve">Kruskal-Wallis, </w:t>
      </w:r>
      <w:r w:rsidR="001627C3" w:rsidRPr="001627C3">
        <w:rPr>
          <w:color w:val="595959"/>
          <w:sz w:val="24"/>
          <w:szCs w:val="24"/>
        </w:rPr>
        <w:t>PW p &lt; 0.0001</w:t>
      </w:r>
      <w:r w:rsidR="00097094" w:rsidRPr="001627C3">
        <w:rPr>
          <w:color w:val="595959"/>
          <w:sz w:val="24"/>
          <w:szCs w:val="24"/>
        </w:rPr>
        <w:t xml:space="preserve"> , CW p </w:t>
      </w:r>
      <w:r w:rsidR="001627C3" w:rsidRPr="001627C3">
        <w:rPr>
          <w:color w:val="595959"/>
          <w:sz w:val="24"/>
          <w:szCs w:val="24"/>
        </w:rPr>
        <w:t>&lt; 0.0001</w:t>
      </w:r>
      <w:r w:rsidR="00097094" w:rsidRPr="001627C3">
        <w:rPr>
          <w:color w:val="595959"/>
          <w:sz w:val="24"/>
          <w:szCs w:val="24"/>
        </w:rPr>
        <w:t>), and PW had both a higher nitrate (</w:t>
      </w:r>
      <w:r w:rsidR="001627C3" w:rsidRPr="001627C3">
        <w:rPr>
          <w:color w:val="595959"/>
          <w:sz w:val="24"/>
          <w:szCs w:val="24"/>
        </w:rPr>
        <w:t>p &lt; 0.0001</w:t>
      </w:r>
      <w:r w:rsidR="00097094" w:rsidRPr="001627C3">
        <w:rPr>
          <w:color w:val="595959"/>
          <w:sz w:val="24"/>
          <w:szCs w:val="24"/>
        </w:rPr>
        <w:t>) and ammonium (</w:t>
      </w:r>
      <w:r w:rsidR="001627C3" w:rsidRPr="001627C3">
        <w:rPr>
          <w:color w:val="595959"/>
          <w:sz w:val="24"/>
          <w:szCs w:val="24"/>
        </w:rPr>
        <w:t>p = 0.008</w:t>
      </w:r>
      <w:r w:rsidR="00097094" w:rsidRPr="001627C3">
        <w:rPr>
          <w:color w:val="595959"/>
          <w:sz w:val="24"/>
          <w:szCs w:val="24"/>
        </w:rPr>
        <w:t>) content than CW.</w:t>
      </w:r>
      <w:r w:rsidR="00097094">
        <w:rPr>
          <w:color w:val="595959"/>
          <w:sz w:val="24"/>
          <w:szCs w:val="24"/>
        </w:rPr>
        <w:t xml:space="preserve"> </w:t>
      </w:r>
    </w:p>
    <w:p w14:paraId="382B70C6" w14:textId="12D89BBE" w:rsidR="00357540" w:rsidRPr="00CD4B01" w:rsidRDefault="00460AC8" w:rsidP="009D334C">
      <w:pPr>
        <w:widowControl w:val="0"/>
        <w:spacing w:before="240" w:after="240" w:line="480" w:lineRule="auto"/>
        <w:rPr>
          <w:b/>
          <w:color w:val="595959"/>
          <w:sz w:val="24"/>
          <w:szCs w:val="24"/>
        </w:rPr>
      </w:pPr>
      <w:r w:rsidRPr="00CD4B01">
        <w:rPr>
          <w:b/>
          <w:color w:val="595959"/>
          <w:sz w:val="24"/>
          <w:szCs w:val="24"/>
        </w:rPr>
        <w:t>3.4 Metatranscriptomes and AOA Phylogeny</w:t>
      </w:r>
      <w:bookmarkStart w:id="10" w:name="_94ilf3in5tsk" w:colFirst="0" w:colLast="0"/>
      <w:bookmarkEnd w:id="10"/>
    </w:p>
    <w:p w14:paraId="62166E47" w14:textId="7FB95977" w:rsidR="006B51AE" w:rsidRDefault="006B51AE" w:rsidP="009D334C">
      <w:pPr>
        <w:widowControl w:val="0"/>
        <w:spacing w:before="240" w:after="240" w:line="480" w:lineRule="auto"/>
        <w:rPr>
          <w:color w:val="595959"/>
          <w:sz w:val="24"/>
          <w:szCs w:val="24"/>
          <w:highlight w:val="cyan"/>
        </w:rPr>
      </w:pPr>
      <w:r>
        <w:rPr>
          <w:noProof/>
          <w:color w:val="595959"/>
          <w:sz w:val="24"/>
          <w:szCs w:val="24"/>
          <w:lang w:val="en-US"/>
        </w:rPr>
        <w:lastRenderedPageBreak/>
        <w:drawing>
          <wp:inline distT="0" distB="0" distL="0" distR="0" wp14:anchorId="204A65DA" wp14:editId="0DC2ECC5">
            <wp:extent cx="5943600" cy="3343713"/>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713"/>
                    </a:xfrm>
                    <a:prstGeom prst="rect">
                      <a:avLst/>
                    </a:prstGeom>
                  </pic:spPr>
                </pic:pic>
              </a:graphicData>
            </a:graphic>
          </wp:inline>
        </w:drawing>
      </w:r>
    </w:p>
    <w:p w14:paraId="068AA60B" w14:textId="6832CD1D" w:rsidR="00B732C3" w:rsidRPr="00B732C3" w:rsidRDefault="00B732C3" w:rsidP="00B732C3">
      <w:pPr>
        <w:widowControl w:val="0"/>
        <w:spacing w:before="240" w:after="240" w:line="240" w:lineRule="auto"/>
        <w:rPr>
          <w:i/>
          <w:color w:val="595959"/>
          <w:sz w:val="24"/>
          <w:szCs w:val="24"/>
        </w:rPr>
      </w:pPr>
      <w:r w:rsidRPr="00B732C3">
        <w:rPr>
          <w:i/>
          <w:color w:val="595959"/>
          <w:sz w:val="24"/>
          <w:szCs w:val="24"/>
        </w:rPr>
        <w:t xml:space="preserve">Figure 4. Heat map of relevant nitrogen-cycling genes identified within the metatranscriptomic dataset via KEGG. Values are normalized by site and gene to </w:t>
      </w:r>
      <w:r>
        <w:rPr>
          <w:i/>
          <w:color w:val="595959"/>
          <w:sz w:val="24"/>
          <w:szCs w:val="24"/>
        </w:rPr>
        <w:t>evaluate</w:t>
      </w:r>
      <w:r w:rsidRPr="00B732C3">
        <w:rPr>
          <w:i/>
          <w:color w:val="595959"/>
          <w:sz w:val="24"/>
          <w:szCs w:val="24"/>
        </w:rPr>
        <w:t xml:space="preserve"> variation over time (n = 3 per time point and location). </w:t>
      </w:r>
    </w:p>
    <w:p w14:paraId="3B20870B" w14:textId="77F42C06" w:rsidR="004858A3" w:rsidRDefault="004858A3" w:rsidP="009D334C">
      <w:pPr>
        <w:widowControl w:val="0"/>
        <w:spacing w:before="240" w:after="240" w:line="480" w:lineRule="auto"/>
        <w:rPr>
          <w:color w:val="595959"/>
          <w:sz w:val="24"/>
          <w:szCs w:val="24"/>
        </w:rPr>
      </w:pPr>
      <w:r w:rsidRPr="004858A3">
        <w:rPr>
          <w:color w:val="595959"/>
          <w:sz w:val="24"/>
          <w:szCs w:val="24"/>
        </w:rPr>
        <w:t xml:space="preserve">There </w:t>
      </w:r>
      <w:r>
        <w:rPr>
          <w:color w:val="595959"/>
          <w:sz w:val="24"/>
          <w:szCs w:val="24"/>
        </w:rPr>
        <w:t>was significant fluctuations in gene marker abundance over the drought period for nitrogen f</w:t>
      </w:r>
      <w:r w:rsidR="00D52033">
        <w:rPr>
          <w:color w:val="595959"/>
          <w:sz w:val="24"/>
          <w:szCs w:val="24"/>
        </w:rPr>
        <w:t xml:space="preserve">ixation, nitrogen assimilation </w:t>
      </w:r>
      <w:r>
        <w:rPr>
          <w:color w:val="595959"/>
          <w:sz w:val="24"/>
          <w:szCs w:val="24"/>
        </w:rPr>
        <w:t>and ammonia oxidation in the PW site, as indicated by KEGG assignment of the metatranscriptomic data. Nitrogen-assimilation indicator nirB was variable over time with a significant peak in October as compared to April (ANOVA p = 0.046, Tukey HSD p = 0.038). A similar trend was evident in the related nasA gene for assimilatory nitrate/nitrite reduction to ammonium (ANRA)</w:t>
      </w:r>
      <w:r w:rsidR="00D52033">
        <w:rPr>
          <w:color w:val="595959"/>
          <w:sz w:val="24"/>
          <w:szCs w:val="24"/>
        </w:rPr>
        <w:t xml:space="preserve"> (Kruskal-Wallis p = 0.044, Dunn p = 0.040). </w:t>
      </w:r>
      <w:r>
        <w:rPr>
          <w:color w:val="595959"/>
          <w:sz w:val="24"/>
          <w:szCs w:val="24"/>
        </w:rPr>
        <w:t xml:space="preserve">Both nifH and nifK nitrogen fixation marker genes were dynamic over the drought cycle (Kruskal-Wallis, p = 0.002 and p =0.011), with a peak in April and decrease to a minimum in October. </w:t>
      </w:r>
      <w:r w:rsidR="00D52033">
        <w:rPr>
          <w:color w:val="595959"/>
          <w:sz w:val="24"/>
          <w:szCs w:val="24"/>
        </w:rPr>
        <w:t xml:space="preserve">Of the ammonia oxidation-indicator genes in the KEGG database (amoA, amoB and amoC), only amoA was significantly dynamic (ANOVA, p = 0.0006) with a peak in June as compared to </w:t>
      </w:r>
      <w:r w:rsidR="00D52033">
        <w:rPr>
          <w:color w:val="595959"/>
          <w:sz w:val="24"/>
          <w:szCs w:val="24"/>
        </w:rPr>
        <w:lastRenderedPageBreak/>
        <w:t xml:space="preserve">February (Tukey p = 0.042). No denitrification-indicator genes were significantly variable, though there was a slight increase in narH and narG in the August samples. </w:t>
      </w:r>
    </w:p>
    <w:p w14:paraId="6D49D797" w14:textId="785DEA96" w:rsidR="00D52033" w:rsidRDefault="00D52033" w:rsidP="009D334C">
      <w:pPr>
        <w:widowControl w:val="0"/>
        <w:spacing w:before="240" w:after="240" w:line="480" w:lineRule="auto"/>
        <w:rPr>
          <w:color w:val="595959"/>
          <w:sz w:val="24"/>
          <w:szCs w:val="24"/>
        </w:rPr>
      </w:pPr>
      <w:r>
        <w:rPr>
          <w:color w:val="595959"/>
          <w:sz w:val="24"/>
          <w:szCs w:val="24"/>
        </w:rPr>
        <w:t xml:space="preserve">In comparison to PW, CW had lower abundances on the scale of an order of magnitude across all marker genes (Kruskal-Wallis, nifH p = 0.002, nifK p = 0.011, nirB p &lt; 0.001, nasA p = 0.011, amoA p = 0.001, amoB p &lt; 0.0001, amoC p &lt; 0.0001). Denitrification activity was also higher in PW than CW (p &lt; 0.001), although the transcription rates were not dynamic in either site across the drought cycle. Of the analyzed marker genes, only the nitrogen-fixation associated nifK fluctuated meaningfully between April 2018 and February 2019 (p = 0.035), with evidence for a slight decrease in August. While nifH also demonstrated a slight decrease in August, none of the variation over time in this gene marker was significant. </w:t>
      </w:r>
    </w:p>
    <w:p w14:paraId="45FD7DF8" w14:textId="4262322F" w:rsidR="00BB3A18" w:rsidRPr="004858A3" w:rsidRDefault="00BB3A18" w:rsidP="009D334C">
      <w:pPr>
        <w:widowControl w:val="0"/>
        <w:spacing w:before="240" w:after="240" w:line="480" w:lineRule="auto"/>
        <w:rPr>
          <w:color w:val="595959"/>
          <w:sz w:val="24"/>
          <w:szCs w:val="24"/>
        </w:rPr>
      </w:pPr>
      <w:r>
        <w:rPr>
          <w:color w:val="595959"/>
          <w:sz w:val="24"/>
          <w:szCs w:val="24"/>
        </w:rPr>
        <w:t>Additionally, PW had a higher diversity in AOA clades than CW</w:t>
      </w:r>
      <w:r w:rsidR="00D12275">
        <w:rPr>
          <w:color w:val="595959"/>
          <w:sz w:val="24"/>
          <w:szCs w:val="24"/>
        </w:rPr>
        <w:t xml:space="preserve"> (Fig. 5)</w:t>
      </w:r>
      <w:r>
        <w:rPr>
          <w:color w:val="595959"/>
          <w:sz w:val="24"/>
          <w:szCs w:val="24"/>
        </w:rPr>
        <w:t xml:space="preserve">. </w:t>
      </w:r>
      <w:r w:rsidR="00D12275">
        <w:rPr>
          <w:color w:val="595959"/>
          <w:sz w:val="24"/>
          <w:szCs w:val="24"/>
        </w:rPr>
        <w:t xml:space="preserve">Clades were assigned based on affinity to phylogenetic tree regions based on known AOA clades in the </w:t>
      </w:r>
      <w:r w:rsidR="00D12275" w:rsidRPr="00D12275">
        <w:rPr>
          <w:i/>
          <w:color w:val="595959"/>
          <w:sz w:val="24"/>
          <w:szCs w:val="24"/>
        </w:rPr>
        <w:t>amoA</w:t>
      </w:r>
      <w:r w:rsidR="00D12275">
        <w:rPr>
          <w:color w:val="595959"/>
          <w:sz w:val="24"/>
          <w:szCs w:val="24"/>
        </w:rPr>
        <w:t xml:space="preserve"> database (Supplement Fig.4) </w:t>
      </w:r>
      <w:r w:rsidR="00D12275">
        <w:rPr>
          <w:color w:val="595959"/>
          <w:sz w:val="24"/>
          <w:szCs w:val="24"/>
        </w:rPr>
        <w:fldChar w:fldCharType="begin"/>
      </w:r>
      <w:r w:rsidR="00D12275">
        <w:rPr>
          <w:color w:val="595959"/>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Pr>
          <w:color w:val="595959"/>
          <w:sz w:val="24"/>
          <w:szCs w:val="24"/>
        </w:rPr>
        <w:fldChar w:fldCharType="separate"/>
      </w:r>
      <w:r w:rsidR="00D12275" w:rsidRPr="00D12275">
        <w:rPr>
          <w:sz w:val="24"/>
        </w:rPr>
        <w:t>[38]</w:t>
      </w:r>
      <w:r w:rsidR="00D12275">
        <w:rPr>
          <w:color w:val="595959"/>
          <w:sz w:val="24"/>
          <w:szCs w:val="24"/>
        </w:rPr>
        <w:fldChar w:fldCharType="end"/>
      </w:r>
      <w:r w:rsidR="00D12275">
        <w:rPr>
          <w:color w:val="595959"/>
          <w:sz w:val="24"/>
          <w:szCs w:val="24"/>
        </w:rPr>
        <w:t xml:space="preserve">. ASVs with ambiguous locations (i.e. between genuses or clades) were labeled as undefined. </w:t>
      </w:r>
      <w:r>
        <w:rPr>
          <w:color w:val="595959"/>
          <w:sz w:val="24"/>
          <w:szCs w:val="24"/>
        </w:rPr>
        <w:t xml:space="preserve">The CW metagenome contained only one clade at one time point (Ca. Nitrosotaleales Alpha in December 2018). In contrast, the PW metagenome contained AOA-identified ASVs across all time points, including taxonomic units assigned to Nitrosopumilales (clade Eta) and Nitrosophaerales (clades Delta, Gamma, Zeta and undefined), as well as additional unidentified AOA ASVs. There were no ASVs assigned to Ca. Nitrosocaldales in either site. </w:t>
      </w:r>
      <w:r w:rsidR="0009771A">
        <w:rPr>
          <w:color w:val="595959"/>
          <w:sz w:val="24"/>
          <w:szCs w:val="24"/>
        </w:rPr>
        <w:t xml:space="preserve">All AOA clade absolute abundances were stable over time (Kruskal-Wallis), with the exception of Nitrosotaleales Alpha, which was only present in CW in December, and Nitrosopumilales Eta, which first appeared in October. The most prominent clades </w:t>
      </w:r>
      <w:r w:rsidR="0009771A">
        <w:rPr>
          <w:color w:val="595959"/>
          <w:sz w:val="24"/>
          <w:szCs w:val="24"/>
        </w:rPr>
        <w:lastRenderedPageBreak/>
        <w:t xml:space="preserve">identified in the PW site were </w:t>
      </w:r>
      <w:r w:rsidR="00D12275">
        <w:rPr>
          <w:color w:val="595959"/>
          <w:sz w:val="24"/>
          <w:szCs w:val="24"/>
        </w:rPr>
        <w:t>Nitrosophaerales Gamma and ASVs that were undefined within the structure of the phylogenetic tree.</w:t>
      </w:r>
    </w:p>
    <w:p w14:paraId="4FA9C69B" w14:textId="0B37B02A" w:rsidR="00A04769" w:rsidRPr="00CD4B01" w:rsidRDefault="00963D78" w:rsidP="00A04769">
      <w:pPr>
        <w:pStyle w:val="berschrift4"/>
        <w:spacing w:before="240" w:after="240" w:line="480" w:lineRule="auto"/>
      </w:pPr>
      <w:bookmarkStart w:id="11" w:name="_am0m3rlp6om6" w:colFirst="0" w:colLast="0"/>
      <w:bookmarkEnd w:id="11"/>
      <w:r>
        <w:rPr>
          <w:noProof/>
          <w:lang w:val="en-US"/>
        </w:rPr>
        <w:drawing>
          <wp:inline distT="0" distB="0" distL="0" distR="0" wp14:anchorId="682DA0AC" wp14:editId="45F88B00">
            <wp:extent cx="5485864" cy="4566285"/>
            <wp:effectExtent l="0" t="0" r="63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5864" cy="4566285"/>
                    </a:xfrm>
                    <a:prstGeom prst="rect">
                      <a:avLst/>
                    </a:prstGeom>
                  </pic:spPr>
                </pic:pic>
              </a:graphicData>
            </a:graphic>
          </wp:inline>
        </w:drawing>
      </w:r>
    </w:p>
    <w:p w14:paraId="2FF4C285" w14:textId="50A240F6" w:rsidR="002F7F45" w:rsidRPr="00F37B5B" w:rsidRDefault="009D334C" w:rsidP="00F37B5B">
      <w:pPr>
        <w:spacing w:before="240" w:after="240" w:line="240" w:lineRule="auto"/>
        <w:rPr>
          <w:i/>
          <w:sz w:val="24"/>
          <w:szCs w:val="24"/>
        </w:rPr>
      </w:pPr>
      <w:r w:rsidRPr="00F37B5B">
        <w:rPr>
          <w:i/>
          <w:sz w:val="24"/>
          <w:szCs w:val="24"/>
        </w:rPr>
        <w:t xml:space="preserve">Figure </w:t>
      </w:r>
      <w:r w:rsidR="00D12275">
        <w:rPr>
          <w:i/>
          <w:sz w:val="24"/>
          <w:szCs w:val="24"/>
        </w:rPr>
        <w:t>5</w:t>
      </w:r>
      <w:r w:rsidRPr="00F37B5B">
        <w:rPr>
          <w:i/>
          <w:sz w:val="24"/>
          <w:szCs w:val="24"/>
        </w:rPr>
        <w:t xml:space="preserve">. </w:t>
      </w:r>
      <w:r w:rsidR="00F37B5B" w:rsidRPr="00F37B5B">
        <w:rPr>
          <w:i/>
          <w:sz w:val="24"/>
          <w:szCs w:val="24"/>
        </w:rPr>
        <w:t>A</w:t>
      </w:r>
      <w:r w:rsidR="0009771A">
        <w:rPr>
          <w:i/>
          <w:sz w:val="24"/>
          <w:szCs w:val="24"/>
        </w:rPr>
        <w:t>verage a</w:t>
      </w:r>
      <w:r w:rsidR="00F37B5B" w:rsidRPr="00F37B5B">
        <w:rPr>
          <w:i/>
          <w:sz w:val="24"/>
          <w:szCs w:val="24"/>
        </w:rPr>
        <w:t>bsolute abundance</w:t>
      </w:r>
      <w:r w:rsidRPr="00F37B5B">
        <w:rPr>
          <w:i/>
          <w:sz w:val="24"/>
          <w:szCs w:val="24"/>
        </w:rPr>
        <w:t xml:space="preserve"> of AOA clades at each location throughout the 2018 drought cycle. </w:t>
      </w:r>
      <w:r w:rsidR="00F37B5B" w:rsidRPr="00F37B5B">
        <w:rPr>
          <w:i/>
          <w:sz w:val="24"/>
          <w:szCs w:val="24"/>
        </w:rPr>
        <w:t>Absolute</w:t>
      </w:r>
      <w:r w:rsidRPr="00F37B5B">
        <w:rPr>
          <w:i/>
          <w:sz w:val="24"/>
          <w:szCs w:val="24"/>
        </w:rPr>
        <w:t xml:space="preserve"> abundance of the respective clades for each site and time po</w:t>
      </w:r>
      <w:r w:rsidR="0009771A">
        <w:rPr>
          <w:i/>
          <w:sz w:val="24"/>
          <w:szCs w:val="24"/>
        </w:rPr>
        <w:t>int is from 16S rRNA metagenome OTUs</w:t>
      </w:r>
      <w:r w:rsidR="00F37B5B" w:rsidRPr="00F37B5B">
        <w:rPr>
          <w:i/>
          <w:sz w:val="24"/>
          <w:szCs w:val="24"/>
        </w:rPr>
        <w:t xml:space="preserve"> (i.e. relative abundance) multiplied by the total DNA copies per gram dry weight soil to calculate absolute abundance. C</w:t>
      </w:r>
      <w:r w:rsidRPr="00F37B5B">
        <w:rPr>
          <w:i/>
          <w:sz w:val="24"/>
          <w:szCs w:val="24"/>
        </w:rPr>
        <w:t>lade assignments are from the phylogenetic tree constructed with the amoA database described above (Fig. 5).</w:t>
      </w:r>
      <w:bookmarkStart w:id="12" w:name="_92e5ntbgke9p" w:colFirst="0" w:colLast="0"/>
      <w:bookmarkStart w:id="13" w:name="_x31rqw6spn5d" w:colFirst="0" w:colLast="0"/>
      <w:bookmarkEnd w:id="12"/>
      <w:bookmarkEnd w:id="13"/>
      <w:r w:rsidR="0009771A">
        <w:rPr>
          <w:i/>
          <w:sz w:val="24"/>
          <w:szCs w:val="24"/>
        </w:rPr>
        <w:t xml:space="preserve"> UD indicates undetermined, NT is Ca. Nitrosotaleales, NS is Nitrososphaerales and NP is Nitrosopumilales. </w:t>
      </w:r>
    </w:p>
    <w:p w14:paraId="6DC8D2AF" w14:textId="444642A9" w:rsidR="00357540" w:rsidRDefault="003C33AE" w:rsidP="003C33AE">
      <w:pPr>
        <w:pStyle w:val="Listenabsatz"/>
        <w:numPr>
          <w:ilvl w:val="0"/>
          <w:numId w:val="4"/>
        </w:numPr>
        <w:spacing w:before="240" w:after="240" w:line="480" w:lineRule="auto"/>
        <w:rPr>
          <w:b/>
          <w:sz w:val="24"/>
          <w:szCs w:val="24"/>
          <w:u w:val="single"/>
        </w:rPr>
      </w:pPr>
      <w:r w:rsidRPr="003C33AE">
        <w:rPr>
          <w:b/>
          <w:sz w:val="24"/>
          <w:szCs w:val="24"/>
          <w:u w:val="single"/>
        </w:rPr>
        <w:t>Discussion</w:t>
      </w:r>
      <w:r>
        <w:rPr>
          <w:b/>
          <w:sz w:val="24"/>
          <w:szCs w:val="24"/>
          <w:u w:val="single"/>
        </w:rPr>
        <w:t xml:space="preserve"> and Conclusion</w:t>
      </w:r>
    </w:p>
    <w:p w14:paraId="56781D31" w14:textId="6B65C744" w:rsidR="003C33AE" w:rsidRDefault="003C33AE" w:rsidP="003C33AE">
      <w:pPr>
        <w:spacing w:before="240" w:after="240" w:line="480" w:lineRule="auto"/>
        <w:rPr>
          <w:sz w:val="24"/>
          <w:szCs w:val="24"/>
        </w:rPr>
      </w:pPr>
      <w:r w:rsidRPr="003C33AE">
        <w:rPr>
          <w:sz w:val="24"/>
          <w:szCs w:val="24"/>
          <w:highlight w:val="cyan"/>
        </w:rPr>
        <w:t>[pre-drought system</w:t>
      </w:r>
      <w:r>
        <w:rPr>
          <w:sz w:val="24"/>
          <w:szCs w:val="24"/>
          <w:highlight w:val="cyan"/>
        </w:rPr>
        <w:t xml:space="preserve"> – high nitrogen fixation genes, lots of necromass</w:t>
      </w:r>
      <w:r w:rsidRPr="003C33AE">
        <w:rPr>
          <w:sz w:val="24"/>
          <w:szCs w:val="24"/>
          <w:highlight w:val="cyan"/>
        </w:rPr>
        <w:t>]</w:t>
      </w:r>
    </w:p>
    <w:p w14:paraId="13C5E834" w14:textId="486D12FC" w:rsidR="0047442F" w:rsidRDefault="003C33AE" w:rsidP="003C33AE">
      <w:pPr>
        <w:spacing w:before="240" w:after="240" w:line="480" w:lineRule="auto"/>
        <w:rPr>
          <w:sz w:val="24"/>
          <w:szCs w:val="24"/>
        </w:rPr>
      </w:pPr>
      <w:r>
        <w:rPr>
          <w:sz w:val="24"/>
          <w:szCs w:val="24"/>
        </w:rPr>
        <w:lastRenderedPageBreak/>
        <w:t>In comparison to the April pre-drought system, by the middle of the drought in August there was a significant increase in both AOB and AOA transcription in the PW site, as evidenced by the results of the RT-qPCR. However, transcribed B-amoA was more abundant than A-amoA on the scale of an order of magnitude. It is likely that both AOB and AOA responded positively to the influx of oxygen into the peatland topsoils as the water table fell, as b</w:t>
      </w:r>
      <w:r w:rsidR="006F1134">
        <w:rPr>
          <w:sz w:val="24"/>
          <w:szCs w:val="24"/>
        </w:rPr>
        <w:t>oth groups are obligate aerobes</w:t>
      </w:r>
      <w:r w:rsidR="00533F7D">
        <w:rPr>
          <w:sz w:val="24"/>
          <w:szCs w:val="24"/>
        </w:rPr>
        <w:t xml:space="preserve">. </w:t>
      </w:r>
      <w:r>
        <w:rPr>
          <w:sz w:val="24"/>
          <w:szCs w:val="24"/>
        </w:rPr>
        <w:t>Further, active microbial biomass (proxied by RNA content) was at its maximum in August, suggesting that the increase in AOA and AOB activity could be in response to the greater overall microbial abundance</w:t>
      </w:r>
      <w:r w:rsidR="006B51AE">
        <w:rPr>
          <w:sz w:val="24"/>
          <w:szCs w:val="24"/>
        </w:rPr>
        <w:t>, although RNA content</w:t>
      </w:r>
      <w:r w:rsidR="0047442F">
        <w:rPr>
          <w:sz w:val="24"/>
          <w:szCs w:val="24"/>
        </w:rPr>
        <w:t xml:space="preserve"> in the soil</w:t>
      </w:r>
      <w:r w:rsidR="006B51AE">
        <w:rPr>
          <w:sz w:val="24"/>
          <w:szCs w:val="24"/>
        </w:rPr>
        <w:t xml:space="preserve"> was not significantly dynamic in either site</w:t>
      </w:r>
      <w:r w:rsidR="0047442F">
        <w:rPr>
          <w:sz w:val="24"/>
          <w:szCs w:val="24"/>
        </w:rPr>
        <w:t xml:space="preserve">. </w:t>
      </w:r>
    </w:p>
    <w:p w14:paraId="6CBF8B3B" w14:textId="67CCB22F" w:rsidR="009F7899" w:rsidRDefault="0047442F" w:rsidP="003C33AE">
      <w:pPr>
        <w:spacing w:before="240" w:after="240" w:line="480" w:lineRule="auto"/>
        <w:rPr>
          <w:sz w:val="24"/>
          <w:szCs w:val="24"/>
        </w:rPr>
      </w:pPr>
      <w:r>
        <w:rPr>
          <w:sz w:val="24"/>
          <w:szCs w:val="24"/>
        </w:rPr>
        <w:t>Another potential explanation for the increase in amo transcripts in the PW site is the introduction of novel ammonia sources due to the water table drop and corresponding state change from anoxic to oxic sediments. Beyond the increase in microbial biomass, there is also evidence for a decrease in microbial necromass, as evidenced by the significant decrease in bacterial amoA DNA copies from April to October (despite the increase in transcription activity from B-amoA within the same time period). Bacterial necromass has been found to constitute 11-27% of soil nitrogen, primarily within the muramic acids of peptidoglycan cell walls</w:t>
      </w:r>
      <w:r w:rsidR="003131D9">
        <w:rPr>
          <w:sz w:val="24"/>
          <w:szCs w:val="24"/>
        </w:rPr>
        <w:t xml:space="preserve"> </w:t>
      </w:r>
      <w:r w:rsidR="003131D9">
        <w:rPr>
          <w:sz w:val="24"/>
          <w:szCs w:val="24"/>
        </w:rPr>
        <w:fldChar w:fldCharType="begin"/>
      </w:r>
      <w:r w:rsidR="003131D9">
        <w:rPr>
          <w:sz w:val="24"/>
          <w:szCs w:val="24"/>
        </w:rPr>
        <w:instrText xml:space="preserve"> ADDIN ZOTERO_ITEM CSL_CITATION {"citationID":"dTzwKsCJ","properties":{"formattedCitation":"[67]","plainCitation":"[67]","noteIndex":0},"citationItems":[{"id":164,"uris":["http://zotero.org/users/local/lzRxkMmx/items/TGTNPG3W"],"itemData":{"id":164,"type":"article-journal","abstract":"Abstract\n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scaling, to demonstrate a suit of strategies for quantitating the contribution of microbe</w:instrText>
      </w:r>
      <w:r w:rsidR="003131D9">
        <w:rPr>
          <w:rFonts w:ascii="Cambria Math" w:hAnsi="Cambria Math" w:cs="Cambria Math"/>
          <w:sz w:val="24"/>
          <w:szCs w:val="24"/>
        </w:rPr>
        <w:instrText>‐</w:instrText>
      </w:r>
      <w:r w:rsidR="003131D9">
        <w:rPr>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3131D9">
        <w:rPr>
          <w:rFonts w:ascii="Cambria Math" w:hAnsi="Cambria Math" w:cs="Cambria Math"/>
          <w:sz w:val="24"/>
          <w:szCs w:val="24"/>
        </w:rPr>
        <w:instrText>‐</w:instrText>
      </w:r>
      <w:r w:rsidR="003131D9">
        <w:rPr>
          <w:sz w:val="24"/>
          <w:szCs w:val="24"/>
        </w:rPr>
        <w:instrText xml:space="preserve">generation field management requires promoting microbial biomass formation and necromass preservation to maintain healthy soils, ecosystems, and climate. Our analyses have important implications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Pr>
          <w:sz w:val="24"/>
          <w:szCs w:val="24"/>
        </w:rPr>
        <w:fldChar w:fldCharType="separate"/>
      </w:r>
      <w:r w:rsidR="003131D9" w:rsidRPr="003131D9">
        <w:rPr>
          <w:sz w:val="24"/>
        </w:rPr>
        <w:t>[67]</w:t>
      </w:r>
      <w:r w:rsidR="003131D9">
        <w:rPr>
          <w:sz w:val="24"/>
          <w:szCs w:val="24"/>
        </w:rPr>
        <w:fldChar w:fldCharType="end"/>
      </w:r>
      <w:r w:rsidR="003131D9">
        <w:rPr>
          <w:sz w:val="24"/>
          <w:szCs w:val="24"/>
        </w:rPr>
        <w:t xml:space="preserve">. While there is evidence that decomposition of these proteins contributes between 65 and 95% of soil organic nitrogen fluxes, preliminary studies indicate that drought is not a significant factor in soil muramic nitrogen decomposition, though high temperatures do correspond to significant increases in necromass nitrogen mineralization </w:t>
      </w:r>
      <w:r w:rsidR="003131D9">
        <w:rPr>
          <w:sz w:val="24"/>
          <w:szCs w:val="24"/>
        </w:rPr>
        <w:fldChar w:fldCharType="begin"/>
      </w:r>
      <w:r w:rsidR="003131D9">
        <w:rPr>
          <w:sz w:val="24"/>
          <w:szCs w:val="24"/>
        </w:rPr>
        <w:instrText xml:space="preserve"> ADDIN ZOTERO_ITEM CSL_CITATION {"citationID":"Yi7dZ8Pj","properties":{"formattedCitation":"[68\\uc0\\u8211{}70]","plainCitation":"[68–70]","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on microbial necromass are poorly understood despite their critical role in the cycling and sequestration of soil carbon (C) and nutrients. Here, we conducted a meta</w:instrText>
      </w:r>
      <w:r w:rsidR="003131D9">
        <w:rPr>
          <w:rFonts w:ascii="Cambria Math" w:hAnsi="Cambria Math" w:cs="Cambria Math"/>
          <w:sz w:val="24"/>
          <w:szCs w:val="24"/>
        </w:rPr>
        <w:instrText>‐</w:instrText>
      </w:r>
      <w:r w:rsidR="003131D9">
        <w:rPr>
          <w:sz w:val="24"/>
          <w:szCs w:val="24"/>
        </w:rPr>
        <w:instrText>analysis to reveal general patterns of the effects of nutrient addition, warming, eCO\n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C."},{"family":"Huang","given":"Congde"},{"family":"Kuzyakov","given":"Yakov"}],"issued":{"date-parts":[["2023",6]]}}},{"id":168,"uris":["http://zotero.org/users/local/lzRxkMmx/items/A2BN8TN7"],"itemData":{"id":168,"type":"article-journal","abstract":"Abstract\n            \n              Microbial</w:instrText>
      </w:r>
      <w:r w:rsidR="003131D9">
        <w:rPr>
          <w:rFonts w:ascii="Cambria Math" w:hAnsi="Cambria Math" w:cs="Cambria Math"/>
          <w:sz w:val="24"/>
          <w:szCs w:val="24"/>
        </w:rPr>
        <w:instrText>‐</w:instrText>
      </w:r>
      <w:r w:rsidR="003131D9">
        <w:rPr>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3131D9">
        <w:rPr>
          <w:rFonts w:ascii="Cambria Math" w:hAnsi="Cambria Math" w:cs="Cambria Math"/>
          <w:sz w:val="24"/>
          <w:szCs w:val="24"/>
        </w:rPr>
        <w:instrText>‐</w:instrText>
      </w:r>
      <w:r w:rsidR="003131D9">
        <w:rPr>
          <w:sz w:val="24"/>
          <w:szCs w:val="24"/>
        </w:rPr>
        <w:instrText>labeled bacterial and fungal necromass under optimum moisture conditions at 10°C, 15°C, and 25°C. We developed a new\n              15\n              N tracing model to calculate the production and mineralization rates of necromass N. Our results showed that bacterial and fungal necromass N had similar mineralization rates, despite their contrasting chemistry. Most bacterial and fungal necromass\n              15\n              N was recovered in the mineral</w:instrText>
      </w:r>
      <w:r w:rsidR="003131D9">
        <w:rPr>
          <w:rFonts w:ascii="Cambria Math" w:hAnsi="Cambria Math" w:cs="Cambria Math"/>
          <w:sz w:val="24"/>
          <w:szCs w:val="24"/>
        </w:rPr>
        <w:instrText>‐</w:instrText>
      </w:r>
      <w:r w:rsidR="003131D9">
        <w:rPr>
          <w:sz w:val="24"/>
          <w:szCs w:val="24"/>
        </w:rPr>
        <w:instrText>associated organic matter fraction through microbial anabolism, suggesting that mineral association plays an important role in stabilizing necromass N in soil, independently of necromass chemistry. Elevated temperature significantly increased the accumulation of necromass N in soil, due to the relatively higher microbial turnover and production of necromass N with increasing temperature than the increases in microbial necromass N mineralization. In conclusion, we found elevated temperature may increase the contribution of microbial necromass N to mineral</w:instrText>
      </w:r>
      <w:r w:rsidR="003131D9">
        <w:rPr>
          <w:rFonts w:ascii="Cambria Math" w:hAnsi="Cambria Math" w:cs="Cambria Math"/>
          <w:sz w:val="24"/>
          <w:szCs w:val="24"/>
        </w:rPr>
        <w:instrText>‐</w:instrText>
      </w:r>
      <w:r w:rsidR="003131D9">
        <w:rPr>
          <w:sz w:val="24"/>
          <w:szCs w:val="24"/>
        </w:rPr>
        <w:instrText xml:space="preserve">stabilized soil organic N.","container-title":"Global Change 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Pr>
          <w:sz w:val="24"/>
          <w:szCs w:val="24"/>
        </w:rPr>
        <w:fldChar w:fldCharType="separate"/>
      </w:r>
      <w:r w:rsidR="003131D9" w:rsidRPr="003131D9">
        <w:rPr>
          <w:sz w:val="24"/>
          <w:szCs w:val="24"/>
        </w:rPr>
        <w:t>[68–70]</w:t>
      </w:r>
      <w:r w:rsidR="003131D9">
        <w:rPr>
          <w:sz w:val="24"/>
          <w:szCs w:val="24"/>
        </w:rPr>
        <w:fldChar w:fldCharType="end"/>
      </w:r>
      <w:r w:rsidR="003131D9">
        <w:rPr>
          <w:sz w:val="24"/>
          <w:szCs w:val="24"/>
        </w:rPr>
        <w:t>. The evidence for microbial necromass decomposition after the shift in hydrological state from anoxic to oxic, combined with the decrease in activity from nitrogen fixation genes and increase in A-</w:t>
      </w:r>
      <w:r w:rsidR="003131D9">
        <w:rPr>
          <w:sz w:val="24"/>
          <w:szCs w:val="24"/>
        </w:rPr>
        <w:lastRenderedPageBreak/>
        <w:t xml:space="preserve">amoA and B-amoA copy numbers, indicates the possibility that the ammonia oxidizers are utilizing novel nitrogen sources </w:t>
      </w:r>
      <w:r w:rsidR="0077676A">
        <w:rPr>
          <w:sz w:val="24"/>
          <w:szCs w:val="24"/>
        </w:rPr>
        <w:t xml:space="preserve">in their newly oxygen-rich environment. In addition to decaying </w:t>
      </w:r>
      <w:r w:rsidR="009F7CA5">
        <w:rPr>
          <w:sz w:val="24"/>
          <w:szCs w:val="24"/>
        </w:rPr>
        <w:t xml:space="preserve">microbial </w:t>
      </w:r>
      <w:r w:rsidR="0077676A">
        <w:rPr>
          <w:sz w:val="24"/>
          <w:szCs w:val="24"/>
        </w:rPr>
        <w:t xml:space="preserve">necromass, </w:t>
      </w:r>
      <w:r w:rsidR="009F7CA5">
        <w:rPr>
          <w:sz w:val="24"/>
          <w:szCs w:val="24"/>
        </w:rPr>
        <w:t xml:space="preserve">increases in phenol oxidase under drought conditions in peatlands has been found to be an enzymatic latch increasing hydrolases activity and increasing peat degradation </w:t>
      </w:r>
      <w:r w:rsidR="009F7CA5">
        <w:rPr>
          <w:sz w:val="24"/>
          <w:szCs w:val="24"/>
        </w:rPr>
        <w:fldChar w:fldCharType="begin"/>
      </w:r>
      <w:r w:rsidR="009F7CA5">
        <w:rPr>
          <w:sz w:val="24"/>
          <w:szCs w:val="24"/>
        </w:rPr>
        <w:instrText xml:space="preserve"> ADDIN ZOTERO_ITEM CSL_CITATION {"citationID":"3eXyD6rD","properties":{"formattedCitation":"[71, 72]","plainCitation":"[71, 72]","noteIndex":0},"citationItems":[{"id":169,"uris":["http://zotero.org/users/local/lzRxkMmx/items/RBR57TIL"],"itemData":{"id":169,"type":"article-journal","container-title":"Nat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Pr>
          <w:sz w:val="24"/>
          <w:szCs w:val="24"/>
        </w:rPr>
        <w:fldChar w:fldCharType="separate"/>
      </w:r>
      <w:r w:rsidR="009F7CA5" w:rsidRPr="009F7CA5">
        <w:rPr>
          <w:sz w:val="24"/>
        </w:rPr>
        <w:t>[71, 72]</w:t>
      </w:r>
      <w:r w:rsidR="009F7CA5">
        <w:rPr>
          <w:sz w:val="24"/>
          <w:szCs w:val="24"/>
        </w:rPr>
        <w:fldChar w:fldCharType="end"/>
      </w:r>
      <w:r w:rsidR="009F7CA5">
        <w:rPr>
          <w:sz w:val="24"/>
          <w:szCs w:val="24"/>
        </w:rPr>
        <w:t xml:space="preserve">. </w:t>
      </w:r>
      <w:r w:rsidR="009946E0">
        <w:rPr>
          <w:sz w:val="24"/>
          <w:szCs w:val="24"/>
        </w:rPr>
        <w:t xml:space="preserve">The average total nitrogen concentration in northern herbaceous peat (such as that in both the CW and PW sites) is 1.7%; however, due to the history of drainage and subsequent degradation in both sites, the total nitrogen in the peat soils was likely much lower </w:t>
      </w:r>
      <w:r w:rsidR="009946E0">
        <w:rPr>
          <w:sz w:val="24"/>
          <w:szCs w:val="24"/>
        </w:rPr>
        <w:fldChar w:fldCharType="begin"/>
      </w:r>
      <w:r w:rsidR="009946E0">
        <w:rPr>
          <w:sz w:val="24"/>
          <w:szCs w:val="24"/>
        </w:rPr>
        <w:instrText xml:space="preserve"> ADDIN ZOTERO_ITEM CSL_CITATION {"citationID":"J0pp8kAH","properties":{"formattedCitation":"[73]","plainCitation":"[73]","noteIndex":0},"citationItems":[{"id":171,"uris":["http://zotero.org/users/local/lzRxkMmx/items/TRD8ELUF"],"itemData":{"id":171,"type":"article-journal","abstract":"Here,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Pr>
          <w:sz w:val="24"/>
          <w:szCs w:val="24"/>
        </w:rPr>
        <w:fldChar w:fldCharType="separate"/>
      </w:r>
      <w:r w:rsidR="009946E0" w:rsidRPr="009946E0">
        <w:rPr>
          <w:sz w:val="24"/>
        </w:rPr>
        <w:t>[73]</w:t>
      </w:r>
      <w:r w:rsidR="009946E0">
        <w:rPr>
          <w:sz w:val="24"/>
          <w:szCs w:val="24"/>
        </w:rPr>
        <w:fldChar w:fldCharType="end"/>
      </w:r>
      <w:r w:rsidR="009946E0">
        <w:rPr>
          <w:sz w:val="24"/>
          <w:szCs w:val="24"/>
        </w:rPr>
        <w:t>. In spite of the history of drainage, it is likely that the total nitrogen content in the peat soils was released as the increase in oxygen triggered the hydrolases trophic latch</w:t>
      </w:r>
      <w:r w:rsidR="00FD0C91">
        <w:rPr>
          <w:sz w:val="24"/>
          <w:szCs w:val="24"/>
        </w:rPr>
        <w:t>. Correspondingly, there was a significant flux in the NH4+ content in the PW soil over the samp</w:t>
      </w:r>
      <w:r w:rsidR="009F7899">
        <w:rPr>
          <w:sz w:val="24"/>
          <w:szCs w:val="24"/>
        </w:rPr>
        <w:t xml:space="preserve">ling period, with a significantly lower volume </w:t>
      </w:r>
      <w:r w:rsidR="00FD0C91">
        <w:rPr>
          <w:sz w:val="24"/>
          <w:szCs w:val="24"/>
        </w:rPr>
        <w:t xml:space="preserve">in April and August compared to October, supporting the evidence that </w:t>
      </w:r>
      <w:r w:rsidR="009F7899">
        <w:rPr>
          <w:sz w:val="24"/>
          <w:szCs w:val="24"/>
        </w:rPr>
        <w:t>the ammonium substrate was utilized by AOA and AOB during this time</w:t>
      </w:r>
      <w:r w:rsidR="00FD0C91">
        <w:rPr>
          <w:sz w:val="24"/>
          <w:szCs w:val="24"/>
        </w:rPr>
        <w:t>.</w:t>
      </w:r>
    </w:p>
    <w:p w14:paraId="32DC9535" w14:textId="7CE8A635" w:rsidR="001C3052" w:rsidRDefault="001C3052" w:rsidP="003C33AE">
      <w:pPr>
        <w:spacing w:before="240" w:after="240" w:line="480" w:lineRule="auto"/>
        <w:rPr>
          <w:sz w:val="24"/>
          <w:szCs w:val="24"/>
        </w:rPr>
      </w:pPr>
      <w:r w:rsidRPr="009F7899">
        <w:rPr>
          <w:sz w:val="24"/>
          <w:szCs w:val="24"/>
          <w:highlight w:val="cyan"/>
        </w:rPr>
        <w:t>Other discussion points – qPCR vs. RT-qPCR, AOA vs. AOB in SSU data</w:t>
      </w:r>
      <w:r>
        <w:rPr>
          <w:sz w:val="24"/>
          <w:szCs w:val="24"/>
        </w:rPr>
        <w:t xml:space="preserve"> </w:t>
      </w:r>
      <w:r w:rsidRPr="001C3052">
        <w:rPr>
          <w:sz w:val="24"/>
          <w:szCs w:val="24"/>
          <w:highlight w:val="cyan"/>
        </w:rPr>
        <w:t xml:space="preserve">– </w:t>
      </w:r>
      <w:r>
        <w:rPr>
          <w:sz w:val="24"/>
          <w:szCs w:val="24"/>
          <w:highlight w:val="cyan"/>
        </w:rPr>
        <w:t xml:space="preserve">use differences in AOA/AOB and RT vs qPCR to lead into </w:t>
      </w:r>
      <w:r w:rsidRPr="001C3052">
        <w:rPr>
          <w:sz w:val="24"/>
          <w:szCs w:val="24"/>
          <w:highlight w:val="cyan"/>
        </w:rPr>
        <w:t xml:space="preserve">explanation. </w:t>
      </w:r>
    </w:p>
    <w:p w14:paraId="77C4C404" w14:textId="0FFD2F9F" w:rsidR="006713EF" w:rsidRDefault="006713EF" w:rsidP="003C33AE">
      <w:pPr>
        <w:spacing w:before="240" w:after="240" w:line="480" w:lineRule="auto"/>
        <w:rPr>
          <w:sz w:val="24"/>
          <w:szCs w:val="24"/>
        </w:rPr>
      </w:pPr>
      <w:r>
        <w:rPr>
          <w:sz w:val="24"/>
          <w:szCs w:val="24"/>
        </w:rPr>
        <w:t xml:space="preserve">In October, the metatranscriptomic data displayed a significant increase in the nirB and nasA genes. While the nasA gene is obligatory for nitrate assimilation </w:t>
      </w:r>
      <w:r w:rsidR="00F16768">
        <w:rPr>
          <w:sz w:val="24"/>
          <w:szCs w:val="24"/>
        </w:rPr>
        <w:fldChar w:fldCharType="begin"/>
      </w:r>
      <w:r w:rsidR="00F16768">
        <w:rPr>
          <w:sz w:val="24"/>
          <w:szCs w:val="24"/>
        </w:rPr>
        <w:instrText xml:space="preserve"> ADDIN ZOTERO_ITEM CSL_CITATION {"citationID":"CdbhduEr","properties":{"formattedCitation":"[74]","plainCitation":"[74]","noteIndex":0},"citationItems":[{"id":173,"uris":["http://zotero.org/users/local/lzRxkMmx/items/PRR4XYLL"],"itemData":{"id":173,"type":"article-journal","container-title":"J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Pr>
          <w:sz w:val="24"/>
          <w:szCs w:val="24"/>
        </w:rPr>
        <w:fldChar w:fldCharType="separate"/>
      </w:r>
      <w:r w:rsidR="00F16768" w:rsidRPr="00F16768">
        <w:rPr>
          <w:sz w:val="24"/>
        </w:rPr>
        <w:t>[74]</w:t>
      </w:r>
      <w:r w:rsidR="00F16768">
        <w:rPr>
          <w:sz w:val="24"/>
          <w:szCs w:val="24"/>
        </w:rPr>
        <w:fldChar w:fldCharType="end"/>
      </w:r>
      <w:r w:rsidR="00F16768">
        <w:rPr>
          <w:sz w:val="24"/>
          <w:szCs w:val="24"/>
        </w:rPr>
        <w:t xml:space="preserve">, nirB codes for both dissimilatory and assimilatory nitrate/nitrite reduction </w:t>
      </w:r>
      <w:r w:rsidR="00F16768">
        <w:rPr>
          <w:sz w:val="24"/>
          <w:szCs w:val="24"/>
        </w:rPr>
        <w:fldChar w:fldCharType="begin"/>
      </w:r>
      <w:r w:rsidR="00F16768">
        <w:rPr>
          <w:sz w:val="24"/>
          <w:szCs w:val="24"/>
        </w:rPr>
        <w:instrText xml:space="preserve"> ADDIN ZOTERO_ITEM CSL_CITATION {"citationID":"p5Kodws2","properties":{"formattedCitation":"[75]","plainCitation":"[75]","noteIndex":0},"citationItems":[{"id":174,"uris":["http://zotero.org/users/local/lzRxkMmx/items/58LR6PNN"],"itemData":{"id":174,"type":"article-journal","container-title":"Science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Pr>
          <w:sz w:val="24"/>
          <w:szCs w:val="24"/>
        </w:rPr>
        <w:fldChar w:fldCharType="separate"/>
      </w:r>
      <w:r w:rsidR="00F16768" w:rsidRPr="00F16768">
        <w:rPr>
          <w:sz w:val="24"/>
        </w:rPr>
        <w:t>[75]</w:t>
      </w:r>
      <w:r w:rsidR="00F16768">
        <w:rPr>
          <w:sz w:val="24"/>
          <w:szCs w:val="24"/>
        </w:rPr>
        <w:fldChar w:fldCharType="end"/>
      </w:r>
      <w:r w:rsidR="00F16768">
        <w:rPr>
          <w:sz w:val="24"/>
          <w:szCs w:val="24"/>
        </w:rPr>
        <w:t xml:space="preserve">. However, due to the lack of shifts in other DNRA markers (particularly the DNRA-exclusive nrfA gene), it is likely that the observed increase in nirB corresponds to an uptick in ANRA rather than DNRA. Both nirB and nasA facilitate cytoplasmic nitrite and nitrate reduction (respectively) requiring the synthesis of a [4Fe-4S] cluster </w:t>
      </w:r>
      <w:r w:rsidR="00F16768">
        <w:rPr>
          <w:sz w:val="24"/>
          <w:szCs w:val="24"/>
        </w:rPr>
        <w:fldChar w:fldCharType="begin"/>
      </w:r>
      <w:r w:rsidR="00F16768">
        <w:rPr>
          <w:sz w:val="24"/>
          <w:szCs w:val="24"/>
        </w:rPr>
        <w:instrText xml:space="preserve"> ADDIN ZOTERO_ITEM CSL_CITATION {"citationID":"b0CKNGgW","properties":{"formattedCitation":"[76]","plainCitation":"[76]","noteIndex":0},"citationItems":[{"id":175,"uris":["http://zotero.org/users/local/lzRxkMmx/items/EBY3ULH2"],"itemData":{"id":175,"type":"chapter","container-title":"Biology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Pr>
          <w:sz w:val="24"/>
          <w:szCs w:val="24"/>
        </w:rPr>
        <w:fldChar w:fldCharType="separate"/>
      </w:r>
      <w:r w:rsidR="00F16768" w:rsidRPr="00F16768">
        <w:rPr>
          <w:sz w:val="24"/>
        </w:rPr>
        <w:t>[76]</w:t>
      </w:r>
      <w:r w:rsidR="00F16768">
        <w:rPr>
          <w:sz w:val="24"/>
          <w:szCs w:val="24"/>
        </w:rPr>
        <w:fldChar w:fldCharType="end"/>
      </w:r>
      <w:r w:rsidR="00F16768">
        <w:rPr>
          <w:sz w:val="24"/>
          <w:szCs w:val="24"/>
        </w:rPr>
        <w:t xml:space="preserve">. </w:t>
      </w:r>
      <w:r w:rsidR="004F1FD9">
        <w:rPr>
          <w:sz w:val="24"/>
          <w:szCs w:val="24"/>
        </w:rPr>
        <w:t xml:space="preserve">Drained fens that had been subject to soil desiccation often have large pools of iron upon rewetting; fluctuating </w:t>
      </w:r>
      <w:r w:rsidR="004F1FD9">
        <w:rPr>
          <w:sz w:val="24"/>
          <w:szCs w:val="24"/>
        </w:rPr>
        <w:lastRenderedPageBreak/>
        <w:t xml:space="preserve">water tables in these ecosystems facilitates iron-redox which has the potential to mineralize organic matter </w:t>
      </w:r>
      <w:r w:rsidR="004F1FD9">
        <w:rPr>
          <w:sz w:val="24"/>
          <w:szCs w:val="24"/>
        </w:rPr>
        <w:fldChar w:fldCharType="begin"/>
      </w:r>
      <w:r w:rsidR="004F1FD9">
        <w:rPr>
          <w:sz w:val="24"/>
          <w:szCs w:val="24"/>
        </w:rPr>
        <w:instrText xml:space="preserve"> ADDIN ZOTERO_ITEM CSL_CITATION {"citationID":"K7EyOr68","properties":{"formattedCitation":"[77]","plainCitation":"[77]","noteIndex":0},"citationItems":[{"id":176,"uris":["http://zotero.org/users/local/lzRxkMmx/items/IHRMBTIC"],"itemData":{"id":176,"type":"article-journal","container-title":"PLOS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Pr>
          <w:sz w:val="24"/>
          <w:szCs w:val="24"/>
        </w:rPr>
        <w:fldChar w:fldCharType="separate"/>
      </w:r>
      <w:r w:rsidR="004F1FD9" w:rsidRPr="004F1FD9">
        <w:rPr>
          <w:sz w:val="24"/>
        </w:rPr>
        <w:t>[77]</w:t>
      </w:r>
      <w:r w:rsidR="004F1FD9">
        <w:rPr>
          <w:sz w:val="24"/>
          <w:szCs w:val="24"/>
        </w:rPr>
        <w:fldChar w:fldCharType="end"/>
      </w:r>
      <w:r w:rsidR="004F1FD9">
        <w:rPr>
          <w:sz w:val="24"/>
          <w:szCs w:val="24"/>
        </w:rPr>
        <w:t xml:space="preserve">. </w:t>
      </w:r>
      <w:r w:rsidR="00E638D6">
        <w:rPr>
          <w:sz w:val="24"/>
          <w:szCs w:val="24"/>
        </w:rPr>
        <w:t>T</w:t>
      </w:r>
      <w:r w:rsidR="002371FA">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Pr>
          <w:sz w:val="24"/>
          <w:szCs w:val="24"/>
        </w:rPr>
        <w:fldChar w:fldCharType="begin"/>
      </w:r>
      <w:r w:rsidR="002371FA">
        <w:rPr>
          <w:sz w:val="24"/>
          <w:szCs w:val="24"/>
        </w:rPr>
        <w:instrText xml:space="preserve"> ADDIN ZOTERO_ITEM CSL_CITATION {"citationID":"Nh6tz82q","properties":{"formattedCitation":"[78, 79]","plainCitation":"[78, 79]","noteIndex":0},"citationItems":[{"id":178,"uris":["http://zotero.org/users/local/lzRxkMmx/items/D4BA2NUB"],"itemData":{"id":178,"type":"article-journal","container-title":"Journal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Pr>
          <w:sz w:val="24"/>
          <w:szCs w:val="24"/>
        </w:rPr>
        <w:fldChar w:fldCharType="separate"/>
      </w:r>
      <w:r w:rsidR="002371FA" w:rsidRPr="002371FA">
        <w:rPr>
          <w:sz w:val="24"/>
        </w:rPr>
        <w:t>[78, 79]</w:t>
      </w:r>
      <w:r w:rsidR="002371FA">
        <w:rPr>
          <w:sz w:val="24"/>
          <w:szCs w:val="24"/>
        </w:rPr>
        <w:fldChar w:fldCharType="end"/>
      </w:r>
      <w:r w:rsidR="002371FA">
        <w:rPr>
          <w:sz w:val="24"/>
          <w:szCs w:val="24"/>
        </w:rPr>
        <w:t>.</w:t>
      </w:r>
      <w:r w:rsidR="00222868">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Pr>
          <w:sz w:val="24"/>
          <w:szCs w:val="24"/>
        </w:rPr>
        <w:t xml:space="preserve">It is unclear why bacterial and archaeal amoA activity decreased during October from their August peak, given the flux of available NH4+ 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nirB activity contributed only to biomass synthesis, rather than </w:t>
      </w:r>
      <w:r w:rsidR="00E638D6">
        <w:rPr>
          <w:sz w:val="24"/>
          <w:szCs w:val="24"/>
        </w:rPr>
        <w:t xml:space="preserve">producing ammonia that is available for further oxidation </w:t>
      </w:r>
      <w:r w:rsidR="00E638D6">
        <w:rPr>
          <w:sz w:val="24"/>
          <w:szCs w:val="24"/>
        </w:rPr>
        <w:fldChar w:fldCharType="begin"/>
      </w:r>
      <w:r w:rsidR="00E638D6">
        <w:rPr>
          <w:sz w:val="24"/>
          <w:szCs w:val="24"/>
        </w:rPr>
        <w:instrText xml:space="preserve"> ADDIN ZOTERO_ITEM CSL_CITATION {"citationID":"aecR1cMJ","properties":{"formattedCitation":"[80]","plainCitation":"[80]","noteIndex":0},"citationItems":[{"id":180,"uris":["http://zotero.org/users/local/lzRxkMmx/items/UGGJ8U48"],"itemData":{"id":180,"type":"article-journal","container-title":"Archives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Pr>
          <w:sz w:val="24"/>
          <w:szCs w:val="24"/>
        </w:rPr>
        <w:fldChar w:fldCharType="separate"/>
      </w:r>
      <w:r w:rsidR="00E638D6" w:rsidRPr="00E638D6">
        <w:rPr>
          <w:sz w:val="24"/>
        </w:rPr>
        <w:t>[80]</w:t>
      </w:r>
      <w:r w:rsidR="00E638D6">
        <w:rPr>
          <w:sz w:val="24"/>
          <w:szCs w:val="24"/>
        </w:rPr>
        <w:fldChar w:fldCharType="end"/>
      </w:r>
      <w:r w:rsidR="00E638D6">
        <w:rPr>
          <w:sz w:val="24"/>
          <w:szCs w:val="24"/>
        </w:rPr>
        <w:t xml:space="preserve">. </w:t>
      </w:r>
      <w:r w:rsidR="00222868">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072A8195" w14:textId="77777777" w:rsidR="00A15686" w:rsidRDefault="000B1D0F" w:rsidP="003C33AE">
      <w:pPr>
        <w:spacing w:before="240" w:after="240" w:line="480" w:lineRule="auto"/>
        <w:rPr>
          <w:sz w:val="24"/>
          <w:szCs w:val="24"/>
        </w:rPr>
      </w:pPr>
      <w:r>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0B1D0F">
        <w:rPr>
          <w:sz w:val="24"/>
          <w:szCs w:val="24"/>
          <w:vertAlign w:val="superscript"/>
        </w:rPr>
        <w:t>th</w:t>
      </w:r>
      <w:r>
        <w:rPr>
          <w:sz w:val="24"/>
          <w:szCs w:val="24"/>
        </w:rPr>
        <w:t xml:space="preserve"> century (PW) </w:t>
      </w:r>
      <w:r>
        <w:rPr>
          <w:sz w:val="24"/>
          <w:szCs w:val="24"/>
        </w:rPr>
        <w:lastRenderedPageBreak/>
        <w:t xml:space="preserve">and 1850 (CW). Some of these differences are attributable to each sites’ mire type, with the PW site hydrologically linked to a river watershed, while CW is occasionally flooded with brackish </w:t>
      </w:r>
      <w:r w:rsidR="003C05F9">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7F18A493" w14:textId="6EF9FB4C" w:rsidR="008134F0" w:rsidRDefault="003C05F9" w:rsidP="003C33AE">
      <w:pPr>
        <w:spacing w:before="240" w:after="240" w:line="480" w:lineRule="auto"/>
        <w:rPr>
          <w:sz w:val="24"/>
          <w:szCs w:val="24"/>
        </w:rPr>
      </w:pPr>
      <w:r>
        <w:rPr>
          <w:sz w:val="24"/>
          <w:szCs w:val="24"/>
        </w:rPr>
        <w:t xml:space="preserve">However, water quality alone is insufficient to resolve why the nitrifying microbial communities in PW are dynamic in response to drought conditions, whereas those in CW remain largely </w:t>
      </w:r>
      <w:r w:rsidR="001C3052">
        <w:rPr>
          <w:sz w:val="24"/>
          <w:szCs w:val="24"/>
        </w:rPr>
        <w:t>stable</w:t>
      </w:r>
      <w:r>
        <w:rPr>
          <w:sz w:val="24"/>
          <w:szCs w:val="24"/>
        </w:rPr>
        <w:t>. This is the case both archaeal and bacterial transcribed amoA copies from RT-qPCR analysis, as well as for relevant functional genes for ANRA, nitrogen fixation and ammonia oxidation in the metatranscriptomes</w:t>
      </w:r>
      <w:r w:rsidR="001C3052">
        <w:rPr>
          <w:sz w:val="24"/>
          <w:szCs w:val="24"/>
        </w:rPr>
        <w:t>.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(and low) wate</w:t>
      </w:r>
      <w:bookmarkStart w:id="14" w:name="_GoBack"/>
      <w:bookmarkEnd w:id="14"/>
      <w:r w:rsidR="001C3052">
        <w:rPr>
          <w:sz w:val="24"/>
          <w:szCs w:val="24"/>
        </w:rPr>
        <w:t>r table is typical outside of drought periods due to flooding from the sea. The drought water-table threshhold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019E0D91" w14:textId="3B77EA1A" w:rsidR="009F7899" w:rsidRPr="003C33AE" w:rsidRDefault="001C3052" w:rsidP="003C33AE">
      <w:pPr>
        <w:spacing w:before="240" w:after="240" w:line="480" w:lineRule="auto"/>
        <w:rPr>
          <w:sz w:val="24"/>
          <w:szCs w:val="24"/>
        </w:rPr>
      </w:pPr>
      <w:r w:rsidRPr="001C3052">
        <w:rPr>
          <w:sz w:val="24"/>
          <w:szCs w:val="24"/>
          <w:highlight w:val="cyan"/>
        </w:rPr>
        <w:t>[conclusions]</w:t>
      </w:r>
    </w:p>
    <w:p w14:paraId="4C4774A4" w14:textId="77777777" w:rsidR="00460AC8" w:rsidRPr="00CD4B01" w:rsidRDefault="00460AC8" w:rsidP="00460AC8">
      <w:pPr>
        <w:pStyle w:val="Listenabsatz"/>
        <w:numPr>
          <w:ilvl w:val="0"/>
          <w:numId w:val="4"/>
        </w:numPr>
        <w:spacing w:before="240" w:after="240" w:line="480" w:lineRule="auto"/>
        <w:rPr>
          <w:b/>
          <w:sz w:val="24"/>
          <w:szCs w:val="24"/>
          <w:u w:val="single"/>
        </w:rPr>
      </w:pPr>
      <w:r w:rsidRPr="00CD4B01">
        <w:rPr>
          <w:b/>
          <w:sz w:val="24"/>
          <w:szCs w:val="24"/>
          <w:u w:val="single"/>
        </w:rPr>
        <w:lastRenderedPageBreak/>
        <w:t>Acknowledgements</w:t>
      </w:r>
    </w:p>
    <w:p w14:paraId="6C529529" w14:textId="77777777" w:rsidR="00460AC8" w:rsidRPr="00CD4B01" w:rsidRDefault="00460AC8" w:rsidP="00460AC8">
      <w:pPr>
        <w:pStyle w:val="Listenabsatz"/>
        <w:numPr>
          <w:ilvl w:val="0"/>
          <w:numId w:val="4"/>
        </w:numPr>
        <w:spacing w:before="240" w:after="240" w:line="480" w:lineRule="auto"/>
        <w:rPr>
          <w:b/>
          <w:sz w:val="24"/>
          <w:szCs w:val="24"/>
          <w:u w:val="single"/>
        </w:rPr>
      </w:pPr>
      <w:r w:rsidRPr="00CD4B01">
        <w:rPr>
          <w:b/>
          <w:sz w:val="24"/>
          <w:szCs w:val="24"/>
          <w:u w:val="single"/>
        </w:rPr>
        <w:t>Funding</w:t>
      </w:r>
    </w:p>
    <w:p w14:paraId="37314114" w14:textId="51BB2BE9" w:rsidR="00357540" w:rsidRPr="00CD4B01" w:rsidRDefault="000B1D0F" w:rsidP="009D334C">
      <w:pPr>
        <w:spacing w:before="240" w:after="240" w:line="480" w:lineRule="auto"/>
        <w:rPr>
          <w:sz w:val="24"/>
          <w:szCs w:val="24"/>
        </w:rPr>
      </w:pPr>
      <w:bookmarkStart w:id="15" w:name="_han5qw3ik5yg" w:colFirst="0" w:colLast="0"/>
      <w:bookmarkEnd w:id="15"/>
      <w:r>
        <w:rPr>
          <w:sz w:val="24"/>
          <w:szCs w:val="24"/>
        </w:rPr>
        <w:t>The European Social Fund (ESF) and the Ministry of Education, Science and Culture of Mecklenburg-Western Pomerania funded this study</w:t>
      </w:r>
      <w:r w:rsidR="009D334C" w:rsidRPr="00CD4B01">
        <w:rPr>
          <w:sz w:val="24"/>
          <w:szCs w:val="24"/>
        </w:rPr>
        <w:t xml:space="preserve"> under the WETSCAPES project (ESF/14-BM-A55-0027/16 to ESF/14-BM-A55-0035/16).</w:t>
      </w:r>
      <w:r>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77777777" w:rsidR="00357540" w:rsidRPr="00CD4B01"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6" w:name="_yqd9jth27q81" w:colFirst="0" w:colLast="0"/>
      <w:bookmarkEnd w:id="16"/>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2D74E3DE" w14:textId="77777777" w:rsidR="00D12275" w:rsidRDefault="00797AA4" w:rsidP="00D12275">
      <w:pPr>
        <w:pStyle w:val="Literaturverzeichnis"/>
      </w:pPr>
      <w:r>
        <w:rPr>
          <w:b/>
          <w:u w:val="single"/>
        </w:rPr>
        <w:fldChar w:fldCharType="begin"/>
      </w:r>
      <w:r w:rsidR="008015E0">
        <w:rPr>
          <w:b/>
          <w:u w:val="single"/>
        </w:rPr>
        <w:instrText xml:space="preserve"> ADDIN ZOTERO_BIBL {"uncited":[],"omitted":[],"custom":[]} CSL_BIBLIOGRAPHY </w:instrText>
      </w:r>
      <w:r>
        <w:rPr>
          <w:b/>
          <w:u w:val="single"/>
        </w:rPr>
        <w:fldChar w:fldCharType="separate"/>
      </w:r>
      <w:r w:rsidR="00D12275">
        <w:t xml:space="preserve">1. </w:t>
      </w:r>
      <w:r w:rsidR="00D12275">
        <w:tab/>
        <w:t xml:space="preserve">Global peatland assessment: The state of the world’s peatlands. 2022. UN Environment Programme, Global Peatlands Initiative. </w:t>
      </w:r>
    </w:p>
    <w:p w14:paraId="785682D4" w14:textId="77777777" w:rsidR="00D12275" w:rsidRDefault="00D12275" w:rsidP="00D12275">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p>
    <w:p w14:paraId="29E5EE49" w14:textId="77777777" w:rsidR="00D12275" w:rsidRDefault="00D12275" w:rsidP="00D12275">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74F33651" w14:textId="77777777" w:rsidR="00D12275" w:rsidRDefault="00D12275" w:rsidP="00D12275">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3177AC6D" w14:textId="77777777" w:rsidR="00D12275" w:rsidRDefault="00D12275" w:rsidP="00D12275">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571E93C2" w14:textId="77777777" w:rsidR="00D12275" w:rsidRDefault="00D12275" w:rsidP="00D12275">
      <w:pPr>
        <w:pStyle w:val="Literaturverzeichnis"/>
      </w:pPr>
      <w:r>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4B17623A" w14:textId="77777777" w:rsidR="00D12275" w:rsidRDefault="00D12275" w:rsidP="00D12275">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5B20225C" w14:textId="77777777" w:rsidR="00D12275" w:rsidRDefault="00D12275" w:rsidP="00D12275">
      <w:pPr>
        <w:pStyle w:val="Literaturverzeichnis"/>
      </w:pPr>
      <w:r>
        <w:lastRenderedPageBreak/>
        <w:t xml:space="preserve">8. </w:t>
      </w:r>
      <w:r>
        <w:tab/>
        <w:t xml:space="preserve">Stein LY, Klotz MG. The nitrogen cycle. </w:t>
      </w:r>
      <w:r>
        <w:rPr>
          <w:i/>
          <w:iCs/>
        </w:rPr>
        <w:t>Curr Biol</w:t>
      </w:r>
      <w:r>
        <w:t xml:space="preserve"> 2016; </w:t>
      </w:r>
      <w:r>
        <w:rPr>
          <w:b/>
          <w:bCs/>
        </w:rPr>
        <w:t>26</w:t>
      </w:r>
      <w:r>
        <w:t xml:space="preserve">: 94–8. </w:t>
      </w:r>
    </w:p>
    <w:p w14:paraId="7AD314B6" w14:textId="77777777" w:rsidR="00D12275" w:rsidRDefault="00D12275" w:rsidP="00D12275">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0ECE7C89" w14:textId="77777777" w:rsidR="00D12275" w:rsidRDefault="00D12275" w:rsidP="00D12275">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228C5555" w14:textId="77777777" w:rsidR="00D12275" w:rsidRDefault="00D12275" w:rsidP="00D12275">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7CB2753E" w14:textId="77777777" w:rsidR="00D12275" w:rsidRDefault="00D12275" w:rsidP="00D12275">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6548C3C8" w14:textId="77777777" w:rsidR="00D12275" w:rsidRDefault="00D12275" w:rsidP="00D12275">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338BBE07" w14:textId="77777777" w:rsidR="00D12275" w:rsidRDefault="00D12275" w:rsidP="00D12275">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1305DB60" w14:textId="77777777" w:rsidR="00D12275" w:rsidRDefault="00D12275" w:rsidP="00D12275">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62BDBAA1" w14:textId="77777777" w:rsidR="00D12275" w:rsidRDefault="00D12275" w:rsidP="00D12275">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23AD9AA4" w14:textId="77777777" w:rsidR="00D12275" w:rsidRDefault="00D12275" w:rsidP="00D12275">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56124B7C" w14:textId="77777777" w:rsidR="00D12275" w:rsidRDefault="00D12275" w:rsidP="00D12275">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16E6BFF2" w14:textId="77777777" w:rsidR="00D12275" w:rsidRDefault="00D12275" w:rsidP="00D12275">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2D5E6FF8" w14:textId="77777777" w:rsidR="00D12275" w:rsidRDefault="00D12275" w:rsidP="00D12275">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1AFA5AC2" w14:textId="77777777" w:rsidR="00D12275" w:rsidRDefault="00D12275" w:rsidP="00D12275">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117879E7" w14:textId="77777777" w:rsidR="00D12275" w:rsidRDefault="00D12275" w:rsidP="00D12275">
      <w:pPr>
        <w:pStyle w:val="Literaturverzeichnis"/>
      </w:pPr>
      <w:r>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55E959F3" w14:textId="77777777" w:rsidR="00D12275" w:rsidRDefault="00D12275" w:rsidP="00D12275">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742CA09B" w14:textId="77777777" w:rsidR="00D12275" w:rsidRDefault="00D12275" w:rsidP="00D12275">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6F1A58A3" w14:textId="77777777" w:rsidR="00D12275" w:rsidRDefault="00D12275" w:rsidP="00D12275">
      <w:pPr>
        <w:pStyle w:val="Literaturverzeichnis"/>
      </w:pPr>
      <w:r>
        <w:lastRenderedPageBreak/>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60C748A5" w14:textId="77777777" w:rsidR="00D12275" w:rsidRDefault="00D12275" w:rsidP="00D12275">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583ABD47" w14:textId="77777777" w:rsidR="00D12275" w:rsidRDefault="00D12275" w:rsidP="00D12275">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607C36BD" w14:textId="77777777" w:rsidR="00D12275" w:rsidRDefault="00D12275" w:rsidP="00D12275">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184CEAB9" w14:textId="77777777" w:rsidR="00D12275" w:rsidRDefault="00D12275" w:rsidP="00D12275">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59D56A8F" w14:textId="77777777" w:rsidR="00D12275" w:rsidRDefault="00D12275" w:rsidP="00D12275">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6B65E85B" w14:textId="77777777" w:rsidR="00D12275" w:rsidRDefault="00D12275" w:rsidP="00D12275">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3F8FE74A" w14:textId="77777777" w:rsidR="00D12275" w:rsidRDefault="00D12275" w:rsidP="00D12275">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0EA8E205" w14:textId="77777777" w:rsidR="00D12275" w:rsidRDefault="00D12275" w:rsidP="00D12275">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7FF38F03" w14:textId="77777777" w:rsidR="00D12275" w:rsidRDefault="00D12275" w:rsidP="00D12275">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3DC264F2" w14:textId="77777777" w:rsidR="00D12275" w:rsidRDefault="00D12275" w:rsidP="00D12275">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65A75F52" w14:textId="77777777" w:rsidR="00D12275" w:rsidRDefault="00D12275" w:rsidP="00D12275">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6100AA99" w14:textId="77777777" w:rsidR="00D12275" w:rsidRDefault="00D12275" w:rsidP="00D12275">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719D994E" w14:textId="77777777" w:rsidR="00D12275" w:rsidRDefault="00D12275" w:rsidP="00D12275">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460F2A7D" w14:textId="77777777" w:rsidR="00D12275" w:rsidRDefault="00D12275" w:rsidP="00D12275">
      <w:pPr>
        <w:pStyle w:val="Literaturverzeichnis"/>
      </w:pPr>
      <w:r>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4EDDDFA4" w14:textId="77777777" w:rsidR="00D12275" w:rsidRDefault="00D12275" w:rsidP="00D12275">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30D97570" w14:textId="77777777" w:rsidR="00D12275" w:rsidRDefault="00D12275" w:rsidP="00D12275">
      <w:pPr>
        <w:pStyle w:val="Literaturverzeichnis"/>
      </w:pPr>
      <w:r>
        <w:lastRenderedPageBreak/>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217B21E1" w14:textId="77777777" w:rsidR="00D12275" w:rsidRDefault="00D12275" w:rsidP="00D12275">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0BCF8690" w14:textId="77777777" w:rsidR="00D12275" w:rsidRDefault="00D12275" w:rsidP="00D12275">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336A0347" w14:textId="77777777" w:rsidR="00D12275" w:rsidRDefault="00D12275" w:rsidP="00D12275">
      <w:pPr>
        <w:pStyle w:val="Literaturverzeichnis"/>
      </w:pPr>
      <w:r>
        <w:t xml:space="preserve">44. </w:t>
      </w:r>
      <w:r>
        <w:tab/>
        <w:t xml:space="preserve">The R Project for Statistical Computing. </w:t>
      </w:r>
    </w:p>
    <w:p w14:paraId="050C80C8" w14:textId="77777777" w:rsidR="00D12275" w:rsidRDefault="00D12275" w:rsidP="00D12275">
      <w:pPr>
        <w:pStyle w:val="Literaturverzeichnis"/>
      </w:pPr>
      <w:r>
        <w:t xml:space="preserve">45. </w:t>
      </w:r>
      <w:r>
        <w:tab/>
        <w:t xml:space="preserve">Oksanen J, Simpson GL, Blanchet FG, Kindt R, Legendre P, Minchin PR. vegan: Community ecology package. 2022. </w:t>
      </w:r>
    </w:p>
    <w:p w14:paraId="4BB51ECB" w14:textId="77777777" w:rsidR="00D12275" w:rsidRDefault="00D12275" w:rsidP="00D12275">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7E6B3D0A" w14:textId="77777777" w:rsidR="00D12275" w:rsidRDefault="00D12275" w:rsidP="00D12275">
      <w:pPr>
        <w:pStyle w:val="Literaturverzeichnis"/>
      </w:pPr>
      <w:r>
        <w:t xml:space="preserve">47. </w:t>
      </w:r>
      <w:r>
        <w:tab/>
        <w:t xml:space="preserve">Kassambara A. rstatix: Pipe-Friendly Framework for Basic Statistical Tests. 2023. </w:t>
      </w:r>
    </w:p>
    <w:p w14:paraId="7311AD07" w14:textId="77777777" w:rsidR="00D12275" w:rsidRDefault="00D12275" w:rsidP="00D12275">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0827E440" w14:textId="77777777" w:rsidR="00D12275" w:rsidRDefault="00D12275" w:rsidP="00D12275">
      <w:pPr>
        <w:pStyle w:val="Literaturverzeichnis"/>
      </w:pPr>
      <w:r>
        <w:t xml:space="preserve">49. </w:t>
      </w:r>
      <w:r>
        <w:tab/>
        <w:t xml:space="preserve">Wickham H. ggplot2: Elegant Graphics for Data Analysis. 2016. Springer-Verlag New York. </w:t>
      </w:r>
    </w:p>
    <w:p w14:paraId="7D6C24B7" w14:textId="77777777" w:rsidR="00D12275" w:rsidRDefault="00D12275" w:rsidP="00D12275">
      <w:pPr>
        <w:pStyle w:val="Literaturverzeichnis"/>
      </w:pPr>
      <w:r>
        <w:t xml:space="preserve">50. </w:t>
      </w:r>
      <w:r>
        <w:tab/>
        <w:t xml:space="preserve">Some Methods for Classification and Analysis of Multivariate Observations. 1966. Defense Technical Information Center. </w:t>
      </w:r>
    </w:p>
    <w:p w14:paraId="38C98CE6" w14:textId="77777777" w:rsidR="00D12275" w:rsidRDefault="00D12275" w:rsidP="00D12275">
      <w:pPr>
        <w:pStyle w:val="Literaturverzeichnis"/>
      </w:pPr>
      <w:r>
        <w:t xml:space="preserve">51. </w:t>
      </w:r>
      <w:r>
        <w:tab/>
        <w:t xml:space="preserve">Maechler M, Rousseeuw P, Struyf A, Hubert M, Hornik K. cluster: Cluster Analysis Basics and Extensions. 2022. </w:t>
      </w:r>
    </w:p>
    <w:p w14:paraId="272F1651" w14:textId="77777777" w:rsidR="00D12275" w:rsidRDefault="00D12275" w:rsidP="00D12275">
      <w:pPr>
        <w:pStyle w:val="Literaturverzeichnis"/>
      </w:pPr>
      <w:r>
        <w:t xml:space="preserve">52.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5477F532" w14:textId="77777777" w:rsidR="00D12275" w:rsidRDefault="00D12275" w:rsidP="00D12275">
      <w:pPr>
        <w:pStyle w:val="Literaturverzeichnis"/>
      </w:pPr>
      <w:r>
        <w:t xml:space="preserve">53.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19065BDA" w14:textId="77777777" w:rsidR="00D12275" w:rsidRDefault="00D12275" w:rsidP="00D12275">
      <w:pPr>
        <w:pStyle w:val="Literaturverzeichnis"/>
      </w:pPr>
      <w:r>
        <w:t xml:space="preserve">54. </w:t>
      </w:r>
      <w:r>
        <w:tab/>
        <w:t xml:space="preserve">Liu C, Cui Y, Li X, Yao M. microeco: an R package for data mining in microbial community ecology. </w:t>
      </w:r>
      <w:r>
        <w:rPr>
          <w:i/>
          <w:iCs/>
        </w:rPr>
        <w:t>FEMS Microbiol Ecol</w:t>
      </w:r>
      <w:r>
        <w:t xml:space="preserve"> 2021; 97. </w:t>
      </w:r>
    </w:p>
    <w:p w14:paraId="23FE881F" w14:textId="77777777" w:rsidR="00D12275" w:rsidRDefault="00D12275" w:rsidP="00D12275">
      <w:pPr>
        <w:pStyle w:val="Literaturverzeichnis"/>
      </w:pPr>
      <w:r>
        <w:t xml:space="preserve">55.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76B8E380" w14:textId="77777777" w:rsidR="00D12275" w:rsidRDefault="00D12275" w:rsidP="00D12275">
      <w:pPr>
        <w:pStyle w:val="Literaturverzeichnis"/>
      </w:pPr>
      <w:r>
        <w:t xml:space="preserve">56.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2DFCA854" w14:textId="77777777" w:rsidR="00D12275" w:rsidRDefault="00D12275" w:rsidP="00D12275">
      <w:pPr>
        <w:pStyle w:val="Literaturverzeichnis"/>
      </w:pPr>
      <w:r>
        <w:t xml:space="preserve">57. </w:t>
      </w:r>
      <w:r>
        <w:tab/>
        <w:t xml:space="preserve">Larsson A. AliView: a fast and lightweight alignment viewer and editor for large datasets. </w:t>
      </w:r>
      <w:r>
        <w:rPr>
          <w:i/>
          <w:iCs/>
        </w:rPr>
        <w:t>Bioinformatics</w:t>
      </w:r>
      <w:r>
        <w:t xml:space="preserve"> 2014; </w:t>
      </w:r>
      <w:r>
        <w:rPr>
          <w:b/>
          <w:bCs/>
        </w:rPr>
        <w:t>30</w:t>
      </w:r>
      <w:r>
        <w:t xml:space="preserve">: 3276–3278. </w:t>
      </w:r>
    </w:p>
    <w:p w14:paraId="50D257AF" w14:textId="77777777" w:rsidR="00D12275" w:rsidRDefault="00D12275" w:rsidP="00D12275">
      <w:pPr>
        <w:pStyle w:val="Literaturverzeichnis"/>
      </w:pPr>
      <w:r w:rsidRPr="00D12275">
        <w:rPr>
          <w:lang w:val="de-DE"/>
        </w:rPr>
        <w:t xml:space="preserve">58. </w:t>
      </w:r>
      <w:r w:rsidRPr="00D12275">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307AC51E" w14:textId="77777777" w:rsidR="00D12275" w:rsidRDefault="00D12275" w:rsidP="00D12275">
      <w:pPr>
        <w:pStyle w:val="Literaturverzeichnis"/>
      </w:pPr>
      <w:r>
        <w:t xml:space="preserve">59.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70E8E2FE" w14:textId="77777777" w:rsidR="00D12275" w:rsidRDefault="00D12275" w:rsidP="00D12275">
      <w:pPr>
        <w:pStyle w:val="Literaturverzeichnis"/>
      </w:pPr>
      <w:r>
        <w:t xml:space="preserve">60.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315914F9" w14:textId="77777777" w:rsidR="00D12275" w:rsidRDefault="00D12275" w:rsidP="00D12275">
      <w:pPr>
        <w:pStyle w:val="Literaturverzeichnis"/>
      </w:pPr>
      <w:r>
        <w:lastRenderedPageBreak/>
        <w:t xml:space="preserve">61.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4186611C" w14:textId="77777777" w:rsidR="00D12275" w:rsidRDefault="00D12275" w:rsidP="00D12275">
      <w:pPr>
        <w:pStyle w:val="Literaturverzeichnis"/>
      </w:pPr>
      <w:r>
        <w:t xml:space="preserve">62.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5B48420B" w14:textId="77777777" w:rsidR="00D12275" w:rsidRDefault="00D12275" w:rsidP="00D12275">
      <w:pPr>
        <w:pStyle w:val="Literaturverzeichnis"/>
      </w:pPr>
      <w:r>
        <w:t xml:space="preserve">63. </w:t>
      </w:r>
      <w:r>
        <w:tab/>
        <w:t>McArdle BH, Anderson MJ. Fitting multivariate models to community data: a comment on distance</w:t>
      </w:r>
      <w:r>
        <w:rPr>
          <w:rFonts w:ascii="Cambria Math" w:hAnsi="Cambria Math" w:cs="Cambria Math"/>
        </w:rPr>
        <w:t>‐</w:t>
      </w:r>
      <w:r>
        <w:t xml:space="preserve">based redundancy analysis. </w:t>
      </w:r>
      <w:r>
        <w:rPr>
          <w:i/>
          <w:iCs/>
        </w:rPr>
        <w:t>Ecology</w:t>
      </w:r>
      <w:r>
        <w:t xml:space="preserve"> . </w:t>
      </w:r>
    </w:p>
    <w:p w14:paraId="7E1A75C9" w14:textId="77777777" w:rsidR="00D12275" w:rsidRDefault="00D12275" w:rsidP="00D12275">
      <w:pPr>
        <w:pStyle w:val="Literaturverzeichnis"/>
      </w:pPr>
      <w:r>
        <w:t xml:space="preserve">64. </w:t>
      </w:r>
      <w:r>
        <w:tab/>
        <w:t xml:space="preserve">Daims H, Lebedeva EV, Pjevac P, Han P, Herbold C, Albertsen M, et al. Complete nitrification by Nitrospira bacteria. </w:t>
      </w:r>
      <w:r>
        <w:rPr>
          <w:i/>
          <w:iCs/>
        </w:rPr>
        <w:t>Nature</w:t>
      </w:r>
      <w:r>
        <w:t xml:space="preserve"> 2015; </w:t>
      </w:r>
      <w:r>
        <w:rPr>
          <w:b/>
          <w:bCs/>
        </w:rPr>
        <w:t>528</w:t>
      </w:r>
      <w:r>
        <w:t xml:space="preserve">: 504–509. </w:t>
      </w:r>
    </w:p>
    <w:p w14:paraId="58259F65" w14:textId="77777777" w:rsidR="00D12275" w:rsidRDefault="00D12275" w:rsidP="00D12275">
      <w:pPr>
        <w:pStyle w:val="Literaturverzeichnis"/>
      </w:pPr>
      <w:r>
        <w:t xml:space="preserve">65. </w:t>
      </w:r>
      <w:r>
        <w:tab/>
        <w:t xml:space="preserve">Van Kessel MAHJ, Speth DR, Albertsen M, Nielsen PH, Op Den Camp HJM, Kartal B, et al. Complete nitrification by a single microorganism. </w:t>
      </w:r>
      <w:r>
        <w:rPr>
          <w:i/>
          <w:iCs/>
        </w:rPr>
        <w:t>Nature</w:t>
      </w:r>
      <w:r>
        <w:t xml:space="preserve"> 2015; </w:t>
      </w:r>
      <w:r>
        <w:rPr>
          <w:b/>
          <w:bCs/>
        </w:rPr>
        <w:t>528</w:t>
      </w:r>
      <w:r>
        <w:t xml:space="preserve">: 555–559. </w:t>
      </w:r>
    </w:p>
    <w:p w14:paraId="3660DDCD" w14:textId="77777777" w:rsidR="00D12275" w:rsidRDefault="00D12275" w:rsidP="00D12275">
      <w:pPr>
        <w:pStyle w:val="Literaturverzeichnis"/>
      </w:pPr>
      <w:r>
        <w:t xml:space="preserve">66.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3D29E1D5" w14:textId="77777777" w:rsidR="00D12275" w:rsidRDefault="00D12275" w:rsidP="00D12275">
      <w:pPr>
        <w:pStyle w:val="Literaturverzeichnis"/>
      </w:pPr>
      <w:r>
        <w:t xml:space="preserve">67.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0AC9727D" w14:textId="77777777" w:rsidR="00D12275" w:rsidRDefault="00D12275" w:rsidP="00D12275">
      <w:pPr>
        <w:pStyle w:val="Literaturverzeichnis"/>
      </w:pPr>
      <w:r>
        <w:t xml:space="preserve">68.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6D39CB2C" w14:textId="77777777" w:rsidR="00D12275" w:rsidRDefault="00D12275" w:rsidP="00D12275">
      <w:pPr>
        <w:pStyle w:val="Literaturverzeichnis"/>
      </w:pPr>
      <w:r w:rsidRPr="00D12275">
        <w:rPr>
          <w:lang w:val="de-DE"/>
        </w:rPr>
        <w:t xml:space="preserve">69. </w:t>
      </w:r>
      <w:r w:rsidRPr="00D12275">
        <w:rPr>
          <w:lang w:val="de-DE"/>
        </w:rPr>
        <w:tab/>
        <w:t xml:space="preserve">Hu J, Du M, Chen J, Tie L, Zhou S, Buckeridge KM, et al. </w:t>
      </w:r>
      <w:r>
        <w:t xml:space="preserve">Microbial necromass under global change and implications for soil organic matter. </w:t>
      </w:r>
      <w:r>
        <w:rPr>
          <w:i/>
          <w:iCs/>
        </w:rPr>
        <w:t>Global Change Biology</w:t>
      </w:r>
      <w:r>
        <w:t xml:space="preserve"> 2023; </w:t>
      </w:r>
      <w:r>
        <w:rPr>
          <w:b/>
          <w:bCs/>
        </w:rPr>
        <w:t>29</w:t>
      </w:r>
      <w:r>
        <w:t xml:space="preserve">: 3503–3515. </w:t>
      </w:r>
    </w:p>
    <w:p w14:paraId="5D3445CD" w14:textId="77777777" w:rsidR="00D12275" w:rsidRDefault="00D12275" w:rsidP="00D12275">
      <w:pPr>
        <w:pStyle w:val="Literaturverzeichnis"/>
      </w:pPr>
      <w:r>
        <w:t xml:space="preserve">70.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3966BC30" w14:textId="77777777" w:rsidR="00D12275" w:rsidRDefault="00D12275" w:rsidP="00D12275">
      <w:pPr>
        <w:pStyle w:val="Literaturverzeichnis"/>
      </w:pPr>
      <w:r>
        <w:t xml:space="preserve">71. </w:t>
      </w:r>
      <w:r>
        <w:tab/>
        <w:t xml:space="preserve">Freeman C, Ostle N, Kang H. An enzymatic lathc on a global carbon store. </w:t>
      </w:r>
      <w:r>
        <w:rPr>
          <w:i/>
          <w:iCs/>
        </w:rPr>
        <w:t>Nat Commun</w:t>
      </w:r>
      <w:r>
        <w:t xml:space="preserve"> 2001; 149. </w:t>
      </w:r>
    </w:p>
    <w:p w14:paraId="354E5ACD" w14:textId="77777777" w:rsidR="00D12275" w:rsidRDefault="00D12275" w:rsidP="00D12275">
      <w:pPr>
        <w:pStyle w:val="Literaturverzeichnis"/>
      </w:pPr>
      <w:r>
        <w:t xml:space="preserve">72. </w:t>
      </w:r>
      <w:r>
        <w:tab/>
        <w:t xml:space="preserve">Fenner N, Freeman C. Drought-induced carbon loss in peatlands. </w:t>
      </w:r>
      <w:r>
        <w:rPr>
          <w:i/>
          <w:iCs/>
        </w:rPr>
        <w:t>Nature Geosci</w:t>
      </w:r>
      <w:r>
        <w:t xml:space="preserve"> 2011; </w:t>
      </w:r>
      <w:r>
        <w:rPr>
          <w:b/>
          <w:bCs/>
        </w:rPr>
        <w:t>4</w:t>
      </w:r>
      <w:r>
        <w:t xml:space="preserve">: 895–900. </w:t>
      </w:r>
    </w:p>
    <w:p w14:paraId="19FE2A64" w14:textId="77777777" w:rsidR="00D12275" w:rsidRDefault="00D12275" w:rsidP="00D12275">
      <w:pPr>
        <w:pStyle w:val="Literaturverzeichnis"/>
      </w:pPr>
      <w:r>
        <w:t xml:space="preserve">73.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46ACEF7B" w14:textId="77777777" w:rsidR="00D12275" w:rsidRDefault="00D12275" w:rsidP="00D12275">
      <w:pPr>
        <w:pStyle w:val="Literaturverzeichnis"/>
      </w:pPr>
      <w:r>
        <w:t xml:space="preserve">74.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736C2184" w14:textId="77777777" w:rsidR="00D12275" w:rsidRDefault="00D12275" w:rsidP="00D12275">
      <w:pPr>
        <w:pStyle w:val="Literaturverzeichnis"/>
      </w:pPr>
      <w:r>
        <w:t xml:space="preserve">75.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164EAB02" w14:textId="77777777" w:rsidR="00D12275" w:rsidRDefault="00D12275" w:rsidP="00D12275">
      <w:pPr>
        <w:pStyle w:val="Literaturverzeichnis"/>
      </w:pPr>
      <w:r>
        <w:t xml:space="preserve">76. </w:t>
      </w:r>
      <w:r>
        <w:tab/>
        <w:t xml:space="preserve">Moreno-Vivián C, Flores E. Nitrate assimilation in bacteria. </w:t>
      </w:r>
      <w:r>
        <w:rPr>
          <w:i/>
          <w:iCs/>
        </w:rPr>
        <w:t>Biology of the nitrogen cycle</w:t>
      </w:r>
      <w:r>
        <w:t xml:space="preserve">. 2007. Elsevier B.V. </w:t>
      </w:r>
    </w:p>
    <w:p w14:paraId="63032E7C" w14:textId="77777777" w:rsidR="00D12275" w:rsidRDefault="00D12275" w:rsidP="00D12275">
      <w:pPr>
        <w:pStyle w:val="Literaturverzeichnis"/>
      </w:pPr>
      <w:r>
        <w:t xml:space="preserve">77.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0C1B452F" w14:textId="77777777" w:rsidR="00D12275" w:rsidRDefault="00D12275" w:rsidP="00D12275">
      <w:pPr>
        <w:pStyle w:val="Literaturverzeichnis"/>
      </w:pPr>
      <w:r>
        <w:t xml:space="preserve">78.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0D39D267" w14:textId="77777777" w:rsidR="00D12275" w:rsidRDefault="00D12275" w:rsidP="00D12275">
      <w:pPr>
        <w:pStyle w:val="Literaturverzeichnis"/>
      </w:pPr>
      <w:r>
        <w:lastRenderedPageBreak/>
        <w:t xml:space="preserve">79.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7E4960FA" w14:textId="77777777" w:rsidR="00D12275" w:rsidRDefault="00D12275" w:rsidP="00D12275">
      <w:pPr>
        <w:pStyle w:val="Literaturverzeichnis"/>
      </w:pPr>
      <w:r>
        <w:t xml:space="preserve">80.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07C5F95C" w14:textId="6CFF5922"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9D334C">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51EB8" w14:textId="77777777" w:rsidR="003654B8" w:rsidRDefault="003654B8" w:rsidP="009D334C">
      <w:pPr>
        <w:spacing w:line="240" w:lineRule="auto"/>
      </w:pPr>
      <w:r>
        <w:separator/>
      </w:r>
    </w:p>
  </w:endnote>
  <w:endnote w:type="continuationSeparator" w:id="0">
    <w:p w14:paraId="0FA7A694" w14:textId="77777777" w:rsidR="003654B8" w:rsidRDefault="003654B8"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EAD14" w14:textId="77777777" w:rsidR="003654B8" w:rsidRDefault="003654B8" w:rsidP="009D334C">
      <w:pPr>
        <w:spacing w:line="240" w:lineRule="auto"/>
      </w:pPr>
      <w:r>
        <w:separator/>
      </w:r>
    </w:p>
  </w:footnote>
  <w:footnote w:type="continuationSeparator" w:id="0">
    <w:p w14:paraId="10A2A9CC" w14:textId="77777777" w:rsidR="003654B8" w:rsidRDefault="003654B8"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97094"/>
    <w:rsid w:val="0009771A"/>
    <w:rsid w:val="000A1695"/>
    <w:rsid w:val="000B1D0F"/>
    <w:rsid w:val="000D0EDD"/>
    <w:rsid w:val="001627C3"/>
    <w:rsid w:val="001905EE"/>
    <w:rsid w:val="001C3052"/>
    <w:rsid w:val="001C5F88"/>
    <w:rsid w:val="00214125"/>
    <w:rsid w:val="00222868"/>
    <w:rsid w:val="002371FA"/>
    <w:rsid w:val="00265291"/>
    <w:rsid w:val="002F7F45"/>
    <w:rsid w:val="003131D9"/>
    <w:rsid w:val="00330425"/>
    <w:rsid w:val="00357540"/>
    <w:rsid w:val="003654B8"/>
    <w:rsid w:val="00370BFD"/>
    <w:rsid w:val="003C05F9"/>
    <w:rsid w:val="003C33AE"/>
    <w:rsid w:val="003D2E44"/>
    <w:rsid w:val="004400CC"/>
    <w:rsid w:val="00460AC8"/>
    <w:rsid w:val="00461D59"/>
    <w:rsid w:val="0047442F"/>
    <w:rsid w:val="004858A3"/>
    <w:rsid w:val="004C7BDC"/>
    <w:rsid w:val="004D4DAA"/>
    <w:rsid w:val="004F1FD9"/>
    <w:rsid w:val="004F7750"/>
    <w:rsid w:val="00501105"/>
    <w:rsid w:val="00533F7D"/>
    <w:rsid w:val="005D2067"/>
    <w:rsid w:val="0065680B"/>
    <w:rsid w:val="006713EF"/>
    <w:rsid w:val="00676354"/>
    <w:rsid w:val="006B400D"/>
    <w:rsid w:val="006B51AE"/>
    <w:rsid w:val="006D08BB"/>
    <w:rsid w:val="006F1134"/>
    <w:rsid w:val="007351BE"/>
    <w:rsid w:val="00771A56"/>
    <w:rsid w:val="0077676A"/>
    <w:rsid w:val="00797AA4"/>
    <w:rsid w:val="007F7406"/>
    <w:rsid w:val="008015E0"/>
    <w:rsid w:val="008134F0"/>
    <w:rsid w:val="008149E6"/>
    <w:rsid w:val="008332B6"/>
    <w:rsid w:val="00882FA8"/>
    <w:rsid w:val="008B79DC"/>
    <w:rsid w:val="009165AB"/>
    <w:rsid w:val="009379A9"/>
    <w:rsid w:val="00956D1E"/>
    <w:rsid w:val="00963D78"/>
    <w:rsid w:val="00977741"/>
    <w:rsid w:val="00984390"/>
    <w:rsid w:val="009946E0"/>
    <w:rsid w:val="009B0215"/>
    <w:rsid w:val="009D334C"/>
    <w:rsid w:val="009F7899"/>
    <w:rsid w:val="009F7CA5"/>
    <w:rsid w:val="00A04769"/>
    <w:rsid w:val="00A15686"/>
    <w:rsid w:val="00A75082"/>
    <w:rsid w:val="00AE7C99"/>
    <w:rsid w:val="00B6438D"/>
    <w:rsid w:val="00B654BC"/>
    <w:rsid w:val="00B732C3"/>
    <w:rsid w:val="00BA63E0"/>
    <w:rsid w:val="00BB3A18"/>
    <w:rsid w:val="00BC70B3"/>
    <w:rsid w:val="00C1572E"/>
    <w:rsid w:val="00CA4ECF"/>
    <w:rsid w:val="00CD4B01"/>
    <w:rsid w:val="00D06B86"/>
    <w:rsid w:val="00D12275"/>
    <w:rsid w:val="00D22096"/>
    <w:rsid w:val="00D52033"/>
    <w:rsid w:val="00D755A6"/>
    <w:rsid w:val="00DA6BA3"/>
    <w:rsid w:val="00DB6D84"/>
    <w:rsid w:val="00DF62C2"/>
    <w:rsid w:val="00E638D6"/>
    <w:rsid w:val="00E868C1"/>
    <w:rsid w:val="00EB14AF"/>
    <w:rsid w:val="00EB434F"/>
    <w:rsid w:val="00F00396"/>
    <w:rsid w:val="00F16768"/>
    <w:rsid w:val="00F37B5B"/>
    <w:rsid w:val="00F67A60"/>
    <w:rsid w:val="00F702AD"/>
    <w:rsid w:val="00FD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577E-4945-481B-871B-7409C995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21890</Words>
  <Characters>124779</Characters>
  <Application>Microsoft Office Word</Application>
  <DocSecurity>0</DocSecurity>
  <Lines>1039</Lines>
  <Paragraphs>292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21</cp:revision>
  <dcterms:created xsi:type="dcterms:W3CDTF">2024-01-15T13:34:00Z</dcterms:created>
  <dcterms:modified xsi:type="dcterms:W3CDTF">2024-04-10T13:33:00Z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id="nn6Kvksy"/&gt;&lt;style id="http://www.zotero.org/styles/the-isme-journal" hasBibliography="1" bibliographyStyleHasBeenSet="1"/&gt;&lt;prefs&gt;&lt;pref name="fieldType" value="Field"/&gt;&lt;/prefs&gt;&lt;/data&gt;</vt:lpwstr>
  </property>
</Properties>
</file>