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225" w:rsidRPr="00751225" w:rsidRDefault="00751225" w:rsidP="00751225">
      <w:pPr>
        <w:spacing w:line="480" w:lineRule="auto"/>
        <w:rPr>
          <w:b/>
        </w:rPr>
      </w:pPr>
      <w:r w:rsidRPr="00751225">
        <w:rPr>
          <w:b/>
        </w:rPr>
        <w:t>Divergent responses of soil AOA and AOB to drought in drained and rewetted fen peatlands</w:t>
      </w:r>
    </w:p>
    <w:p w:rsidR="00DF578E" w:rsidRDefault="00751225" w:rsidP="00751225">
      <w:pPr>
        <w:spacing w:line="480" w:lineRule="auto"/>
        <w:rPr>
          <w:b/>
          <w:lang w:val="de-DE"/>
        </w:rPr>
      </w:pPr>
      <w:proofErr w:type="spellStart"/>
      <w:r w:rsidRPr="00751225">
        <w:rPr>
          <w:b/>
          <w:lang w:val="de-DE"/>
        </w:rPr>
        <w:t>Expanded</w:t>
      </w:r>
      <w:proofErr w:type="spellEnd"/>
      <w:r w:rsidRPr="00751225">
        <w:rPr>
          <w:b/>
          <w:lang w:val="de-DE"/>
        </w:rPr>
        <w:t xml:space="preserve"> </w:t>
      </w:r>
      <w:proofErr w:type="spellStart"/>
      <w:r w:rsidRPr="00751225">
        <w:rPr>
          <w:b/>
          <w:lang w:val="de-DE"/>
        </w:rPr>
        <w:t>Methods</w:t>
      </w:r>
      <w:proofErr w:type="spellEnd"/>
      <w:r w:rsidRPr="00751225">
        <w:rPr>
          <w:b/>
          <w:lang w:val="de-DE"/>
        </w:rPr>
        <w:t xml:space="preserve"> </w:t>
      </w:r>
      <w:proofErr w:type="spellStart"/>
      <w:r w:rsidRPr="00751225">
        <w:rPr>
          <w:b/>
          <w:lang w:val="de-DE"/>
        </w:rPr>
        <w:t>Section</w:t>
      </w:r>
      <w:proofErr w:type="spellEnd"/>
    </w:p>
    <w:p w:rsidR="00751225" w:rsidRDefault="00751225" w:rsidP="00751225">
      <w:pPr>
        <w:spacing w:line="480" w:lineRule="auto"/>
        <w:rPr>
          <w:lang w:val="de-DE"/>
        </w:rPr>
      </w:pPr>
      <w:r w:rsidRPr="00751225">
        <w:rPr>
          <w:lang w:val="de-DE"/>
        </w:rPr>
        <w:t>Burns, Anna</w:t>
      </w:r>
      <w:r>
        <w:rPr>
          <w:lang w:val="de-DE"/>
        </w:rPr>
        <w:br w:type="page"/>
      </w:r>
    </w:p>
    <w:p w:rsidR="00751225" w:rsidRPr="00751225" w:rsidRDefault="00751225" w:rsidP="00751225">
      <w:pPr>
        <w:pStyle w:val="Listenabsatz"/>
        <w:numPr>
          <w:ilvl w:val="0"/>
          <w:numId w:val="1"/>
        </w:numPr>
        <w:spacing w:line="480" w:lineRule="auto"/>
        <w:rPr>
          <w:b/>
          <w:u w:val="single"/>
        </w:rPr>
      </w:pPr>
      <w:r w:rsidRPr="00751225">
        <w:rPr>
          <w:b/>
          <w:u w:val="single"/>
        </w:rPr>
        <w:lastRenderedPageBreak/>
        <w:t xml:space="preserve">Standard cultivation for 16S, archaeal and bacterial </w:t>
      </w:r>
      <w:proofErr w:type="spellStart"/>
      <w:r w:rsidRPr="00751225">
        <w:rPr>
          <w:b/>
          <w:u w:val="single"/>
        </w:rPr>
        <w:t>amoA</w:t>
      </w:r>
      <w:proofErr w:type="spellEnd"/>
      <w:r w:rsidRPr="00751225">
        <w:rPr>
          <w:b/>
          <w:u w:val="single"/>
        </w:rPr>
        <w:t xml:space="preserve"> genes</w:t>
      </w:r>
    </w:p>
    <w:p w:rsidR="00751225" w:rsidRDefault="00751225" w:rsidP="00751225">
      <w:pPr>
        <w:spacing w:line="480" w:lineRule="auto"/>
        <w:ind w:left="360"/>
      </w:pPr>
      <w:r>
        <w:t xml:space="preserve">The </w:t>
      </w:r>
      <w:r w:rsidR="00602419">
        <w:t xml:space="preserve">purified cultures </w:t>
      </w:r>
      <w:r>
        <w:t xml:space="preserve">chosen to create standards for downstream qPCR analysis were </w:t>
      </w:r>
      <w:r w:rsidR="00602419">
        <w:t xml:space="preserve">the ammonia-oxidizing bacteria </w:t>
      </w:r>
      <w:proofErr w:type="spellStart"/>
      <w:r w:rsidR="00602419" w:rsidRPr="00602419">
        <w:rPr>
          <w:i/>
        </w:rPr>
        <w:t>Nitrosopira</w:t>
      </w:r>
      <w:proofErr w:type="spellEnd"/>
      <w:r w:rsidR="00602419" w:rsidRPr="00602419">
        <w:rPr>
          <w:i/>
        </w:rPr>
        <w:t xml:space="preserve"> </w:t>
      </w:r>
      <w:proofErr w:type="spellStart"/>
      <w:r w:rsidR="00602419" w:rsidRPr="00602419">
        <w:rPr>
          <w:i/>
        </w:rPr>
        <w:t>multiformis</w:t>
      </w:r>
      <w:proofErr w:type="spellEnd"/>
      <w:r w:rsidR="00294E8F">
        <w:rPr>
          <w:i/>
        </w:rPr>
        <w:t xml:space="preserve"> </w:t>
      </w:r>
      <w:r w:rsidR="00294E8F">
        <w:rPr>
          <w:i/>
        </w:rPr>
        <w:fldChar w:fldCharType="begin"/>
      </w:r>
      <w:r w:rsidR="00294E8F">
        <w:rPr>
          <w:i/>
        </w:rPr>
        <w:instrText xml:space="preserve"> ADDIN ZOTERO_ITEM CSL_CITATION {"citationID":"8CKAzk7x","properties":{"formattedCitation":"[1]","plainCitation":"[1]","noteIndex":0},"citationItems":[{"id":41,"uris":["http://zotero.org/users/local/lzRxkMmx/items/9GSPIWDV"],"itemData":{"id":41,"type":"article-journal","container-title":"Appl Environ Microbiol","language":"en","page":"3559–3572","title":"Complete genome sequence of Nitrosospira multiformis, an ammonia-oxidizing bacterium from the soil environment","volume":"74","author":[{"family":"Norton","given":"J.M."},{"family":"Klotz","given":"M.G."},{"family":"Stein","given":"L.Y."},{"family":"Arp","given":"D.J."},{"family":"Bottomley","given":"P.J."},{"family":"Chain","given":"P.S.G."}],"issued":{"date-parts":[["2008"]]}}}],"schema":"https://github.com/citation-style-language/schema/raw/master/csl-citation.json"} </w:instrText>
      </w:r>
      <w:r w:rsidR="00294E8F">
        <w:rPr>
          <w:i/>
        </w:rPr>
        <w:fldChar w:fldCharType="separate"/>
      </w:r>
      <w:r w:rsidR="00294E8F" w:rsidRPr="00294E8F">
        <w:t>[1]</w:t>
      </w:r>
      <w:r w:rsidR="00294E8F">
        <w:rPr>
          <w:i/>
        </w:rPr>
        <w:fldChar w:fldCharType="end"/>
      </w:r>
      <w:r w:rsidR="00602419">
        <w:t xml:space="preserve">, ammonia oxidizing archaea </w:t>
      </w:r>
      <w:proofErr w:type="spellStart"/>
      <w:r w:rsidR="00602419" w:rsidRPr="00602419">
        <w:rPr>
          <w:i/>
        </w:rPr>
        <w:t>Nitrosophaera</w:t>
      </w:r>
      <w:proofErr w:type="spellEnd"/>
      <w:r w:rsidR="00602419" w:rsidRPr="00602419">
        <w:rPr>
          <w:i/>
        </w:rPr>
        <w:t xml:space="preserve"> </w:t>
      </w:r>
      <w:proofErr w:type="spellStart"/>
      <w:r w:rsidR="00602419" w:rsidRPr="00602419">
        <w:rPr>
          <w:i/>
        </w:rPr>
        <w:t>viennensis</w:t>
      </w:r>
      <w:proofErr w:type="spellEnd"/>
      <w:r w:rsidR="00294E8F">
        <w:rPr>
          <w:i/>
        </w:rPr>
        <w:t xml:space="preserve"> </w:t>
      </w:r>
      <w:r w:rsidR="00294E8F">
        <w:rPr>
          <w:i/>
        </w:rPr>
        <w:fldChar w:fldCharType="begin"/>
      </w:r>
      <w:r w:rsidR="00294E8F">
        <w:rPr>
          <w:i/>
        </w:rPr>
        <w:instrText xml:space="preserve"> ADDIN ZOTERO_ITEM CSL_CITATION {"citationID":"qIkuccjF","properties":{"formattedCitation":"[2]","plainCitation":"[2]","noteIndex":0},"citationItems":[{"id":42,"uris":["http://zotero.org/users/local/lzRxkMmx/items/BAF7HRPG"],"itemData":{"id":42,"type":"article-journal","container-title":"Int J Syst Evol Microbiol","language":"en","page":"2738–2752","title":"Nitrososphaera viennensis gen. nov., sp. nov., an aerobic and mesophilic, ammonia-oxidizing archaeon from soil and a member of the archaeal phylum Thaumarchaeota","volume":"64","author":[{"family":"Stieglmeier","given":"M."},{"family":"Klingl","given":"A."},{"family":"Alves","given":"R.J.E."},{"family":"SK-MR","given":"Rittmann"},{"family":"Melcher","given":"M."},{"family":"Leisch","given":"N."}],"issued":{"date-parts":[["2014"]]}}}],"schema":"https://github.com/citation-style-language/schema/raw/master/csl-citation.json"} </w:instrText>
      </w:r>
      <w:r w:rsidR="00294E8F">
        <w:rPr>
          <w:i/>
        </w:rPr>
        <w:fldChar w:fldCharType="separate"/>
      </w:r>
      <w:r w:rsidR="00294E8F" w:rsidRPr="00294E8F">
        <w:t>[2]</w:t>
      </w:r>
      <w:r w:rsidR="00294E8F">
        <w:rPr>
          <w:i/>
        </w:rPr>
        <w:fldChar w:fldCharType="end"/>
      </w:r>
      <w:r w:rsidR="00602419">
        <w:t xml:space="preserve">, and </w:t>
      </w:r>
      <w:r w:rsidR="00294E8F">
        <w:rPr>
          <w:i/>
        </w:rPr>
        <w:t>Escherich</w:t>
      </w:r>
      <w:r w:rsidR="00602419" w:rsidRPr="00602419">
        <w:rPr>
          <w:i/>
        </w:rPr>
        <w:t>ia coli</w:t>
      </w:r>
      <w:r w:rsidR="00294E8F">
        <w:rPr>
          <w:i/>
        </w:rPr>
        <w:t xml:space="preserve"> </w:t>
      </w:r>
      <w:r w:rsidR="00294E8F" w:rsidRPr="00294E8F">
        <w:rPr>
          <w:highlight w:val="yellow"/>
        </w:rPr>
        <w:t>[citation needed?]</w:t>
      </w:r>
      <w:r w:rsidR="00602419">
        <w:t>. First, the target genes were amplified via PCR</w:t>
      </w:r>
      <w:r w:rsidR="00F87B35">
        <w:t xml:space="preserve"> with the following 25 </w:t>
      </w:r>
      <w:proofErr w:type="spellStart"/>
      <w:r w:rsidR="00F87B35">
        <w:t>ul</w:t>
      </w:r>
      <w:proofErr w:type="spellEnd"/>
      <w:r w:rsidR="00F87B35">
        <w:t xml:space="preserve"> reaction: </w:t>
      </w:r>
      <w:r w:rsidR="00B00C05">
        <w:t xml:space="preserve">0.75 </w:t>
      </w:r>
      <w:proofErr w:type="spellStart"/>
      <w:r w:rsidR="00F87B35">
        <w:t>ul</w:t>
      </w:r>
      <w:proofErr w:type="spellEnd"/>
      <w:r w:rsidR="00F87B35">
        <w:t xml:space="preserve"> </w:t>
      </w:r>
      <w:proofErr w:type="spellStart"/>
      <w:r w:rsidR="00F87B35">
        <w:t>GoTaq</w:t>
      </w:r>
      <w:proofErr w:type="spellEnd"/>
      <w:r w:rsidR="00B00C05">
        <w:t>® DNA Polymerase (</w:t>
      </w:r>
      <w:proofErr w:type="spellStart"/>
      <w:r w:rsidR="00B00C05">
        <w:t>Promega</w:t>
      </w:r>
      <w:proofErr w:type="spellEnd"/>
      <w:r w:rsidR="00B00C05">
        <w:t>, Wisconsin, USA)</w:t>
      </w:r>
      <w:r w:rsidR="00F87B35">
        <w:t xml:space="preserve">, </w:t>
      </w:r>
      <w:r w:rsidR="00B00C05">
        <w:t xml:space="preserve">5 </w:t>
      </w:r>
      <w:proofErr w:type="spellStart"/>
      <w:r w:rsidR="00B00C05">
        <w:t>ul</w:t>
      </w:r>
      <w:proofErr w:type="spellEnd"/>
      <w:r w:rsidR="00B00C05">
        <w:t xml:space="preserve"> 5x </w:t>
      </w:r>
      <w:proofErr w:type="spellStart"/>
      <w:r w:rsidR="00B00C05">
        <w:t>GoTaq</w:t>
      </w:r>
      <w:proofErr w:type="spellEnd"/>
      <w:r w:rsidR="00B00C05">
        <w:t>® Reaction Buffer (</w:t>
      </w:r>
      <w:proofErr w:type="spellStart"/>
      <w:r w:rsidR="00B00C05">
        <w:t>Promega</w:t>
      </w:r>
      <w:proofErr w:type="spellEnd"/>
      <w:r w:rsidR="00B00C05">
        <w:t xml:space="preserve">), </w:t>
      </w:r>
      <w:r w:rsidR="00F87B35">
        <w:t xml:space="preserve">2.5 </w:t>
      </w:r>
      <w:proofErr w:type="spellStart"/>
      <w:r w:rsidR="00F87B35">
        <w:t>ul</w:t>
      </w:r>
      <w:proofErr w:type="spellEnd"/>
      <w:r w:rsidR="00F87B35">
        <w:t xml:space="preserve"> </w:t>
      </w:r>
      <w:proofErr w:type="spellStart"/>
      <w:r w:rsidR="00F87B35">
        <w:t>MgCl</w:t>
      </w:r>
      <w:proofErr w:type="spellEnd"/>
      <w:r w:rsidR="00B00C05">
        <w:rPr>
          <w:rFonts w:ascii="Cambria Math" w:hAnsi="Cambria Math" w:cs="Cambria Math"/>
          <w:color w:val="4D5156"/>
          <w:sz w:val="21"/>
          <w:szCs w:val="21"/>
          <w:shd w:val="clear" w:color="auto" w:fill="FFFFFF"/>
        </w:rPr>
        <w:t>₂</w:t>
      </w:r>
      <w:r w:rsidR="00F87B35">
        <w:t xml:space="preserve">, 0.5 </w:t>
      </w:r>
      <w:proofErr w:type="spellStart"/>
      <w:r w:rsidR="00F87B35">
        <w:t>ul</w:t>
      </w:r>
      <w:proofErr w:type="spellEnd"/>
      <w:r w:rsidR="00F87B35">
        <w:t xml:space="preserve"> DNTP</w:t>
      </w:r>
      <w:r w:rsidR="00B00C05">
        <w:t>s</w:t>
      </w:r>
      <w:r w:rsidR="00F87B35">
        <w:t xml:space="preserve">, 13.375 </w:t>
      </w:r>
      <w:proofErr w:type="spellStart"/>
      <w:r w:rsidR="00F87B35">
        <w:t>ul</w:t>
      </w:r>
      <w:proofErr w:type="spellEnd"/>
      <w:r w:rsidR="00F87B35">
        <w:t xml:space="preserve"> H</w:t>
      </w:r>
      <w:r w:rsidR="00B00C05">
        <w:rPr>
          <w:rFonts w:ascii="Cambria Math" w:hAnsi="Cambria Math" w:cs="Cambria Math"/>
          <w:color w:val="4D5156"/>
          <w:sz w:val="21"/>
          <w:szCs w:val="21"/>
          <w:shd w:val="clear" w:color="auto" w:fill="FFFFFF"/>
        </w:rPr>
        <w:t>₂</w:t>
      </w:r>
      <w:r w:rsidR="00F87B35">
        <w:t xml:space="preserve">O, 0.125 </w:t>
      </w:r>
      <w:proofErr w:type="spellStart"/>
      <w:r w:rsidR="00F87B35">
        <w:t>ul</w:t>
      </w:r>
      <w:proofErr w:type="spellEnd"/>
      <w:r w:rsidR="00F87B35">
        <w:t xml:space="preserve"> each forward and reverse primer, and 1 </w:t>
      </w:r>
      <w:proofErr w:type="spellStart"/>
      <w:r w:rsidR="00F87B35">
        <w:t>ul</w:t>
      </w:r>
      <w:proofErr w:type="spellEnd"/>
      <w:r w:rsidR="00F87B35">
        <w:t xml:space="preserve"> DNA template</w:t>
      </w:r>
      <w:r w:rsidR="00602419">
        <w:t xml:space="preserve">. </w:t>
      </w:r>
      <w:proofErr w:type="gramStart"/>
      <w:r w:rsidR="00602419">
        <w:t xml:space="preserve">The archaeal </w:t>
      </w:r>
      <w:proofErr w:type="spellStart"/>
      <w:r w:rsidR="00602419">
        <w:t>amoA</w:t>
      </w:r>
      <w:proofErr w:type="spellEnd"/>
      <w:r w:rsidR="00602419">
        <w:t xml:space="preserve"> gene was amplified from </w:t>
      </w:r>
      <w:r w:rsidR="00602419" w:rsidRPr="00F87B35">
        <w:rPr>
          <w:i/>
        </w:rPr>
        <w:t xml:space="preserve">N. </w:t>
      </w:r>
      <w:proofErr w:type="spellStart"/>
      <w:r w:rsidR="00602419" w:rsidRPr="00F87B35">
        <w:rPr>
          <w:i/>
        </w:rPr>
        <w:t>multiformis</w:t>
      </w:r>
      <w:proofErr w:type="spellEnd"/>
      <w:r w:rsidR="00602419">
        <w:t xml:space="preserve"> with the primer pair camoA-19F</w:t>
      </w:r>
      <w:r w:rsidR="00B00C05">
        <w:t xml:space="preserve"> </w:t>
      </w:r>
      <w:r w:rsidR="00B00C05">
        <w:fldChar w:fldCharType="begin"/>
      </w:r>
      <w:r w:rsidR="00B00C05">
        <w:instrText xml:space="preserve"> ADDIN ZOTERO_ITEM CSL_CITATION {"citationID":"Ek8Mjna2","properties":{"formattedCitation":"[3, 4]","plainCitation":"[3, 4]","noteIndex":0},"citationItems":[{"id":38,"uris":["http://zotero.org/users/local/lzRxkMmx/items/BHMHMMVQ"],"itemData":{"id":38,"type":"article-journal","container-title":"Environ Microbiol","language":"en","page":"525–539","title":"amoA-based consensus phylogeny of ammonia-oxidizing archaea and deep sequencing of amoA genes from soils of four different geographic regions","volume":"14","author":[{"family":"Pester","given":"M."},{"family":"Rattei","given":"T."},{"family":"Flechl","given":"S."},{"family":"Gröngröft","given":"A."},{"family":"Richter","given":"A."},{"family":"Overmann","given":"J."}],"issued":{"date-parts":[["2012"]]}}},{"id":39,"uris":["http://zotero.org/users/local/lzRxkMmx/items/R8Q548FJ"],"itemData":{"id":39,"type":"article-journal","container-title":"Proc Natl Acad Sci U S A","language":"cy","page":"8420–8425","title":"Nitrososphaera viennensis, an ammonia oxidizing archaeon from soil","volume":"108","author":[{"family":"Tourna","given":"M."},{"family":"Stieglmeier","given":"M."},{"family":"Spang","given":"A."},{"family":"Könneke","given":"M."},{"family":"Schintlmeister","given":"A."},{"family":"Urich","given":"T."}],"issued":{"date-parts":[["2011"]]}}}],"schema":"https://github.com/citation-style-language/schema/raw/master/csl-citation.json"} </w:instrText>
      </w:r>
      <w:r w:rsidR="00B00C05">
        <w:fldChar w:fldCharType="separate"/>
      </w:r>
      <w:r w:rsidR="00B00C05" w:rsidRPr="00B00C05">
        <w:t>[3, 4]</w:t>
      </w:r>
      <w:r w:rsidR="00B00C05">
        <w:fldChar w:fldCharType="end"/>
      </w:r>
      <w:r w:rsidR="00B00C05">
        <w:t>/</w:t>
      </w:r>
      <w:r w:rsidR="00602419">
        <w:t>tamoA-629R</w:t>
      </w:r>
      <w:r w:rsidR="00B00C05">
        <w:t xml:space="preserve"> </w:t>
      </w:r>
      <w:r w:rsidR="00B00C05">
        <w:fldChar w:fldCharType="begin"/>
      </w:r>
      <w:r w:rsidR="00B00C05">
        <w:instrText xml:space="preserve"> ADDIN ZOTERO_ITEM CSL_CITATION {"citationID":"QQQMaXHs","properties":{"formattedCitation":"[5]","plainCitation":"[5]","noteIndex":0},"citationItems":[{"id":40,"uris":["http://zotero.org/users/local/lzRxkMmx/items/7WFG4EEJ"],"itemData":{"id":40,"type":"article-journal","container-title":"Front Microbiol","language":"en","page":"2794","title":"Drying and Rainfall Shape the Structure and Functioning of Nitrifying Microbial Communities in Riverbed Sediments","volume":"9","author":[{"family":"Arce","given":"M.I."},{"family":"Schiller","given":"D."},{"family":"Bengtsson","given":"M.M."},{"family":"Hinze","given":"C."},{"family":"Jung","given":"H."},{"family":"Alves","given":"R.J.E."}],"issued":{"date-parts":[["2018"]]}}}],"schema":"https://github.com/citation-style-language/schema/raw/master/csl-citation.json"} </w:instrText>
      </w:r>
      <w:r w:rsidR="00B00C05">
        <w:fldChar w:fldCharType="separate"/>
      </w:r>
      <w:r w:rsidR="00B00C05" w:rsidRPr="00B00C05">
        <w:t>[5]</w:t>
      </w:r>
      <w:r w:rsidR="00B00C05">
        <w:fldChar w:fldCharType="end"/>
      </w:r>
      <w:r w:rsidR="00602419">
        <w:t>, using a PCR cycle with a 5 minute initialization phase at 95°C, followed by 35 rounds of a 45 second denaturation stage at 95°C, a 45 second annealing stage at 55°C, and a 1 minute elongation phase at 72°C, before a final 10 minute finalization stage at 72°C.</w:t>
      </w:r>
      <w:proofErr w:type="gramEnd"/>
      <w:r w:rsidR="00602419">
        <w:t xml:space="preserve"> The bacterial </w:t>
      </w:r>
      <w:proofErr w:type="spellStart"/>
      <w:r w:rsidR="00602419">
        <w:t>amoA</w:t>
      </w:r>
      <w:proofErr w:type="spellEnd"/>
      <w:r w:rsidR="00602419">
        <w:t xml:space="preserve"> gene was amplified from </w:t>
      </w:r>
      <w:r w:rsidR="00602419" w:rsidRPr="00F87B35">
        <w:rPr>
          <w:i/>
        </w:rPr>
        <w:t xml:space="preserve">N. </w:t>
      </w:r>
      <w:proofErr w:type="spellStart"/>
      <w:r w:rsidR="00602419" w:rsidRPr="00F87B35">
        <w:rPr>
          <w:i/>
        </w:rPr>
        <w:t>viennensis</w:t>
      </w:r>
      <w:proofErr w:type="spellEnd"/>
      <w:r w:rsidR="00602419">
        <w:t xml:space="preserve"> using the primer pair amoA-1F/2R</w:t>
      </w:r>
      <w:r w:rsidR="00B00C05">
        <w:t xml:space="preserve"> </w:t>
      </w:r>
      <w:r w:rsidR="00B00C05">
        <w:fldChar w:fldCharType="begin"/>
      </w:r>
      <w:r w:rsidR="00B00C05">
        <w:instrText xml:space="preserve"> ADDIN ZOTERO_ITEM CSL_CITATION {"citationID":"XqxnbUPu","properties":{"formattedCitation":"[6]","plainCitation":"[6]","noteIndex":0},"citationItems":[{"id":16,"uris":["http://zotero.org/users/local/lzRxkMmx/items/KJW3MM4P"],"itemData":{"id":16,"type":"article-journal","container-title":"Appl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B00C05">
        <w:fldChar w:fldCharType="separate"/>
      </w:r>
      <w:r w:rsidR="00B00C05" w:rsidRPr="00B00C05">
        <w:t>[6]</w:t>
      </w:r>
      <w:r w:rsidR="00B00C05">
        <w:fldChar w:fldCharType="end"/>
      </w:r>
      <w:r w:rsidR="00B00C05">
        <w:t xml:space="preserve">, </w:t>
      </w:r>
      <w:r w:rsidR="00602419">
        <w:t xml:space="preserve">and the 16S </w:t>
      </w:r>
      <w:proofErr w:type="spellStart"/>
      <w:r w:rsidR="00602419">
        <w:t>rRNA</w:t>
      </w:r>
      <w:proofErr w:type="spellEnd"/>
      <w:r w:rsidR="00602419">
        <w:t xml:space="preserve"> gene was amplified from </w:t>
      </w:r>
      <w:r w:rsidR="00602419" w:rsidRPr="00F87B35">
        <w:rPr>
          <w:i/>
        </w:rPr>
        <w:t>E. Coli</w:t>
      </w:r>
      <w:r w:rsidR="00602419">
        <w:t xml:space="preserve"> </w:t>
      </w:r>
      <w:r w:rsidR="00F87B35">
        <w:t>using the 515F</w:t>
      </w:r>
      <w:r w:rsidR="00B00C05">
        <w:t xml:space="preserve"> </w:t>
      </w:r>
      <w:r w:rsidR="00B00C05">
        <w:fldChar w:fldCharType="begin"/>
      </w:r>
      <w:r w:rsidR="00B00C05">
        <w:instrText xml:space="preserve"> ADDIN ZOTERO_ITEM CSL_CITATION {"citationID":"iPBk4dLn","properties":{"formattedCitation":"[7]","plainCitation":"[7]","noteIndex":0},"citationItems":[{"id":72,"uris":["http://zotero.org/users/local/lzRxkMmx/items/6XTYA2QB"],"itemData":{"id":72,"type":"article-journal","abstract":"Summary\n            \n              Microbial community analysis via high</w:instrText>
      </w:r>
      <w:r w:rsidR="00B00C05">
        <w:rPr>
          <w:rFonts w:ascii="Cambria Math" w:hAnsi="Cambria Math" w:cs="Cambria Math"/>
        </w:rPr>
        <w:instrText>‐</w:instrText>
      </w:r>
      <w:r w:rsidR="00B00C05">
        <w:instrText>throughput sequencing of amplified\n              16S rRNA\n              genes is an essential microbiology tool. We found the popular primer pair\n              515F\n              (\n              515F</w:instrText>
      </w:r>
      <w:r w:rsidR="00B00C05">
        <w:rPr>
          <w:rFonts w:ascii="Cambria Math" w:hAnsi="Cambria Math" w:cs="Cambria Math"/>
        </w:rPr>
        <w:instrText>‐</w:instrText>
      </w:r>
      <w:r w:rsidR="00B00C05">
        <w:instrText>C\n              ) and\n              806R\n              greatly underestimated (e.g.\n              SAR\n              11) or overestimated (e.g. Gammaproteobacteria) common marine taxa. We evaluated marine samples and mock communities (containing 11 or 27 marine 16S clones), showing alternative primers 515F</w:instrText>
      </w:r>
      <w:r w:rsidR="00B00C05">
        <w:rPr>
          <w:rFonts w:ascii="Cambria Math" w:hAnsi="Cambria Math" w:cs="Cambria Math"/>
        </w:rPr>
        <w:instrText>‐</w:instrText>
      </w:r>
      <w:r w:rsidR="00B00C05">
        <w:instrText>\n              Y\n              (5′</w:instrText>
      </w:r>
      <w:r w:rsidR="00B00C05">
        <w:rPr>
          <w:rFonts w:ascii="Cambria Math" w:hAnsi="Cambria Math" w:cs="Cambria Math"/>
        </w:rPr>
        <w:instrText>‐</w:instrText>
      </w:r>
      <w:r w:rsidR="00B00C05">
        <w:instrText>\n              \n                GTG\n                Y\n                CAGCMGCCGCGGTAA\n              \n              ) and\n              926R\n              (5′</w:instrText>
      </w:r>
      <w:r w:rsidR="00B00C05">
        <w:rPr>
          <w:rFonts w:ascii="Cambria Math" w:hAnsi="Cambria Math" w:cs="Cambria Math"/>
        </w:rPr>
        <w:instrText>‐</w:instrText>
      </w:r>
      <w:r w:rsidR="00B00C05">
        <w:instrText>\n              CCGYCAATTYMTTTRAGTTT\n              ) yield more accurate estimates of mock community abundances, produce longer amplicons that can differentiate taxa unresolvable with\n              515F</w:instrText>
      </w:r>
      <w:r w:rsidR="00B00C05">
        <w:rPr>
          <w:rFonts w:ascii="Cambria Math" w:hAnsi="Cambria Math" w:cs="Cambria Math"/>
        </w:rPr>
        <w:instrText>‐</w:instrText>
      </w:r>
      <w:r w:rsidR="00B00C05">
        <w:instrText>C\n              /\n              806R\n              , and amplify eukaryotic\n              18S rRNA\n              . Mock communities amplified with\n              515F</w:instrText>
      </w:r>
      <w:r w:rsidR="00B00C05">
        <w:rPr>
          <w:rFonts w:ascii="Cambria Math" w:hAnsi="Cambria Math" w:cs="Cambria Math"/>
        </w:rPr>
        <w:instrText>‐</w:instrText>
      </w:r>
      <w:r w:rsidR="00B00C05">
        <w:instrText>Y\n              /\n              926R\n              yielded closer observed community composition versus expected (r\n              2\n               = 0.95) compared with\n              515F</w:instrText>
      </w:r>
      <w:r w:rsidR="00B00C05">
        <w:rPr>
          <w:rFonts w:ascii="Cambria Math" w:hAnsi="Cambria Math" w:cs="Cambria Math"/>
        </w:rPr>
        <w:instrText>‐</w:instrText>
      </w:r>
      <w:r w:rsidR="00B00C05">
        <w:instrText>Y\n              /\n              806R\n              (r\n              2\n               </w:instrText>
      </w:r>
      <w:r w:rsidR="00B00C05">
        <w:rPr>
          <w:rFonts w:ascii="Cambria Math" w:hAnsi="Cambria Math" w:cs="Cambria Math"/>
        </w:rPr>
        <w:instrText>∼</w:instrText>
      </w:r>
      <w:r w:rsidR="00B00C05">
        <w:instrText> 0.5). Unexpectedly, biases with\n              515F</w:instrText>
      </w:r>
      <w:r w:rsidR="00B00C05">
        <w:rPr>
          <w:rFonts w:ascii="Cambria Math" w:hAnsi="Cambria Math" w:cs="Cambria Math"/>
        </w:rPr>
        <w:instrText>‐</w:instrText>
      </w:r>
      <w:r w:rsidR="00B00C05">
        <w:instrText>Y\n              /\n              806R\n              against\n              SAR11\n              in field samples (</w:instrText>
      </w:r>
      <w:r w:rsidR="00B00C05">
        <w:rPr>
          <w:rFonts w:ascii="Cambria Math" w:hAnsi="Cambria Math" w:cs="Cambria Math"/>
        </w:rPr>
        <w:instrText>∼</w:instrText>
      </w:r>
      <w:r w:rsidR="00B00C05">
        <w:instrText>4–10</w:instrText>
      </w:r>
      <w:r w:rsidR="00B00C05">
        <w:rPr>
          <w:rFonts w:ascii="Cambria Math" w:hAnsi="Cambria Math" w:cs="Cambria Math"/>
        </w:rPr>
        <w:instrText>‐</w:instrText>
      </w:r>
      <w:r w:rsidR="00B00C05">
        <w:instrText>fold) were stronger than in mock communities (</w:instrText>
      </w:r>
      <w:r w:rsidR="00B00C05">
        <w:rPr>
          <w:rFonts w:ascii="Cambria Math" w:hAnsi="Cambria Math" w:cs="Cambria Math"/>
        </w:rPr>
        <w:instrText>∼</w:instrText>
      </w:r>
      <w:r w:rsidR="00B00C05">
        <w:instrText>2</w:instrText>
      </w:r>
      <w:r w:rsidR="00B00C05">
        <w:rPr>
          <w:rFonts w:ascii="Cambria Math" w:hAnsi="Cambria Math" w:cs="Cambria Math"/>
        </w:rPr>
        <w:instrText>‐</w:instrText>
      </w:r>
      <w:r w:rsidR="00B00C05">
        <w:instrText>fold). Correcting a mismatch to\n              T\n              haumarchaea in the\n              515F</w:instrText>
      </w:r>
      <w:r w:rsidR="00B00C05">
        <w:rPr>
          <w:rFonts w:ascii="Cambria Math" w:hAnsi="Cambria Math" w:cs="Cambria Math"/>
        </w:rPr>
        <w:instrText>‐</w:instrText>
      </w:r>
      <w:r w:rsidR="00B00C05">
        <w:instrText xml:space="preserve">C\n              increased their apparent abundance in field samples, but not as much as using\n              926R\n              rather than\n              806R\n              . With plankton samples rich in eukaryotic\n              DNA\n              (&gt; 1 μm size fraction), 18S sequences averaged </w:instrText>
      </w:r>
      <w:r w:rsidR="00B00C05">
        <w:rPr>
          <w:rFonts w:ascii="Cambria Math" w:hAnsi="Cambria Math" w:cs="Cambria Math"/>
        </w:rPr>
        <w:instrText>∼</w:instrText>
      </w:r>
      <w:r w:rsidR="00B00C05">
        <w:instrText xml:space="preserve">17% of all sequences. A single mismatch can strongly bias amplification, but even perfectly matched primers can exhibit preferential amplification. We show that beyond\n              in silico\n              predictions, testing with mock communities and field samples is important in primer selection.","container-title":"Environmental Microbiology","DOI":"10.1111/1462-2920.13023","ISSN":"1462-2912, 1462-2920","issue":"5","journalAbbreviation":"Environmental Microbiology","language":"en","page":"1403-1414","source":"DOI.org (Crossref)","title":"Every base matters: assessing small subunit &lt;span style=\"font-variant:small-caps;\"&gt;rRNA&lt;/span&gt; primers for marine microbiomes with mock communities, time series and global field samples","title-short":"Every base matters","volume":"18","author":[{"family":"Parada","given":"Alma E."},{"family":"Needham","given":"David M."},{"family":"Fuhrman","given":"Jed A."}],"issued":{"date-parts":[["2016",5]]}}}],"schema":"https://github.com/citation-style-language/schema/raw/master/csl-citation.json"} </w:instrText>
      </w:r>
      <w:r w:rsidR="00B00C05">
        <w:fldChar w:fldCharType="separate"/>
      </w:r>
      <w:r w:rsidR="00B00C05" w:rsidRPr="00B00C05">
        <w:t>[7]</w:t>
      </w:r>
      <w:r w:rsidR="00B00C05">
        <w:fldChar w:fldCharType="end"/>
      </w:r>
      <w:r w:rsidR="00B00C05">
        <w:t>/806R</w:t>
      </w:r>
      <w:r w:rsidR="00186462">
        <w:t xml:space="preserve"> </w:t>
      </w:r>
      <w:r w:rsidR="00186462">
        <w:fldChar w:fldCharType="begin"/>
      </w:r>
      <w:r w:rsidR="00186462">
        <w:instrText xml:space="preserve"> ADDIN ZOTERO_ITEM CSL_CITATION {"citationID":"8KWnOXEH","properties":{"formattedCitation":"[8]","plainCitation":"[8]","noteIndex":0},"citationItems":[{"id":73,"uris":["http://zotero.org/users/local/lzRxkMmx/items/CD2RMU5X"],"itemData":{"id":73,"type":"article-journal","container-title":"Aquatic Microbial Ecology","DOI":"10.3354/ame01753","ISSN":"0948-3055, 1616-1564","issue":"2","journalAbbreviation":"Aquat. Microb. Ecol.","language":"en","page":"129-137","source":"DOI.org (Crossref)","title":"Minor revision to V4 region SSU rRNA 806R gene primer greatly increases detection of SAR11 bacterioplankton","volume":"75","author":[{"family":"Apprill","given":"A"},{"family":"McNally","given":"S"},{"family":"Parsons","given":"R"},{"family":"Weber","given":"L"}],"issued":{"date-parts":[["2015",6,4]]}}}],"schema":"https://github.com/citation-style-language/schema/raw/master/csl-citation.json"} </w:instrText>
      </w:r>
      <w:r w:rsidR="00186462">
        <w:fldChar w:fldCharType="separate"/>
      </w:r>
      <w:r w:rsidR="00186462" w:rsidRPr="00186462">
        <w:t>[8]</w:t>
      </w:r>
      <w:r w:rsidR="00186462">
        <w:fldChar w:fldCharType="end"/>
      </w:r>
      <w:r w:rsidR="00B00C05">
        <w:t xml:space="preserve"> primers </w:t>
      </w:r>
      <w:r w:rsidR="00F87B35">
        <w:t xml:space="preserve">. Both the AOB and 16S </w:t>
      </w:r>
      <w:proofErr w:type="spellStart"/>
      <w:r w:rsidR="00F87B35">
        <w:t>rRNA</w:t>
      </w:r>
      <w:proofErr w:type="spellEnd"/>
      <w:r w:rsidR="00F87B35">
        <w:t xml:space="preserve"> templates were amplified using the following PCR protocol: a 2 minute initialization stage at 95°C, then 35 rounds of a 30s elongation stage at 95°C, a 30s annealing stage at 55°C, and a 45s elongation stage at 72°C, before a 5 minute finalization stage at 72°C. </w:t>
      </w:r>
    </w:p>
    <w:p w:rsidR="00F87B35" w:rsidRDefault="00F87B35" w:rsidP="00751225">
      <w:pPr>
        <w:spacing w:line="480" w:lineRule="auto"/>
        <w:ind w:left="360"/>
      </w:pPr>
      <w:r>
        <w:t xml:space="preserve">The lengths of the resulting PCR products of the genes of interest </w:t>
      </w:r>
      <w:proofErr w:type="gramStart"/>
      <w:r>
        <w:t>were then verified</w:t>
      </w:r>
      <w:proofErr w:type="gramEnd"/>
      <w:r>
        <w:t xml:space="preserve"> via gel electrophoresis before being cleaned with the </w:t>
      </w:r>
      <w:proofErr w:type="spellStart"/>
      <w:r w:rsidR="00F7776F">
        <w:t>Zymo</w:t>
      </w:r>
      <w:proofErr w:type="spellEnd"/>
      <w:r w:rsidR="00F7776F">
        <w:t xml:space="preserve"> DNA </w:t>
      </w:r>
      <w:r w:rsidR="00186462">
        <w:t xml:space="preserve">Clean &amp; Concentrator </w:t>
      </w:r>
      <w:r w:rsidR="00F7776F">
        <w:t>kit following the standard protocol</w:t>
      </w:r>
      <w:r w:rsidR="00186462">
        <w:t xml:space="preserve"> (California, USA)</w:t>
      </w:r>
      <w:r w:rsidR="00F7776F">
        <w:t>. The purity of the resulting gene fragm</w:t>
      </w:r>
      <w:r w:rsidR="00186462">
        <w:t xml:space="preserve">ents </w:t>
      </w:r>
      <w:proofErr w:type="gramStart"/>
      <w:r w:rsidR="00186462">
        <w:t>were assessed</w:t>
      </w:r>
      <w:proofErr w:type="gramEnd"/>
      <w:r w:rsidR="00186462">
        <w:t xml:space="preserve"> with a </w:t>
      </w:r>
      <w:proofErr w:type="spellStart"/>
      <w:r w:rsidR="00186462">
        <w:t>NanoDrop</w:t>
      </w:r>
      <w:proofErr w:type="spellEnd"/>
      <w:r w:rsidR="00186462">
        <w:t xml:space="preserve"> Spectrophotometer </w:t>
      </w:r>
      <w:r w:rsidR="00186462">
        <w:lastRenderedPageBreak/>
        <w:t>(</w:t>
      </w:r>
      <w:proofErr w:type="spellStart"/>
      <w:r w:rsidR="00186462">
        <w:t>ThermoFisher</w:t>
      </w:r>
      <w:proofErr w:type="spellEnd"/>
      <w:r w:rsidR="00186462">
        <w:t>, Massachusetts, USA)</w:t>
      </w:r>
      <w:r w:rsidR="00F7776F">
        <w:t xml:space="preserve">, with the following 260/230 ratios: 1.94 for the 16S </w:t>
      </w:r>
      <w:proofErr w:type="spellStart"/>
      <w:r w:rsidR="00F7776F">
        <w:t>rRNA</w:t>
      </w:r>
      <w:proofErr w:type="spellEnd"/>
      <w:r w:rsidR="00F7776F">
        <w:t xml:space="preserve"> product, 1.66 for the A-</w:t>
      </w:r>
      <w:proofErr w:type="spellStart"/>
      <w:r w:rsidR="00F7776F">
        <w:t>amoA</w:t>
      </w:r>
      <w:proofErr w:type="spellEnd"/>
      <w:r w:rsidR="00F7776F">
        <w:t xml:space="preserve"> product, and 1.74 for the B-</w:t>
      </w:r>
      <w:proofErr w:type="spellStart"/>
      <w:r w:rsidR="00F7776F">
        <w:t>amoA</w:t>
      </w:r>
      <w:proofErr w:type="spellEnd"/>
      <w:r w:rsidR="00F7776F">
        <w:t xml:space="preserve"> product. </w:t>
      </w:r>
    </w:p>
    <w:p w:rsidR="00F87B35" w:rsidRDefault="00F7776F" w:rsidP="00F7776F">
      <w:pPr>
        <w:spacing w:line="480" w:lineRule="auto"/>
        <w:ind w:left="360"/>
      </w:pPr>
      <w:r>
        <w:t xml:space="preserve">The PCR products were then </w:t>
      </w:r>
      <w:proofErr w:type="spellStart"/>
      <w:r>
        <w:t>ligased</w:t>
      </w:r>
      <w:proofErr w:type="spellEnd"/>
      <w:r>
        <w:t xml:space="preserve"> to prepare for plasmid insertion with 1 </w:t>
      </w:r>
      <w:proofErr w:type="spellStart"/>
      <w:r>
        <w:t>ul</w:t>
      </w:r>
      <w:proofErr w:type="spellEnd"/>
      <w:r>
        <w:t xml:space="preserve"> of the </w:t>
      </w:r>
      <w:proofErr w:type="spellStart"/>
      <w:r>
        <w:t>Promega</w:t>
      </w:r>
      <w:proofErr w:type="spellEnd"/>
      <w:r>
        <w:t xml:space="preserve"> T4</w:t>
      </w:r>
      <w:r w:rsidR="00532306">
        <w:t xml:space="preserve"> DNA L</w:t>
      </w:r>
      <w:r>
        <w:t>igase</w:t>
      </w:r>
      <w:r w:rsidR="00532306">
        <w:t xml:space="preserve"> (California, USA)</w:t>
      </w:r>
      <w:r>
        <w:t xml:space="preserve">, 1 </w:t>
      </w:r>
      <w:proofErr w:type="spellStart"/>
      <w:r>
        <w:t>ul</w:t>
      </w:r>
      <w:proofErr w:type="spellEnd"/>
      <w:r>
        <w:t xml:space="preserve"> </w:t>
      </w:r>
      <w:proofErr w:type="spellStart"/>
      <w:r w:rsidR="00532306">
        <w:t>Promega</w:t>
      </w:r>
      <w:proofErr w:type="spellEnd"/>
      <w:r w:rsidR="00532306">
        <w:t xml:space="preserve"> </w:t>
      </w:r>
      <w:proofErr w:type="spellStart"/>
      <w:r w:rsidR="00532306">
        <w:t>pGEM</w:t>
      </w:r>
      <w:proofErr w:type="spellEnd"/>
      <w:r w:rsidR="00532306">
        <w:t>®</w:t>
      </w:r>
      <w:r w:rsidR="00532306">
        <w:t>-T Easy Vector</w:t>
      </w:r>
      <w:r>
        <w:t xml:space="preserve">, </w:t>
      </w:r>
      <w:r w:rsidR="00532306">
        <w:t xml:space="preserve">and </w:t>
      </w:r>
      <w:r>
        <w:t xml:space="preserve">5 </w:t>
      </w:r>
      <w:proofErr w:type="spellStart"/>
      <w:r>
        <w:t>ul</w:t>
      </w:r>
      <w:proofErr w:type="spellEnd"/>
      <w:r>
        <w:t xml:space="preserve"> of the </w:t>
      </w:r>
      <w:proofErr w:type="spellStart"/>
      <w:r>
        <w:t>Promega</w:t>
      </w:r>
      <w:proofErr w:type="spellEnd"/>
      <w:r>
        <w:t xml:space="preserve"> 2x Rapid Ligation Buffer. Additionally, the following volumes of the cleaned PCR products were added: 2 </w:t>
      </w:r>
      <w:proofErr w:type="spellStart"/>
      <w:r>
        <w:t>ul</w:t>
      </w:r>
      <w:proofErr w:type="spellEnd"/>
      <w:r>
        <w:t xml:space="preserve"> of the B-</w:t>
      </w:r>
      <w:proofErr w:type="spellStart"/>
      <w:r>
        <w:t>amoA</w:t>
      </w:r>
      <w:proofErr w:type="spellEnd"/>
      <w:r>
        <w:t xml:space="preserve"> product with 1 </w:t>
      </w:r>
      <w:proofErr w:type="spellStart"/>
      <w:r>
        <w:t>ul</w:t>
      </w:r>
      <w:proofErr w:type="spellEnd"/>
      <w:r>
        <w:t xml:space="preserve"> H2O, 1 </w:t>
      </w:r>
      <w:proofErr w:type="spellStart"/>
      <w:r>
        <w:t>ul</w:t>
      </w:r>
      <w:proofErr w:type="spellEnd"/>
      <w:r>
        <w:t xml:space="preserve"> of the 16S </w:t>
      </w:r>
      <w:proofErr w:type="spellStart"/>
      <w:r>
        <w:t>rRNA</w:t>
      </w:r>
      <w:proofErr w:type="spellEnd"/>
      <w:r>
        <w:t xml:space="preserve"> product with 2 </w:t>
      </w:r>
      <w:proofErr w:type="spellStart"/>
      <w:r>
        <w:t>ul</w:t>
      </w:r>
      <w:proofErr w:type="spellEnd"/>
      <w:r>
        <w:t xml:space="preserve"> H2O, and 1.5 </w:t>
      </w:r>
      <w:proofErr w:type="spellStart"/>
      <w:r>
        <w:t>ul</w:t>
      </w:r>
      <w:proofErr w:type="spellEnd"/>
      <w:r>
        <w:t xml:space="preserve"> of the A-</w:t>
      </w:r>
      <w:proofErr w:type="spellStart"/>
      <w:r>
        <w:t>amoA</w:t>
      </w:r>
      <w:proofErr w:type="spellEnd"/>
      <w:r>
        <w:t xml:space="preserve"> product with 1.5 </w:t>
      </w:r>
      <w:proofErr w:type="spellStart"/>
      <w:r>
        <w:t>ul</w:t>
      </w:r>
      <w:proofErr w:type="spellEnd"/>
      <w:r>
        <w:t xml:space="preserve"> H2O, resulting in a </w:t>
      </w:r>
      <w:proofErr w:type="gramStart"/>
      <w:r>
        <w:t xml:space="preserve">10 </w:t>
      </w:r>
      <w:proofErr w:type="spellStart"/>
      <w:r>
        <w:t>ul</w:t>
      </w:r>
      <w:proofErr w:type="spellEnd"/>
      <w:proofErr w:type="gramEnd"/>
      <w:r>
        <w:t xml:space="preserve"> reaction. </w:t>
      </w:r>
      <w:proofErr w:type="gramStart"/>
      <w:r>
        <w:t>2</w:t>
      </w:r>
      <w:proofErr w:type="gramEnd"/>
      <w:r>
        <w:t xml:space="preserve"> </w:t>
      </w:r>
      <w:proofErr w:type="spellStart"/>
      <w:r>
        <w:t>ul</w:t>
      </w:r>
      <w:proofErr w:type="spellEnd"/>
      <w:r>
        <w:t xml:space="preserve"> of the ligase solution was then mixed with 50 </w:t>
      </w:r>
      <w:proofErr w:type="spellStart"/>
      <w:r>
        <w:t>ul</w:t>
      </w:r>
      <w:proofErr w:type="spellEnd"/>
      <w:r>
        <w:t xml:space="preserve"> comp</w:t>
      </w:r>
      <w:r w:rsidR="00995627">
        <w:t xml:space="preserve">etent </w:t>
      </w:r>
      <w:r w:rsidR="00995627" w:rsidRPr="00995627">
        <w:rPr>
          <w:i/>
        </w:rPr>
        <w:t xml:space="preserve">E. Coli </w:t>
      </w:r>
      <w:r w:rsidR="00995627">
        <w:t xml:space="preserve">and placed on ice for 20 minutes. The solution was then heat shocked at 42°C for 45-50 seconds before </w:t>
      </w:r>
      <w:proofErr w:type="gramStart"/>
      <w:r w:rsidR="00995627">
        <w:t>being placed</w:t>
      </w:r>
      <w:proofErr w:type="gramEnd"/>
      <w:r w:rsidR="00995627">
        <w:t xml:space="preserve"> on ice for a further 2 minutes. Then, </w:t>
      </w:r>
      <w:proofErr w:type="gramStart"/>
      <w:r w:rsidR="00995627">
        <w:t xml:space="preserve">950 </w:t>
      </w:r>
      <w:proofErr w:type="spellStart"/>
      <w:r w:rsidR="00995627">
        <w:t>ul</w:t>
      </w:r>
      <w:proofErr w:type="spellEnd"/>
      <w:proofErr w:type="gramEnd"/>
      <w:r w:rsidR="00995627">
        <w:t xml:space="preserve"> room-temperature SOC medium was added to the solution and incubated at 37°C with 150 rpm shaking for 1.5 hours. Finally, 100 </w:t>
      </w:r>
      <w:proofErr w:type="spellStart"/>
      <w:r w:rsidR="00995627">
        <w:t>ul</w:t>
      </w:r>
      <w:proofErr w:type="spellEnd"/>
      <w:r w:rsidR="00995627">
        <w:t xml:space="preserve"> of the solution </w:t>
      </w:r>
      <w:proofErr w:type="gramStart"/>
      <w:r w:rsidR="00995627">
        <w:t>was plated</w:t>
      </w:r>
      <w:proofErr w:type="gramEnd"/>
      <w:r w:rsidR="00995627">
        <w:t xml:space="preserve"> onto an agar medium with 166 mg </w:t>
      </w:r>
      <w:proofErr w:type="spellStart"/>
      <w:r w:rsidR="00995627">
        <w:t>NaCl</w:t>
      </w:r>
      <w:proofErr w:type="spellEnd"/>
      <w:r w:rsidR="00995627">
        <w:t xml:space="preserve">, 166 mg yeast, 330 mg </w:t>
      </w:r>
      <w:proofErr w:type="spellStart"/>
      <w:r w:rsidR="00995627">
        <w:t>Tryptone</w:t>
      </w:r>
      <w:proofErr w:type="spellEnd"/>
      <w:r w:rsidR="00995627">
        <w:t xml:space="preserve">, 500 mg agar, 0.1 </w:t>
      </w:r>
      <w:proofErr w:type="spellStart"/>
      <w:r w:rsidR="00995627">
        <w:t>ul</w:t>
      </w:r>
      <w:proofErr w:type="spellEnd"/>
      <w:r w:rsidR="00995627">
        <w:t xml:space="preserve"> ampicillin, 0.04 g X-Gal and 1.67 ml water. The agar cultures </w:t>
      </w:r>
      <w:proofErr w:type="gramStart"/>
      <w:r w:rsidR="00995627">
        <w:t>were then incubated</w:t>
      </w:r>
      <w:proofErr w:type="gramEnd"/>
      <w:r w:rsidR="00995627">
        <w:t xml:space="preserve"> overnight at 37°C. </w:t>
      </w:r>
    </w:p>
    <w:p w:rsidR="00995627" w:rsidRDefault="00C54331" w:rsidP="00F7776F">
      <w:pPr>
        <w:spacing w:line="480" w:lineRule="auto"/>
        <w:ind w:left="360"/>
      </w:pPr>
      <w:r>
        <w:t>Colonies that displayed successful plasmid insertion</w:t>
      </w:r>
      <w:r w:rsidR="00995627">
        <w:t xml:space="preserve"> </w:t>
      </w:r>
      <w:proofErr w:type="gramStart"/>
      <w:r w:rsidR="00995627">
        <w:t xml:space="preserve">were picked for each gene (as indicated by </w:t>
      </w:r>
      <w:r>
        <w:t>the white colony color) and amplified via the same PCR protocol as detailed above for the initial gene amplification</w:t>
      </w:r>
      <w:proofErr w:type="gramEnd"/>
      <w:r>
        <w:t xml:space="preserve">. The quality of the plasmids </w:t>
      </w:r>
      <w:proofErr w:type="gramStart"/>
      <w:r>
        <w:t>was then visually investigated</w:t>
      </w:r>
      <w:proofErr w:type="gramEnd"/>
      <w:r>
        <w:t xml:space="preserve"> via gel electrophoresis, and two colonies were selected for each inserted gene to amplify in liquid SOC medium with 8.33 </w:t>
      </w:r>
      <w:proofErr w:type="spellStart"/>
      <w:r>
        <w:t>ul</w:t>
      </w:r>
      <w:proofErr w:type="spellEnd"/>
      <w:r>
        <w:t xml:space="preserve"> ampicillin overnight at 37°C with 150 rpm shaking. At this step, </w:t>
      </w:r>
      <w:proofErr w:type="spellStart"/>
      <w:r>
        <w:t>cryostocks</w:t>
      </w:r>
      <w:proofErr w:type="spellEnd"/>
      <w:r>
        <w:t xml:space="preserve"> for each plasmid gene </w:t>
      </w:r>
      <w:proofErr w:type="gramStart"/>
      <w:r>
        <w:t>were frozen</w:t>
      </w:r>
      <w:proofErr w:type="gramEnd"/>
      <w:r>
        <w:t xml:space="preserve"> at -80°C with a 1:1 glycerin mixture. Two samples for each gene </w:t>
      </w:r>
      <w:proofErr w:type="gramStart"/>
      <w:r>
        <w:t>were selected</w:t>
      </w:r>
      <w:proofErr w:type="gramEnd"/>
      <w:r>
        <w:t xml:space="preserve"> for plasmid extraction and immediate use.</w:t>
      </w:r>
    </w:p>
    <w:p w:rsidR="00C54331" w:rsidRPr="00995627" w:rsidRDefault="00C54331" w:rsidP="00F7776F">
      <w:pPr>
        <w:spacing w:line="480" w:lineRule="auto"/>
        <w:ind w:left="360"/>
      </w:pPr>
      <w:r>
        <w:lastRenderedPageBreak/>
        <w:t xml:space="preserve">The selected plasmids </w:t>
      </w:r>
      <w:proofErr w:type="gramStart"/>
      <w:r>
        <w:t>were extracted</w:t>
      </w:r>
      <w:proofErr w:type="gramEnd"/>
      <w:r>
        <w:t xml:space="preserve"> using the </w:t>
      </w:r>
      <w:proofErr w:type="spellStart"/>
      <w:r>
        <w:t>Zymo</w:t>
      </w:r>
      <w:proofErr w:type="spellEnd"/>
      <w:r>
        <w:t xml:space="preserve"> plasmid extraction kit, which resulted in the following elution concentrations measured with </w:t>
      </w:r>
      <w:proofErr w:type="spellStart"/>
      <w:r w:rsidR="00532306">
        <w:t>NanoD</w:t>
      </w:r>
      <w:r>
        <w:t>rop</w:t>
      </w:r>
      <w:proofErr w:type="spellEnd"/>
      <w:r>
        <w:t>: 201.955 and 124.844 ng/</w:t>
      </w:r>
      <w:proofErr w:type="spellStart"/>
      <w:r>
        <w:t>ul</w:t>
      </w:r>
      <w:proofErr w:type="spellEnd"/>
      <w:r>
        <w:t xml:space="preserve"> for A-</w:t>
      </w:r>
      <w:proofErr w:type="spellStart"/>
      <w:r>
        <w:t>amoA</w:t>
      </w:r>
      <w:proofErr w:type="spellEnd"/>
      <w:r>
        <w:t>, 118.291 and 108.291 ng/</w:t>
      </w:r>
      <w:proofErr w:type="spellStart"/>
      <w:r>
        <w:t>ul</w:t>
      </w:r>
      <w:proofErr w:type="spellEnd"/>
      <w:r>
        <w:t xml:space="preserve"> for B-</w:t>
      </w:r>
      <w:proofErr w:type="spellStart"/>
      <w:r>
        <w:t>amoA</w:t>
      </w:r>
      <w:proofErr w:type="spellEnd"/>
      <w:r>
        <w:t>, and 92.125 and 72.237 ng/</w:t>
      </w:r>
      <w:proofErr w:type="spellStart"/>
      <w:r>
        <w:t>ul</w:t>
      </w:r>
      <w:proofErr w:type="spellEnd"/>
      <w:r>
        <w:t xml:space="preserve"> for 16S </w:t>
      </w:r>
      <w:proofErr w:type="spellStart"/>
      <w:r>
        <w:t>rRNA</w:t>
      </w:r>
      <w:proofErr w:type="spellEnd"/>
      <w:r>
        <w:t xml:space="preserve">. </w:t>
      </w:r>
      <w:r w:rsidR="006F4BFE">
        <w:t xml:space="preserve">A subsample of each extracted plasmid </w:t>
      </w:r>
      <w:proofErr w:type="gramStart"/>
      <w:r w:rsidR="006F4BFE">
        <w:t>was then amplified via the same PCR protocols as above and visually verified with a gel</w:t>
      </w:r>
      <w:proofErr w:type="gramEnd"/>
      <w:r w:rsidR="006F4BFE">
        <w:t>. The ex</w:t>
      </w:r>
      <w:r w:rsidR="00532306">
        <w:t>tracted genes were then lineariz</w:t>
      </w:r>
      <w:r w:rsidR="006F4BFE">
        <w:t xml:space="preserve">ed in 50 </w:t>
      </w:r>
      <w:proofErr w:type="spellStart"/>
      <w:r w:rsidR="006F4BFE">
        <w:t>ul</w:t>
      </w:r>
      <w:proofErr w:type="spellEnd"/>
      <w:r w:rsidR="006F4BFE">
        <w:t xml:space="preserve"> reactions with </w:t>
      </w:r>
      <w:proofErr w:type="gramStart"/>
      <w:r w:rsidR="006F4BFE">
        <w:t>1</w:t>
      </w:r>
      <w:proofErr w:type="gramEnd"/>
      <w:r w:rsidR="006F4BFE">
        <w:t xml:space="preserve"> </w:t>
      </w:r>
      <w:proofErr w:type="spellStart"/>
      <w:r w:rsidR="006F4BFE">
        <w:t>ug</w:t>
      </w:r>
      <w:proofErr w:type="spellEnd"/>
      <w:r w:rsidR="006F4BFE">
        <w:t xml:space="preserve"> DNA, 5 </w:t>
      </w:r>
      <w:proofErr w:type="spellStart"/>
      <w:r w:rsidR="006F4BFE">
        <w:t>ul</w:t>
      </w:r>
      <w:proofErr w:type="spellEnd"/>
      <w:r w:rsidR="006F4BFE">
        <w:t xml:space="preserve"> 10x NE buffer, 1 </w:t>
      </w:r>
      <w:proofErr w:type="spellStart"/>
      <w:r w:rsidR="006F4BFE">
        <w:t>ul</w:t>
      </w:r>
      <w:proofErr w:type="spellEnd"/>
      <w:r w:rsidR="006F4BFE">
        <w:t xml:space="preserve"> enzyme and the rest of the volume with H2O. The plasmids inserts </w:t>
      </w:r>
      <w:proofErr w:type="gramStart"/>
      <w:r w:rsidR="006F4BFE">
        <w:t>were linearized</w:t>
      </w:r>
      <w:proofErr w:type="gramEnd"/>
      <w:r w:rsidR="006F4BFE">
        <w:t xml:space="preserve"> at 37°C for 1 hour, and then heat inactivated at 65°C for 20 minutes.</w:t>
      </w:r>
    </w:p>
    <w:p w:rsidR="00751225" w:rsidRDefault="006F4BFE" w:rsidP="006F4BFE">
      <w:pPr>
        <w:spacing w:line="480" w:lineRule="auto"/>
        <w:ind w:left="360"/>
      </w:pPr>
      <w:r>
        <w:t xml:space="preserve">A gel of the linearized plasmid inserts demonstrated that there was still uncut plasmid in the extracted products. Therefore, the products at the correct fragment lengths (635 </w:t>
      </w:r>
      <w:proofErr w:type="spellStart"/>
      <w:r>
        <w:t>bp</w:t>
      </w:r>
      <w:proofErr w:type="spellEnd"/>
      <w:r>
        <w:t xml:space="preserve"> for A-</w:t>
      </w:r>
      <w:proofErr w:type="spellStart"/>
      <w:r>
        <w:t>amoA</w:t>
      </w:r>
      <w:proofErr w:type="spellEnd"/>
      <w:r>
        <w:t xml:space="preserve">, 491 </w:t>
      </w:r>
      <w:proofErr w:type="spellStart"/>
      <w:r>
        <w:t>bp</w:t>
      </w:r>
      <w:proofErr w:type="spellEnd"/>
      <w:r>
        <w:t xml:space="preserve"> for B-</w:t>
      </w:r>
      <w:proofErr w:type="spellStart"/>
      <w:r>
        <w:t>amoA</w:t>
      </w:r>
      <w:proofErr w:type="spellEnd"/>
      <w:r>
        <w:t xml:space="preserve"> and 253 </w:t>
      </w:r>
      <w:proofErr w:type="spellStart"/>
      <w:r>
        <w:t>bp</w:t>
      </w:r>
      <w:proofErr w:type="spellEnd"/>
      <w:r>
        <w:t xml:space="preserve"> for 16S </w:t>
      </w:r>
      <w:proofErr w:type="spellStart"/>
      <w:r>
        <w:t>rRNA</w:t>
      </w:r>
      <w:proofErr w:type="spellEnd"/>
      <w:r>
        <w:t xml:space="preserve">, with the 3015 </w:t>
      </w:r>
      <w:proofErr w:type="spellStart"/>
      <w:r>
        <w:t>bp</w:t>
      </w:r>
      <w:proofErr w:type="spellEnd"/>
      <w:r>
        <w:t xml:space="preserve"> plasmid) </w:t>
      </w:r>
      <w:proofErr w:type="gramStart"/>
      <w:r>
        <w:t>were cut</w:t>
      </w:r>
      <w:proofErr w:type="gramEnd"/>
      <w:r>
        <w:t xml:space="preserve"> from the gels. The cut gel products </w:t>
      </w:r>
      <w:proofErr w:type="gramStart"/>
      <w:r>
        <w:t xml:space="preserve">were </w:t>
      </w:r>
      <w:proofErr w:type="spellStart"/>
      <w:r>
        <w:t>res</w:t>
      </w:r>
      <w:bookmarkStart w:id="0" w:name="_GoBack"/>
      <w:bookmarkEnd w:id="0"/>
      <w:r>
        <w:t>uspended</w:t>
      </w:r>
      <w:proofErr w:type="spellEnd"/>
      <w:r>
        <w:t xml:space="preserve"> with the </w:t>
      </w:r>
      <w:proofErr w:type="spellStart"/>
      <w:r>
        <w:t>Zymoclean</w:t>
      </w:r>
      <w:proofErr w:type="spellEnd"/>
      <w:r>
        <w:t xml:space="preserve"> Gel DNA Recovery Kit and verified with another gel for purity</w:t>
      </w:r>
      <w:proofErr w:type="gramEnd"/>
      <w:r>
        <w:t>. Then, the copies/</w:t>
      </w:r>
      <w:proofErr w:type="spellStart"/>
      <w:r>
        <w:t>ul</w:t>
      </w:r>
      <w:proofErr w:type="spellEnd"/>
      <w:r>
        <w:t xml:space="preserve"> of each gene </w:t>
      </w:r>
      <w:proofErr w:type="gramStart"/>
      <w:r>
        <w:t>was calculated</w:t>
      </w:r>
      <w:proofErr w:type="gramEnd"/>
      <w:r>
        <w:t xml:space="preserve"> via the following formula:</w:t>
      </w:r>
    </w:p>
    <w:p w:rsidR="006F4BFE" w:rsidRPr="00294E8F" w:rsidRDefault="006F4BFE" w:rsidP="006F4BFE">
      <w:pPr>
        <w:spacing w:line="480" w:lineRule="auto"/>
        <w:ind w:left="36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copies</m:t>
              </m:r>
            </m:sub>
          </m:sSub>
          <m:r>
            <w:rPr>
              <w:rFonts w:ascii="Cambria Math" w:hAnsi="Cambria Math"/>
            </w:rPr>
            <m:t>=</m:t>
          </m:r>
          <m:f>
            <m:fPr>
              <m:ctrlPr>
                <w:rPr>
                  <w:rFonts w:ascii="Cambria Math" w:hAnsi="Cambria Math"/>
                  <w:i/>
                </w:rPr>
              </m:ctrlPr>
            </m:fPr>
            <m:num>
              <m:r>
                <w:rPr>
                  <w:rFonts w:ascii="Cambria Math" w:hAnsi="Cambria Math"/>
                </w:rPr>
                <m:t>plasmid concentration*6.022x</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plasmid molecular weight*1x</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*fragment length</m:t>
              </m:r>
            </m:den>
          </m:f>
        </m:oMath>
      </m:oMathPara>
    </w:p>
    <w:p w:rsidR="00294E8F" w:rsidRPr="00294E8F" w:rsidRDefault="00294E8F" w:rsidP="006F4BFE">
      <w:pPr>
        <w:spacing w:line="480" w:lineRule="auto"/>
        <w:ind w:left="360"/>
        <w:rPr>
          <w:rFonts w:eastAsiaTheme="minorEastAsia"/>
        </w:rPr>
      </w:pPr>
      <w:r>
        <w:rPr>
          <w:rFonts w:eastAsiaTheme="minorEastAsia"/>
        </w:rPr>
        <w:t>The ultimate copy numbers of the plasmid products were 3.32e9 for A-</w:t>
      </w:r>
      <w:proofErr w:type="spellStart"/>
      <w:r>
        <w:rPr>
          <w:rFonts w:eastAsiaTheme="minorEastAsia"/>
        </w:rPr>
        <w:t>amoA</w:t>
      </w:r>
      <w:proofErr w:type="spellEnd"/>
      <w:r>
        <w:rPr>
          <w:rFonts w:eastAsiaTheme="minorEastAsia"/>
        </w:rPr>
        <w:t>, 1.44e9 for B-</w:t>
      </w:r>
      <w:proofErr w:type="spellStart"/>
      <w:r>
        <w:rPr>
          <w:rFonts w:eastAsiaTheme="minorEastAsia"/>
        </w:rPr>
        <w:t>amoA</w:t>
      </w:r>
      <w:proofErr w:type="spellEnd"/>
      <w:r>
        <w:rPr>
          <w:rFonts w:eastAsiaTheme="minorEastAsia"/>
        </w:rPr>
        <w:t xml:space="preserve">, and 1.65e8 for 16S </w:t>
      </w:r>
      <w:proofErr w:type="spellStart"/>
      <w:r>
        <w:rPr>
          <w:rFonts w:eastAsiaTheme="minorEastAsia"/>
        </w:rPr>
        <w:t>rRNA</w:t>
      </w:r>
      <w:proofErr w:type="spellEnd"/>
      <w:r>
        <w:rPr>
          <w:rFonts w:eastAsiaTheme="minorEastAsia"/>
        </w:rPr>
        <w:t>. The A-</w:t>
      </w:r>
      <w:proofErr w:type="spellStart"/>
      <w:r>
        <w:rPr>
          <w:rFonts w:eastAsiaTheme="minorEastAsia"/>
        </w:rPr>
        <w:t>amoA</w:t>
      </w:r>
      <w:proofErr w:type="spellEnd"/>
      <w:r>
        <w:rPr>
          <w:rFonts w:eastAsiaTheme="minorEastAsia"/>
        </w:rPr>
        <w:t xml:space="preserve"> and B-</w:t>
      </w:r>
      <w:proofErr w:type="spellStart"/>
      <w:r>
        <w:rPr>
          <w:rFonts w:eastAsiaTheme="minorEastAsia"/>
        </w:rPr>
        <w:t>amoA</w:t>
      </w:r>
      <w:proofErr w:type="spellEnd"/>
      <w:r>
        <w:rPr>
          <w:rFonts w:eastAsiaTheme="minorEastAsia"/>
        </w:rPr>
        <w:t xml:space="preserve"> plasmid products were </w:t>
      </w:r>
      <w:proofErr w:type="spellStart"/>
      <w:r>
        <w:rPr>
          <w:rFonts w:eastAsiaTheme="minorEastAsia"/>
        </w:rPr>
        <w:t>aliquoted</w:t>
      </w:r>
      <w:proofErr w:type="spellEnd"/>
      <w:r>
        <w:rPr>
          <w:rFonts w:eastAsiaTheme="minorEastAsia"/>
        </w:rPr>
        <w:t xml:space="preserve"> to standards with 1e9 copies/</w:t>
      </w:r>
      <w:proofErr w:type="spellStart"/>
      <w:r>
        <w:rPr>
          <w:rFonts w:eastAsiaTheme="minorEastAsia"/>
        </w:rPr>
        <w:t>ul</w:t>
      </w:r>
      <w:proofErr w:type="spellEnd"/>
      <w:r>
        <w:rPr>
          <w:rFonts w:eastAsiaTheme="minorEastAsia"/>
        </w:rPr>
        <w:t xml:space="preserve"> of the inserted gene in </w:t>
      </w:r>
      <w:proofErr w:type="gramStart"/>
      <w:r>
        <w:rPr>
          <w:rFonts w:eastAsiaTheme="minorEastAsia"/>
        </w:rPr>
        <w:t>5</w:t>
      </w:r>
      <w:proofErr w:type="gramEnd"/>
      <w:r>
        <w:rPr>
          <w:rFonts w:eastAsiaTheme="minorEastAsia"/>
        </w:rPr>
        <w:t xml:space="preserve"> </w:t>
      </w:r>
      <w:proofErr w:type="spellStart"/>
      <w:r>
        <w:rPr>
          <w:rFonts w:eastAsiaTheme="minorEastAsia"/>
        </w:rPr>
        <w:t>ul</w:t>
      </w:r>
      <w:proofErr w:type="spellEnd"/>
      <w:r>
        <w:rPr>
          <w:rFonts w:eastAsiaTheme="minorEastAsia"/>
        </w:rPr>
        <w:t xml:space="preserve"> of H2O, and stored at -80°C until use for qPCR applications. </w:t>
      </w:r>
    </w:p>
    <w:sectPr w:rsidR="00294E8F" w:rsidRPr="00294E8F" w:rsidSect="0075122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B269C"/>
    <w:multiLevelType w:val="hybridMultilevel"/>
    <w:tmpl w:val="E566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25"/>
    <w:rsid w:val="00186462"/>
    <w:rsid w:val="00294E8F"/>
    <w:rsid w:val="00532306"/>
    <w:rsid w:val="00602419"/>
    <w:rsid w:val="006F4BFE"/>
    <w:rsid w:val="00751225"/>
    <w:rsid w:val="00995627"/>
    <w:rsid w:val="00B00C05"/>
    <w:rsid w:val="00C54331"/>
    <w:rsid w:val="00DF578E"/>
    <w:rsid w:val="00F7776F"/>
    <w:rsid w:val="00F8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9AE1"/>
  <w15:chartTrackingRefBased/>
  <w15:docId w15:val="{5A98D62D-69AF-4F42-B17B-A91461EC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751225"/>
  </w:style>
  <w:style w:type="paragraph" w:styleId="Listenabsatz">
    <w:name w:val="List Paragraph"/>
    <w:basedOn w:val="Standard"/>
    <w:uiPriority w:val="34"/>
    <w:qFormat/>
    <w:rsid w:val="00751225"/>
    <w:pPr>
      <w:ind w:left="720"/>
      <w:contextualSpacing/>
    </w:pPr>
  </w:style>
  <w:style w:type="character" w:styleId="Platzhaltertext">
    <w:name w:val="Placeholder Text"/>
    <w:basedOn w:val="Absatz-Standardschriftart"/>
    <w:uiPriority w:val="99"/>
    <w:semiHidden/>
    <w:rsid w:val="006F4B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2138</Words>
  <Characters>12189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Anna</dc:creator>
  <cp:keywords/>
  <dc:description/>
  <cp:lastModifiedBy>Burns, Anna</cp:lastModifiedBy>
  <cp:revision>1</cp:revision>
  <dcterms:created xsi:type="dcterms:W3CDTF">2024-01-29T11:36:00Z</dcterms:created>
  <dcterms:modified xsi:type="dcterms:W3CDTF">2024-01-29T13:37:00Z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id="fIob5FGe"/&gt;&lt;style id="http://www.zotero.org/styles/the-isme-journal" hasBibliography="1" bibliographyStyleHasBeenSet="0"/&gt;&lt;prefs&gt;&lt;pref name="fieldType" value="Field"/&gt;&lt;/prefs&gt;&lt;/data&gt;</vt:lpwstr>
  </property>
</Properties>
</file>