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A7C" w:rsidRPr="00862D83" w:rsidRDefault="00993299" w:rsidP="00993299">
      <w:pPr>
        <w:spacing w:line="240" w:lineRule="auto"/>
        <w:rPr>
          <w:rFonts w:cstheme="minorHAnsi"/>
          <w:sz w:val="28"/>
          <w:szCs w:val="28"/>
        </w:rPr>
      </w:pPr>
      <w:r w:rsidRPr="00862D83">
        <w:rPr>
          <w:rFonts w:cstheme="minorHAnsi"/>
          <w:sz w:val="28"/>
          <w:szCs w:val="28"/>
        </w:rPr>
        <w:t>Financial information of BATBC</w:t>
      </w:r>
    </w:p>
    <w:tbl>
      <w:tblPr>
        <w:tblW w:w="10202" w:type="dxa"/>
        <w:tblInd w:w="93" w:type="dxa"/>
        <w:tblLook w:val="04A0"/>
      </w:tblPr>
      <w:tblGrid>
        <w:gridCol w:w="3068"/>
        <w:gridCol w:w="2378"/>
        <w:gridCol w:w="2378"/>
        <w:gridCol w:w="2378"/>
      </w:tblGrid>
      <w:tr w:rsidR="00993299" w:rsidRPr="00862D83" w:rsidTr="00993299">
        <w:trPr>
          <w:trHeight w:val="1054"/>
        </w:trPr>
        <w:tc>
          <w:tcPr>
            <w:tcW w:w="10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British American Tobacco Bangladesh Company Limited (BATBC)</w:t>
            </w:r>
          </w:p>
        </w:tc>
      </w:tr>
      <w:tr w:rsidR="00993299" w:rsidRPr="00862D83" w:rsidTr="00993299">
        <w:trPr>
          <w:trHeight w:val="476"/>
        </w:trPr>
        <w:tc>
          <w:tcPr>
            <w:tcW w:w="30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Information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2015</w:t>
            </w:r>
          </w:p>
        </w:tc>
      </w:tr>
      <w:tr w:rsidR="00993299" w:rsidRPr="00862D83" w:rsidTr="00993299">
        <w:trPr>
          <w:trHeight w:val="425"/>
        </w:trPr>
        <w:tc>
          <w:tcPr>
            <w:tcW w:w="30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Taka '000s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Taka '000s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Taka '000s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109,581,710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126,804,602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143,711,664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Gross profit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13,724,107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16,309,771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18,682,383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Net profit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4,868,649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6,281,922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5,846,008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Operating profit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9,504,368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11,534,652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13,200,527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Total asset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18,463,798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27,075,019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29,590,831</w:t>
            </w:r>
          </w:p>
        </w:tc>
      </w:tr>
      <w:tr w:rsidR="00993299" w:rsidRPr="00862D83" w:rsidTr="00993299">
        <w:trPr>
          <w:trHeight w:val="357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Total equity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8,901,590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11,463,511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14,609,519</w:t>
            </w:r>
          </w:p>
        </w:tc>
      </w:tr>
    </w:tbl>
    <w:p w:rsidR="00993299" w:rsidRPr="00862D83" w:rsidRDefault="00993299" w:rsidP="00993299">
      <w:pPr>
        <w:spacing w:line="240" w:lineRule="auto"/>
        <w:rPr>
          <w:rFonts w:cstheme="minorHAnsi"/>
        </w:rPr>
      </w:pPr>
    </w:p>
    <w:p w:rsidR="00993299" w:rsidRPr="00862D83" w:rsidRDefault="00993299" w:rsidP="00993299">
      <w:pPr>
        <w:spacing w:line="240" w:lineRule="auto"/>
        <w:rPr>
          <w:rFonts w:cstheme="minorHAnsi"/>
          <w:sz w:val="28"/>
          <w:szCs w:val="28"/>
        </w:rPr>
      </w:pPr>
      <w:r w:rsidRPr="00862D83">
        <w:rPr>
          <w:rFonts w:cstheme="minorHAnsi"/>
          <w:sz w:val="28"/>
          <w:szCs w:val="28"/>
        </w:rPr>
        <w:t>Financial information of CCL</w:t>
      </w:r>
    </w:p>
    <w:tbl>
      <w:tblPr>
        <w:tblW w:w="10262" w:type="dxa"/>
        <w:tblInd w:w="93" w:type="dxa"/>
        <w:tblLook w:val="04A0"/>
      </w:tblPr>
      <w:tblGrid>
        <w:gridCol w:w="2801"/>
        <w:gridCol w:w="2487"/>
        <w:gridCol w:w="2487"/>
        <w:gridCol w:w="2487"/>
      </w:tblGrid>
      <w:tr w:rsidR="00993299" w:rsidRPr="00862D83" w:rsidTr="00993299">
        <w:trPr>
          <w:trHeight w:val="625"/>
        </w:trPr>
        <w:tc>
          <w:tcPr>
            <w:tcW w:w="102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BEEF3"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Confidence Cement Limited (CCL)</w:t>
            </w:r>
          </w:p>
        </w:tc>
      </w:tr>
      <w:tr w:rsidR="00993299" w:rsidRPr="00862D83" w:rsidTr="00993299">
        <w:trPr>
          <w:trHeight w:val="507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Information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2015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Sales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3,481,284,388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3,634,989,180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5,530,112,567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Gross profit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716,085,536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606,412,471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897,057,376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Net profit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364,000,408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239,276,307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665,985,110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Operating profit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506,376,748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443,602,779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660,069,628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Total asset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4,587,102,041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5,061,452,990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6,245,999,864</w:t>
            </w:r>
          </w:p>
        </w:tc>
      </w:tr>
      <w:tr w:rsidR="00993299" w:rsidRPr="00862D83" w:rsidTr="00993299">
        <w:trPr>
          <w:trHeight w:val="355"/>
        </w:trPr>
        <w:tc>
          <w:tcPr>
            <w:tcW w:w="28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Total equity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2,929,474,547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2,898,245,046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3299" w:rsidRPr="00862D83" w:rsidRDefault="00993299" w:rsidP="0099329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3,318,619,578</w:t>
            </w:r>
          </w:p>
        </w:tc>
      </w:tr>
    </w:tbl>
    <w:p w:rsidR="00993299" w:rsidRPr="00862D83" w:rsidRDefault="00993299" w:rsidP="00993299">
      <w:pPr>
        <w:spacing w:line="240" w:lineRule="auto"/>
        <w:rPr>
          <w:rFonts w:cstheme="minorHAnsi"/>
          <w:sz w:val="28"/>
          <w:szCs w:val="28"/>
        </w:rPr>
      </w:pPr>
    </w:p>
    <w:p w:rsidR="00D309B7" w:rsidRPr="00862D83" w:rsidRDefault="00D309B7" w:rsidP="00993299">
      <w:pPr>
        <w:spacing w:line="240" w:lineRule="auto"/>
        <w:rPr>
          <w:rFonts w:cstheme="minorHAnsi"/>
          <w:sz w:val="28"/>
          <w:szCs w:val="28"/>
        </w:rPr>
      </w:pPr>
      <w:r w:rsidRPr="00862D83">
        <w:rPr>
          <w:rFonts w:cstheme="minorHAnsi"/>
          <w:sz w:val="28"/>
          <w:szCs w:val="28"/>
        </w:rPr>
        <w:t>Ratio Analysis</w:t>
      </w:r>
    </w:p>
    <w:tbl>
      <w:tblPr>
        <w:tblW w:w="10180" w:type="dxa"/>
        <w:tblInd w:w="93" w:type="dxa"/>
        <w:tblLook w:val="04A0"/>
      </w:tblPr>
      <w:tblGrid>
        <w:gridCol w:w="961"/>
        <w:gridCol w:w="3656"/>
        <w:gridCol w:w="2093"/>
        <w:gridCol w:w="1830"/>
        <w:gridCol w:w="1640"/>
      </w:tblGrid>
      <w:tr w:rsidR="00D309B7" w:rsidRPr="00862D83" w:rsidTr="00DD3AA3">
        <w:trPr>
          <w:trHeight w:val="417"/>
        </w:trPr>
        <w:tc>
          <w:tcPr>
            <w:tcW w:w="10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Ratio Analysis</w:t>
            </w:r>
          </w:p>
        </w:tc>
      </w:tr>
      <w:tr w:rsidR="00DD3AA3" w:rsidRPr="00862D83" w:rsidTr="00DD3AA3">
        <w:trPr>
          <w:trHeight w:val="372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Name of Ratios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2015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BATBC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Gross Profit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0.1252409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0.1286213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0.1299991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Net Profit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0.0444294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0.0495402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0.0406787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Operating Profit</w:t>
            </w:r>
            <w:r w:rsidR="00565352"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0.0867332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0.090964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0.0918542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1B4B65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Return on</w:t>
            </w:r>
            <w:r w:rsidR="00D309B7"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Asset (ROA)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0.2636862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0.2320191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0.1975615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Return on Equity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0.5469415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0.5479928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0.4001506</w:t>
            </w:r>
          </w:p>
        </w:tc>
      </w:tr>
      <w:tr w:rsidR="00D309B7" w:rsidRPr="00862D83" w:rsidTr="00DD3AA3">
        <w:trPr>
          <w:trHeight w:val="313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ROE (DU Pont)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0.5469415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0.5479928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0.4001506</w:t>
            </w:r>
          </w:p>
        </w:tc>
      </w:tr>
      <w:tr w:rsidR="00D309B7" w:rsidRPr="00862D83" w:rsidTr="00DD3AA3">
        <w:trPr>
          <w:trHeight w:val="560"/>
        </w:trPr>
        <w:tc>
          <w:tcPr>
            <w:tcW w:w="10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lastRenderedPageBreak/>
              <w:t>Ratio Analysis</w:t>
            </w:r>
          </w:p>
        </w:tc>
      </w:tr>
      <w:tr w:rsidR="00DD3AA3" w:rsidRPr="00862D83" w:rsidTr="00DD3AA3">
        <w:trPr>
          <w:trHeight w:val="455"/>
        </w:trPr>
        <w:tc>
          <w:tcPr>
            <w:tcW w:w="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862D83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Name of Ratios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2014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2015</w:t>
            </w:r>
          </w:p>
        </w:tc>
      </w:tr>
      <w:tr w:rsidR="00DD3AA3" w:rsidRPr="00862D83" w:rsidTr="00DD3AA3">
        <w:trPr>
          <w:trHeight w:val="318"/>
        </w:trPr>
        <w:tc>
          <w:tcPr>
            <w:tcW w:w="9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862D83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CCL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Gross Profit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0.2056958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0.1668265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0.1622132</w:t>
            </w:r>
          </w:p>
        </w:tc>
      </w:tr>
      <w:tr w:rsidR="00D309B7" w:rsidRPr="00862D83" w:rsidTr="00DD3AA3">
        <w:trPr>
          <w:trHeight w:val="318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Net Profit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0.1045592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0.0658259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0.1204289</w:t>
            </w:r>
          </w:p>
        </w:tc>
      </w:tr>
      <w:tr w:rsidR="00D309B7" w:rsidRPr="00862D83" w:rsidTr="00DD3AA3">
        <w:trPr>
          <w:trHeight w:val="318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Operating Profit</w:t>
            </w:r>
            <w:r w:rsidR="00565352"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Margin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0.1454569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0.1220369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0.1193592</w:t>
            </w:r>
          </w:p>
        </w:tc>
      </w:tr>
      <w:tr w:rsidR="00D309B7" w:rsidRPr="00862D83" w:rsidTr="00DD3AA3">
        <w:trPr>
          <w:trHeight w:val="318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1B4B65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Return on</w:t>
            </w:r>
            <w:r w:rsidR="00D309B7"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Asset (ROA)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0.079353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0.0472742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0.1066259</w:t>
            </w:r>
          </w:p>
        </w:tc>
      </w:tr>
      <w:tr w:rsidR="00D309B7" w:rsidRPr="00862D83" w:rsidTr="00DD3AA3">
        <w:trPr>
          <w:trHeight w:val="318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Return on Equity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0.1242545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0.082559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0.2006814</w:t>
            </w:r>
          </w:p>
        </w:tc>
      </w:tr>
      <w:tr w:rsidR="00D309B7" w:rsidRPr="00862D83" w:rsidTr="00DD3AA3">
        <w:trPr>
          <w:trHeight w:val="318"/>
        </w:trPr>
        <w:tc>
          <w:tcPr>
            <w:tcW w:w="9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ROE (DU Pont)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0.1242545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0.082559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09B7" w:rsidRPr="00862D83" w:rsidRDefault="00D309B7" w:rsidP="00D309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62D83">
              <w:rPr>
                <w:rFonts w:eastAsia="Times New Roman" w:cstheme="minorHAnsi"/>
                <w:color w:val="000000"/>
                <w:sz w:val="24"/>
                <w:szCs w:val="24"/>
              </w:rPr>
              <w:t>0.2006814</w:t>
            </w:r>
          </w:p>
        </w:tc>
      </w:tr>
    </w:tbl>
    <w:p w:rsidR="00D309B7" w:rsidRPr="00862D83" w:rsidRDefault="00D309B7" w:rsidP="00993299">
      <w:pPr>
        <w:spacing w:line="240" w:lineRule="auto"/>
        <w:rPr>
          <w:rFonts w:cstheme="minorHAnsi"/>
        </w:rPr>
      </w:pPr>
    </w:p>
    <w:p w:rsidR="00CA0366" w:rsidRPr="0023396D" w:rsidRDefault="0023396D" w:rsidP="0023396D">
      <w:pPr>
        <w:pStyle w:val="Heading2"/>
        <w:spacing w:line="360" w:lineRule="auto"/>
        <w:rPr>
          <w:rStyle w:val="tgc"/>
          <w:rFonts w:asciiTheme="minorHAnsi" w:hAnsiTheme="minorHAnsi" w:cstheme="minorHAnsi"/>
          <w:sz w:val="24"/>
          <w:szCs w:val="24"/>
        </w:rPr>
      </w:pPr>
      <w:bookmarkStart w:id="0" w:name="_Toc460491243"/>
      <w:bookmarkStart w:id="1" w:name="_Toc460491240"/>
      <w:bookmarkStart w:id="2" w:name="_Toc460311435"/>
      <w:bookmarkStart w:id="3" w:name="_Toc460491239"/>
      <w:r w:rsidRPr="0023396D">
        <w:rPr>
          <w:rStyle w:val="tgc"/>
          <w:rFonts w:asciiTheme="minorHAnsi" w:hAnsiTheme="minorHAnsi" w:cstheme="minorHAnsi"/>
          <w:sz w:val="24"/>
          <w:szCs w:val="24"/>
        </w:rPr>
        <w:t xml:space="preserve">1. </w:t>
      </w:r>
      <w:r w:rsidR="00B57C6B" w:rsidRPr="0023396D">
        <w:rPr>
          <w:rStyle w:val="tgc"/>
          <w:rFonts w:asciiTheme="minorHAnsi" w:hAnsiTheme="minorHAnsi" w:cstheme="minorHAnsi"/>
          <w:sz w:val="24"/>
          <w:szCs w:val="24"/>
        </w:rPr>
        <w:t>Gross Profit Margin</w:t>
      </w:r>
    </w:p>
    <w:p w:rsidR="00CA0366" w:rsidRPr="00862D83" w:rsidRDefault="00CA0366" w:rsidP="007E44FD">
      <w:pPr>
        <w:pStyle w:val="Heading2"/>
        <w:spacing w:line="360" w:lineRule="auto"/>
        <w:rPr>
          <w:rStyle w:val="tgc"/>
          <w:rFonts w:asciiTheme="minorHAnsi" w:hAnsiTheme="minorHAnsi" w:cstheme="minorHAnsi"/>
          <w:b w:val="0"/>
          <w:sz w:val="22"/>
          <w:szCs w:val="22"/>
        </w:rPr>
      </w:pPr>
      <w:r w:rsidRPr="00862D83">
        <w:rPr>
          <w:rStyle w:val="tgc"/>
          <w:rFonts w:asciiTheme="minorHAnsi" w:hAnsiTheme="minorHAnsi" w:cstheme="minorHAnsi"/>
          <w:b w:val="0"/>
          <w:bCs w:val="0"/>
          <w:sz w:val="22"/>
          <w:szCs w:val="22"/>
        </w:rPr>
        <w:t>Gross profit margin</w:t>
      </w:r>
      <w:r w:rsidRPr="00862D83">
        <w:rPr>
          <w:rStyle w:val="tgc"/>
          <w:rFonts w:asciiTheme="minorHAnsi" w:hAnsiTheme="minorHAnsi" w:cstheme="minorHAnsi"/>
          <w:b w:val="0"/>
          <w:sz w:val="22"/>
          <w:szCs w:val="22"/>
        </w:rPr>
        <w:t xml:space="preserve"> is a financial metric used to assess a company's financial health and business model by revealing the proportion of money left over from revenues after accounting for the cost of goods sold (COGS).</w:t>
      </w:r>
    </w:p>
    <w:p w:rsidR="002A0B0A" w:rsidRPr="00862D83" w:rsidRDefault="002A0B0A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             </w:t>
      </w:r>
      <w:r w:rsidRPr="00862D83">
        <w:rPr>
          <w:rFonts w:cstheme="minorHAnsi"/>
          <w:noProof/>
        </w:rPr>
        <w:drawing>
          <wp:inline distT="0" distB="0" distL="0" distR="0">
            <wp:extent cx="581025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A0366" w:rsidRPr="000B27B5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CA0366" w:rsidRPr="00862D83" w:rsidRDefault="00CA0366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Gross Profit Margin of BATBC was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0.1252409 </w:t>
      </w:r>
      <w:r w:rsidRPr="00862D83">
        <w:rPr>
          <w:rFonts w:cstheme="minorHAnsi"/>
        </w:rPr>
        <w:t xml:space="preserve">in 2013; </w:t>
      </w:r>
      <w:r w:rsidRPr="00862D83">
        <w:rPr>
          <w:rFonts w:eastAsia="Times New Roman" w:cstheme="minorHAnsi"/>
          <w:color w:val="000000"/>
          <w:sz w:val="24"/>
          <w:szCs w:val="24"/>
        </w:rPr>
        <w:t>0.1286213</w:t>
      </w:r>
      <w:r w:rsidRPr="00862D83">
        <w:rPr>
          <w:rFonts w:cstheme="minorHAnsi"/>
        </w:rPr>
        <w:t xml:space="preserve"> 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0.1299991</w:t>
      </w:r>
      <w:r w:rsidRPr="00862D83">
        <w:rPr>
          <w:rFonts w:cstheme="minorHAnsi"/>
        </w:rPr>
        <w:t xml:space="preserve"> in 2015. The higher gross profit margin earned by BATBC was </w:t>
      </w:r>
      <w:r w:rsidRPr="00862D83">
        <w:rPr>
          <w:rFonts w:eastAsia="Times New Roman" w:cstheme="minorHAnsi"/>
          <w:color w:val="000000"/>
          <w:sz w:val="24"/>
          <w:szCs w:val="24"/>
        </w:rPr>
        <w:t>0.1299991</w:t>
      </w:r>
      <w:r w:rsidRPr="00862D83">
        <w:rPr>
          <w:rFonts w:cstheme="minorHAnsi"/>
        </w:rPr>
        <w:t xml:space="preserve"> in 2015. It is good.</w:t>
      </w:r>
    </w:p>
    <w:p w:rsidR="000B27B5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lastRenderedPageBreak/>
        <w:t>Confidence Cement Limited (CCL)</w:t>
      </w:r>
    </w:p>
    <w:p w:rsidR="00CA0366" w:rsidRPr="00862D83" w:rsidRDefault="00CA0366" w:rsidP="007E44FD">
      <w:pPr>
        <w:spacing w:line="360" w:lineRule="auto"/>
        <w:jc w:val="both"/>
        <w:rPr>
          <w:rFonts w:cstheme="minorHAnsi"/>
          <w:b/>
        </w:rPr>
      </w:pPr>
      <w:r w:rsidRPr="00862D83">
        <w:rPr>
          <w:rFonts w:cstheme="minorHAnsi"/>
        </w:rPr>
        <w:t xml:space="preserve"> Gross Profit Margin of CCL was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0.2056958 </w:t>
      </w:r>
      <w:r w:rsidRPr="00862D83">
        <w:rPr>
          <w:rFonts w:cstheme="minorHAnsi"/>
        </w:rPr>
        <w:t xml:space="preserve">in 2013;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0.1668265 </w:t>
      </w:r>
      <w:r w:rsidRPr="00862D83">
        <w:rPr>
          <w:rFonts w:cstheme="minorHAnsi"/>
        </w:rPr>
        <w:t xml:space="preserve">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0.1622132</w:t>
      </w:r>
      <w:r w:rsidRPr="00862D83">
        <w:rPr>
          <w:rFonts w:cstheme="minorHAnsi"/>
        </w:rPr>
        <w:t xml:space="preserve"> in 2015. The higher gross profit margin earned by CCL was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0.2056958 </w:t>
      </w:r>
      <w:r w:rsidRPr="00862D83">
        <w:rPr>
          <w:rFonts w:cstheme="minorHAnsi"/>
        </w:rPr>
        <w:t>in 2013. It is good.</w:t>
      </w:r>
    </w:p>
    <w:p w:rsidR="00CA0366" w:rsidRPr="00862D83" w:rsidRDefault="00CA0366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 CCL is in the good position.</w:t>
      </w:r>
    </w:p>
    <w:p w:rsidR="00565352" w:rsidRPr="0023396D" w:rsidRDefault="0023396D" w:rsidP="0023396D">
      <w:pPr>
        <w:pStyle w:val="Heading2"/>
        <w:spacing w:line="360" w:lineRule="auto"/>
        <w:rPr>
          <w:rFonts w:asciiTheme="minorHAnsi" w:hAnsiTheme="minorHAnsi" w:cstheme="minorHAnsi"/>
          <w:bCs w:val="0"/>
          <w:sz w:val="24"/>
          <w:szCs w:val="24"/>
        </w:rPr>
      </w:pPr>
      <w:r w:rsidRPr="0023396D">
        <w:rPr>
          <w:rFonts w:asciiTheme="minorHAnsi" w:hAnsiTheme="minorHAnsi" w:cstheme="minorHAnsi"/>
          <w:b w:val="0"/>
          <w:bCs w:val="0"/>
          <w:sz w:val="24"/>
          <w:szCs w:val="24"/>
        </w:rPr>
        <w:t>2.</w:t>
      </w:r>
      <w:r w:rsidRPr="0023396D">
        <w:rPr>
          <w:rFonts w:asciiTheme="minorHAnsi" w:hAnsiTheme="minorHAnsi" w:cstheme="minorHAnsi"/>
          <w:sz w:val="24"/>
          <w:szCs w:val="24"/>
        </w:rPr>
        <w:t xml:space="preserve"> </w:t>
      </w:r>
      <w:r w:rsidR="00565352" w:rsidRPr="0023396D">
        <w:rPr>
          <w:rFonts w:asciiTheme="minorHAnsi" w:hAnsiTheme="minorHAnsi" w:cstheme="minorHAnsi"/>
          <w:sz w:val="24"/>
          <w:szCs w:val="24"/>
        </w:rPr>
        <w:t>Net Profit</w:t>
      </w:r>
      <w:r w:rsidR="00CA0366" w:rsidRPr="0023396D">
        <w:rPr>
          <w:rFonts w:asciiTheme="minorHAnsi" w:hAnsiTheme="minorHAnsi" w:cstheme="minorHAnsi"/>
          <w:sz w:val="24"/>
          <w:szCs w:val="24"/>
        </w:rPr>
        <w:t xml:space="preserve"> Margin</w:t>
      </w:r>
    </w:p>
    <w:p w:rsidR="00565352" w:rsidRPr="00862D83" w:rsidRDefault="00565352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Higher operating margin is good for the firm.</w:t>
      </w:r>
    </w:p>
    <w:p w:rsidR="00565352" w:rsidRPr="00862D83" w:rsidRDefault="002A0B0A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  <w:noProof/>
        </w:rPr>
        <w:drawing>
          <wp:inline distT="0" distB="0" distL="0" distR="0">
            <wp:extent cx="5876925" cy="2743200"/>
            <wp:effectExtent l="19050" t="0" r="9525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65352" w:rsidRPr="00862D83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565352" w:rsidRPr="00862D83" w:rsidRDefault="00565352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Net Profit Margin of BATBC was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0.0444294</w:t>
      </w:r>
      <w:r w:rsidRPr="00862D83">
        <w:rPr>
          <w:rFonts w:cstheme="minorHAnsi"/>
        </w:rPr>
        <w:t xml:space="preserve"> in 2013;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0.0495402</w:t>
      </w:r>
      <w:r w:rsidRPr="00862D83">
        <w:rPr>
          <w:rFonts w:cstheme="minorHAnsi"/>
        </w:rPr>
        <w:t xml:space="preserve"> in 2014 &amp;</w:t>
      </w:r>
      <w:r w:rsidR="00A810D8" w:rsidRPr="00862D83">
        <w:rPr>
          <w:rFonts w:cstheme="minorHAnsi"/>
        </w:rPr>
        <w:t xml:space="preserve"> </w:t>
      </w:r>
      <w:r w:rsidR="00A810D8" w:rsidRPr="00862D83">
        <w:rPr>
          <w:rFonts w:eastAsia="Times New Roman" w:cstheme="minorHAnsi"/>
          <w:color w:val="000000"/>
          <w:sz w:val="24"/>
          <w:szCs w:val="24"/>
        </w:rPr>
        <w:t>0.0406787</w:t>
      </w:r>
      <w:r w:rsidR="00A810D8" w:rsidRPr="00862D83">
        <w:rPr>
          <w:rFonts w:cstheme="minorHAnsi"/>
        </w:rPr>
        <w:t xml:space="preserve"> in</w:t>
      </w:r>
      <w:r w:rsidRPr="00862D83">
        <w:rPr>
          <w:rFonts w:cstheme="minorHAnsi"/>
        </w:rPr>
        <w:t xml:space="preserve"> 2015. The higher net profit margin earned by BATBC was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0.0495402</w:t>
      </w:r>
      <w:r w:rsidR="002837CF" w:rsidRPr="00862D83">
        <w:rPr>
          <w:rFonts w:cstheme="minorHAnsi"/>
        </w:rPr>
        <w:t xml:space="preserve"> in 2014</w:t>
      </w:r>
      <w:r w:rsidRPr="00862D83">
        <w:rPr>
          <w:rFonts w:cstheme="minorHAnsi"/>
        </w:rPr>
        <w:t>. It is good.</w:t>
      </w:r>
    </w:p>
    <w:p w:rsidR="00565352" w:rsidRPr="000B27B5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t>Confidence Cement Limited (CCL)</w:t>
      </w:r>
    </w:p>
    <w:p w:rsidR="00565352" w:rsidRPr="00862D83" w:rsidRDefault="00565352" w:rsidP="007E44FD">
      <w:pPr>
        <w:spacing w:line="360" w:lineRule="auto"/>
        <w:jc w:val="both"/>
        <w:rPr>
          <w:rFonts w:cstheme="minorHAnsi"/>
          <w:b/>
        </w:rPr>
      </w:pPr>
      <w:r w:rsidRPr="00862D83">
        <w:rPr>
          <w:rFonts w:cstheme="minorHAnsi"/>
        </w:rPr>
        <w:t xml:space="preserve"> Net Profit Margin of CCL was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0.1045592</w:t>
      </w:r>
      <w:r w:rsidRPr="00862D83">
        <w:rPr>
          <w:rFonts w:cstheme="minorHAnsi"/>
        </w:rPr>
        <w:t xml:space="preserve">in 2013;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0.0658259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62D83">
        <w:rPr>
          <w:rFonts w:cstheme="minorHAnsi"/>
        </w:rPr>
        <w:t xml:space="preserve">in 2014 &amp;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0.1204289</w:t>
      </w:r>
      <w:r w:rsidRPr="00862D83">
        <w:rPr>
          <w:rFonts w:cstheme="minorHAnsi"/>
        </w:rPr>
        <w:t xml:space="preserve"> in 2015. The higher net profit margin earned by CCL was </w:t>
      </w:r>
      <w:r w:rsidR="002837CF" w:rsidRPr="00862D83">
        <w:rPr>
          <w:rFonts w:eastAsia="Times New Roman" w:cstheme="minorHAnsi"/>
          <w:color w:val="000000"/>
          <w:sz w:val="24"/>
          <w:szCs w:val="24"/>
        </w:rPr>
        <w:t>0.1204289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62D83">
        <w:rPr>
          <w:rFonts w:cstheme="minorHAnsi"/>
        </w:rPr>
        <w:t>in</w:t>
      </w:r>
      <w:r w:rsidR="002837CF" w:rsidRPr="00862D83">
        <w:rPr>
          <w:rFonts w:cstheme="minorHAnsi"/>
        </w:rPr>
        <w:t xml:space="preserve"> 2015</w:t>
      </w:r>
      <w:r w:rsidRPr="00862D83">
        <w:rPr>
          <w:rFonts w:cstheme="minorHAnsi"/>
        </w:rPr>
        <w:t>. It is good.</w:t>
      </w:r>
    </w:p>
    <w:p w:rsidR="00565352" w:rsidRPr="00862D83" w:rsidRDefault="00565352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 CCL is in the good position.</w:t>
      </w:r>
    </w:p>
    <w:p w:rsidR="003A07B5" w:rsidRPr="0023396D" w:rsidRDefault="0023396D" w:rsidP="007E44FD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3396D">
        <w:rPr>
          <w:rFonts w:asciiTheme="minorHAnsi" w:hAnsiTheme="minorHAnsi" w:cstheme="minorHAnsi"/>
          <w:sz w:val="24"/>
          <w:szCs w:val="24"/>
        </w:rPr>
        <w:lastRenderedPageBreak/>
        <w:t xml:space="preserve">3. </w:t>
      </w:r>
      <w:r w:rsidR="003A07B5" w:rsidRPr="0023396D">
        <w:rPr>
          <w:rFonts w:asciiTheme="minorHAnsi" w:hAnsiTheme="minorHAnsi" w:cstheme="minorHAnsi"/>
          <w:sz w:val="24"/>
          <w:szCs w:val="24"/>
        </w:rPr>
        <w:t>Operating Profit Margin</w:t>
      </w:r>
      <w:bookmarkEnd w:id="0"/>
    </w:p>
    <w:p w:rsidR="003A07B5" w:rsidRPr="00862D83" w:rsidRDefault="003A07B5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Higher operating margin is good for the firm.</w:t>
      </w:r>
    </w:p>
    <w:p w:rsidR="003A07B5" w:rsidRPr="00862D83" w:rsidRDefault="00792A38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  <w:noProof/>
        </w:rPr>
        <w:drawing>
          <wp:inline distT="0" distB="0" distL="0" distR="0">
            <wp:extent cx="5629275" cy="2638425"/>
            <wp:effectExtent l="19050" t="0" r="9525" b="0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07B5" w:rsidRPr="00862D83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3A07B5" w:rsidRPr="00862D83" w:rsidRDefault="003A07B5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Operating Profit Margin of BATBC was </w:t>
      </w:r>
      <w:r w:rsidRPr="00862D83">
        <w:rPr>
          <w:rFonts w:eastAsia="Times New Roman" w:cstheme="minorHAnsi"/>
          <w:color w:val="000000"/>
          <w:sz w:val="24"/>
          <w:szCs w:val="24"/>
        </w:rPr>
        <w:t>0.0867332</w:t>
      </w:r>
      <w:r w:rsidRPr="00862D83">
        <w:rPr>
          <w:rFonts w:cstheme="minorHAnsi"/>
        </w:rPr>
        <w:t xml:space="preserve"> in 2013; </w:t>
      </w:r>
      <w:r w:rsidRPr="00862D83">
        <w:rPr>
          <w:rFonts w:eastAsia="Times New Roman" w:cstheme="minorHAnsi"/>
          <w:color w:val="000000"/>
          <w:sz w:val="24"/>
          <w:szCs w:val="24"/>
        </w:rPr>
        <w:t>0.090964</w:t>
      </w:r>
      <w:r w:rsidRPr="00862D83">
        <w:rPr>
          <w:rFonts w:cstheme="minorHAnsi"/>
        </w:rPr>
        <w:t xml:space="preserve"> 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0.0918542</w:t>
      </w:r>
      <w:r w:rsidRPr="00862D83">
        <w:rPr>
          <w:rFonts w:cstheme="minorHAnsi"/>
        </w:rPr>
        <w:t xml:space="preserve"> in 2015. The higher operating profit margin earned by BATBC was </w:t>
      </w:r>
      <w:r w:rsidRPr="00862D83">
        <w:rPr>
          <w:rFonts w:eastAsia="Times New Roman" w:cstheme="minorHAnsi"/>
          <w:color w:val="000000"/>
          <w:sz w:val="24"/>
          <w:szCs w:val="24"/>
        </w:rPr>
        <w:t>0.0918542</w:t>
      </w:r>
      <w:r w:rsidR="00565352" w:rsidRPr="00862D83">
        <w:rPr>
          <w:rFonts w:cstheme="minorHAnsi"/>
        </w:rPr>
        <w:t xml:space="preserve"> in 2015</w:t>
      </w:r>
      <w:r w:rsidRPr="00862D83">
        <w:rPr>
          <w:rFonts w:cstheme="minorHAnsi"/>
        </w:rPr>
        <w:t>. It is good</w:t>
      </w:r>
      <w:r w:rsidR="00565352" w:rsidRPr="00862D83">
        <w:rPr>
          <w:rFonts w:cstheme="minorHAnsi"/>
        </w:rPr>
        <w:t>.</w:t>
      </w:r>
    </w:p>
    <w:p w:rsidR="00565352" w:rsidRPr="000B27B5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t>Confidence Cement Limited (CCL)</w:t>
      </w:r>
    </w:p>
    <w:p w:rsidR="003A07B5" w:rsidRPr="00862D83" w:rsidRDefault="003A07B5" w:rsidP="007E44FD">
      <w:pPr>
        <w:spacing w:line="360" w:lineRule="auto"/>
        <w:jc w:val="both"/>
        <w:rPr>
          <w:rFonts w:cstheme="minorHAnsi"/>
          <w:b/>
        </w:rPr>
      </w:pPr>
      <w:r w:rsidRPr="00862D83">
        <w:rPr>
          <w:rFonts w:cstheme="minorHAnsi"/>
        </w:rPr>
        <w:t xml:space="preserve"> Operating Profit Margin of CCL was </w:t>
      </w:r>
      <w:r w:rsidR="00565352" w:rsidRPr="00862D83">
        <w:rPr>
          <w:rFonts w:eastAsia="Times New Roman" w:cstheme="minorHAnsi"/>
          <w:color w:val="000000"/>
          <w:sz w:val="24"/>
          <w:szCs w:val="24"/>
        </w:rPr>
        <w:t xml:space="preserve">0.1454569 </w:t>
      </w:r>
      <w:r w:rsidRPr="00862D83">
        <w:rPr>
          <w:rFonts w:cstheme="minorHAnsi"/>
        </w:rPr>
        <w:t xml:space="preserve">in 2013; </w:t>
      </w:r>
      <w:r w:rsidR="00565352" w:rsidRPr="00862D83">
        <w:rPr>
          <w:rFonts w:eastAsia="Times New Roman" w:cstheme="minorHAnsi"/>
          <w:color w:val="000000"/>
          <w:sz w:val="24"/>
          <w:szCs w:val="24"/>
        </w:rPr>
        <w:t xml:space="preserve">0.1220369 </w:t>
      </w:r>
      <w:r w:rsidRPr="00862D83">
        <w:rPr>
          <w:rFonts w:cstheme="minorHAnsi"/>
        </w:rPr>
        <w:t>in 2014</w:t>
      </w:r>
      <w:r w:rsidR="00565352" w:rsidRPr="00862D83">
        <w:rPr>
          <w:rFonts w:cstheme="minorHAnsi"/>
        </w:rPr>
        <w:t xml:space="preserve"> &amp; </w:t>
      </w:r>
      <w:r w:rsidR="00565352" w:rsidRPr="00862D83">
        <w:rPr>
          <w:rFonts w:eastAsia="Times New Roman" w:cstheme="minorHAnsi"/>
          <w:color w:val="000000"/>
          <w:sz w:val="24"/>
          <w:szCs w:val="24"/>
        </w:rPr>
        <w:t>0.1193592</w:t>
      </w:r>
      <w:r w:rsidRPr="00862D83">
        <w:rPr>
          <w:rFonts w:cstheme="minorHAnsi"/>
        </w:rPr>
        <w:t xml:space="preserve"> in 2015. The higher operating profit margin earned by CCL</w:t>
      </w:r>
      <w:r w:rsidR="00565352" w:rsidRPr="00862D83">
        <w:rPr>
          <w:rFonts w:cstheme="minorHAnsi"/>
        </w:rPr>
        <w:t xml:space="preserve"> was </w:t>
      </w:r>
      <w:r w:rsidR="00565352" w:rsidRPr="00862D83">
        <w:rPr>
          <w:rFonts w:eastAsia="Times New Roman" w:cstheme="minorHAnsi"/>
          <w:color w:val="000000"/>
          <w:sz w:val="24"/>
          <w:szCs w:val="24"/>
        </w:rPr>
        <w:t xml:space="preserve">0.1454569 </w:t>
      </w:r>
      <w:r w:rsidR="00565352" w:rsidRPr="00862D83">
        <w:rPr>
          <w:rFonts w:cstheme="minorHAnsi"/>
        </w:rPr>
        <w:t>in 2013</w:t>
      </w:r>
      <w:r w:rsidRPr="00862D83">
        <w:rPr>
          <w:rFonts w:cstheme="minorHAnsi"/>
        </w:rPr>
        <w:t>. It is good</w:t>
      </w:r>
      <w:r w:rsidR="00565352" w:rsidRPr="00862D83">
        <w:rPr>
          <w:rFonts w:cstheme="minorHAnsi"/>
        </w:rPr>
        <w:t>.</w:t>
      </w:r>
    </w:p>
    <w:p w:rsidR="003A07B5" w:rsidRPr="00862D83" w:rsidRDefault="003A07B5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</w:t>
      </w:r>
      <w:r w:rsidR="00565352" w:rsidRPr="00862D83">
        <w:rPr>
          <w:rFonts w:cstheme="minorHAnsi"/>
        </w:rPr>
        <w:t xml:space="preserve"> CCL is in the good position.</w:t>
      </w:r>
    </w:p>
    <w:p w:rsidR="00DC6EC4" w:rsidRPr="0023396D" w:rsidRDefault="0023396D" w:rsidP="007E44FD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3396D">
        <w:rPr>
          <w:rFonts w:asciiTheme="minorHAnsi" w:hAnsiTheme="minorHAnsi" w:cstheme="minorHAnsi"/>
          <w:sz w:val="24"/>
          <w:szCs w:val="24"/>
        </w:rPr>
        <w:t xml:space="preserve">4. </w:t>
      </w:r>
      <w:r w:rsidR="00DC6EC4" w:rsidRPr="0023396D">
        <w:rPr>
          <w:rFonts w:asciiTheme="minorHAnsi" w:hAnsiTheme="minorHAnsi" w:cstheme="minorHAnsi"/>
          <w:sz w:val="24"/>
          <w:szCs w:val="24"/>
        </w:rPr>
        <w:t>Return on Asset</w:t>
      </w:r>
      <w:bookmarkEnd w:id="1"/>
    </w:p>
    <w:p w:rsidR="00DC6EC4" w:rsidRPr="00862D83" w:rsidRDefault="00DC6EC4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It is primarily an indicator of managerial efficiency. It indicates how capable management has been in converting assets into net earnings. </w:t>
      </w:r>
    </w:p>
    <w:p w:rsidR="00DC6EC4" w:rsidRPr="00862D83" w:rsidRDefault="00792A38" w:rsidP="007E44FD">
      <w:pPr>
        <w:pStyle w:val="Heading2"/>
        <w:spacing w:line="360" w:lineRule="auto"/>
        <w:rPr>
          <w:rFonts w:asciiTheme="minorHAnsi" w:hAnsiTheme="minorHAnsi" w:cstheme="minorHAnsi"/>
        </w:rPr>
      </w:pPr>
      <w:r w:rsidRPr="00862D83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72150" cy="2695575"/>
            <wp:effectExtent l="19050" t="0" r="19050" b="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C6EC4" w:rsidRPr="00862D83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DC6EC4" w:rsidRPr="00862D83" w:rsidRDefault="0031228F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Return on Asset of BATBC was </w:t>
      </w:r>
      <w:r w:rsidRPr="00862D83">
        <w:rPr>
          <w:rFonts w:eastAsia="Times New Roman" w:cstheme="minorHAnsi"/>
          <w:color w:val="000000"/>
          <w:sz w:val="24"/>
          <w:szCs w:val="24"/>
        </w:rPr>
        <w:t>0.2636862</w:t>
      </w:r>
      <w:r w:rsidRPr="00862D83">
        <w:rPr>
          <w:rFonts w:cstheme="minorHAnsi"/>
        </w:rPr>
        <w:t xml:space="preserve"> in 2013; </w:t>
      </w:r>
      <w:r w:rsidRPr="00862D83">
        <w:rPr>
          <w:rFonts w:eastAsia="Times New Roman" w:cstheme="minorHAnsi"/>
          <w:color w:val="000000"/>
          <w:sz w:val="24"/>
          <w:szCs w:val="24"/>
        </w:rPr>
        <w:t>0.2320191</w:t>
      </w:r>
      <w:r w:rsidRPr="00862D83">
        <w:rPr>
          <w:rFonts w:cstheme="minorHAnsi"/>
        </w:rPr>
        <w:t xml:space="preserve"> 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0.1975615 </w:t>
      </w:r>
      <w:r w:rsidRPr="00862D83">
        <w:rPr>
          <w:rFonts w:cstheme="minorHAnsi"/>
        </w:rPr>
        <w:t>in 2015</w:t>
      </w:r>
      <w:r w:rsidR="00DC6EC4" w:rsidRPr="00862D83">
        <w:rPr>
          <w:rFonts w:cstheme="minorHAnsi"/>
        </w:rPr>
        <w:t>. The high percent</w:t>
      </w:r>
      <w:r w:rsidRPr="00862D83">
        <w:rPr>
          <w:rFonts w:cstheme="minorHAnsi"/>
        </w:rPr>
        <w:t>age of how profitable a BATBC</w:t>
      </w:r>
      <w:r w:rsidR="00DC6EC4" w:rsidRPr="00862D83">
        <w:rPr>
          <w:rFonts w:cstheme="minorHAnsi"/>
        </w:rPr>
        <w:t>’s assets are in ge</w:t>
      </w:r>
      <w:r w:rsidRPr="00862D83">
        <w:rPr>
          <w:rFonts w:cstheme="minorHAnsi"/>
        </w:rPr>
        <w:t xml:space="preserve">nerating revenue was </w:t>
      </w:r>
      <w:r w:rsidRPr="00862D83">
        <w:rPr>
          <w:rFonts w:eastAsia="Times New Roman" w:cstheme="minorHAnsi"/>
          <w:color w:val="000000"/>
          <w:sz w:val="24"/>
          <w:szCs w:val="24"/>
        </w:rPr>
        <w:t>0.2636862</w:t>
      </w:r>
      <w:r w:rsidRPr="00862D83">
        <w:rPr>
          <w:rFonts w:cstheme="minorHAnsi"/>
        </w:rPr>
        <w:t xml:space="preserve"> in 2013</w:t>
      </w:r>
      <w:r w:rsidR="00DC6EC4" w:rsidRPr="00862D83">
        <w:rPr>
          <w:rFonts w:cstheme="minorHAnsi"/>
        </w:rPr>
        <w:t>. So it is good.</w:t>
      </w:r>
    </w:p>
    <w:p w:rsidR="00DC6EC4" w:rsidRPr="000B27B5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t>Confidence Cement Limited (CCL)</w:t>
      </w:r>
    </w:p>
    <w:p w:rsidR="00DC6EC4" w:rsidRPr="00862D83" w:rsidRDefault="0031228F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Return on Asset of CCL was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0.079353 </w:t>
      </w:r>
      <w:r w:rsidRPr="00862D83">
        <w:rPr>
          <w:rFonts w:cstheme="minorHAnsi"/>
        </w:rPr>
        <w:t xml:space="preserve">in 2013; </w:t>
      </w:r>
      <w:r w:rsidRPr="00862D83">
        <w:rPr>
          <w:rFonts w:eastAsia="Times New Roman" w:cstheme="minorHAnsi"/>
          <w:color w:val="000000"/>
          <w:sz w:val="24"/>
          <w:szCs w:val="24"/>
        </w:rPr>
        <w:t>0.0472742</w:t>
      </w:r>
      <w:r w:rsidRPr="00862D83">
        <w:rPr>
          <w:rFonts w:cstheme="minorHAnsi"/>
        </w:rPr>
        <w:t xml:space="preserve"> in 2014</w:t>
      </w:r>
      <w:r w:rsidR="00DC6EC4" w:rsidRPr="00862D83">
        <w:rPr>
          <w:rFonts w:cstheme="minorHAnsi"/>
        </w:rPr>
        <w:t xml:space="preserve"> &amp;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0.1066259 </w:t>
      </w:r>
      <w:r w:rsidR="00DC6EC4" w:rsidRPr="00862D83">
        <w:rPr>
          <w:rFonts w:cstheme="minorHAnsi"/>
        </w:rPr>
        <w:t xml:space="preserve">in </w:t>
      </w:r>
      <w:r w:rsidRPr="00862D83">
        <w:rPr>
          <w:rFonts w:cstheme="minorHAnsi"/>
        </w:rPr>
        <w:t>2015</w:t>
      </w:r>
      <w:r w:rsidR="00DC6EC4" w:rsidRPr="00862D83">
        <w:rPr>
          <w:rFonts w:cstheme="minorHAnsi"/>
        </w:rPr>
        <w:t>. The high percenta</w:t>
      </w:r>
      <w:r w:rsidRPr="00862D83">
        <w:rPr>
          <w:rFonts w:cstheme="minorHAnsi"/>
        </w:rPr>
        <w:t>ge of how profitable a CCL</w:t>
      </w:r>
      <w:r w:rsidR="00DC6EC4" w:rsidRPr="00862D83">
        <w:rPr>
          <w:rFonts w:cstheme="minorHAnsi"/>
        </w:rPr>
        <w:t>’s assets are in ge</w:t>
      </w:r>
      <w:r w:rsidRPr="00862D83">
        <w:rPr>
          <w:rFonts w:cstheme="minorHAnsi"/>
        </w:rPr>
        <w:t xml:space="preserve">nerating revenue was </w:t>
      </w:r>
      <w:r w:rsidRPr="00862D83">
        <w:rPr>
          <w:rFonts w:eastAsia="Times New Roman" w:cstheme="minorHAnsi"/>
          <w:color w:val="000000"/>
          <w:sz w:val="24"/>
          <w:szCs w:val="24"/>
        </w:rPr>
        <w:t>0.1066259</w:t>
      </w:r>
      <w:r w:rsidRPr="00862D83">
        <w:rPr>
          <w:rFonts w:cstheme="minorHAnsi"/>
        </w:rPr>
        <w:t xml:space="preserve"> in 2015</w:t>
      </w:r>
      <w:r w:rsidR="00DC6EC4" w:rsidRPr="00862D83">
        <w:rPr>
          <w:rFonts w:cstheme="minorHAnsi"/>
        </w:rPr>
        <w:t>. So it is good.</w:t>
      </w:r>
    </w:p>
    <w:p w:rsidR="00DC6EC4" w:rsidRPr="00862D83" w:rsidRDefault="0031228F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 BATBC</w:t>
      </w:r>
      <w:r w:rsidR="00DC6EC4" w:rsidRPr="00862D83">
        <w:rPr>
          <w:rFonts w:cstheme="minorHAnsi"/>
        </w:rPr>
        <w:t xml:space="preserve"> is in the good position. They asset generate a hig</w:t>
      </w:r>
      <w:r w:rsidRPr="00862D83">
        <w:rPr>
          <w:rFonts w:cstheme="minorHAnsi"/>
        </w:rPr>
        <w:t>her revenue each time than CCL</w:t>
      </w:r>
      <w:r w:rsidR="00DC6EC4" w:rsidRPr="00862D83">
        <w:rPr>
          <w:rFonts w:cstheme="minorHAnsi"/>
        </w:rPr>
        <w:t xml:space="preserve">. </w:t>
      </w:r>
    </w:p>
    <w:p w:rsidR="003513B9" w:rsidRPr="0023396D" w:rsidRDefault="0023396D" w:rsidP="007E44FD">
      <w:pPr>
        <w:pStyle w:val="Heading2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23396D">
        <w:rPr>
          <w:rFonts w:asciiTheme="minorHAnsi" w:hAnsiTheme="minorHAnsi" w:cstheme="minorHAnsi"/>
          <w:sz w:val="24"/>
          <w:szCs w:val="24"/>
        </w:rPr>
        <w:t xml:space="preserve">5. </w:t>
      </w:r>
      <w:r w:rsidR="003513B9" w:rsidRPr="0023396D">
        <w:rPr>
          <w:rFonts w:asciiTheme="minorHAnsi" w:hAnsiTheme="minorHAnsi" w:cstheme="minorHAnsi"/>
          <w:sz w:val="24"/>
          <w:szCs w:val="24"/>
        </w:rPr>
        <w:t>Return on Equity</w:t>
      </w:r>
      <w:bookmarkEnd w:id="2"/>
      <w:bookmarkEnd w:id="3"/>
    </w:p>
    <w:p w:rsidR="003513B9" w:rsidRPr="00862D83" w:rsidRDefault="003513B9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More ROE is efficient for investor’s choice for investment</w:t>
      </w:r>
    </w:p>
    <w:p w:rsidR="003513B9" w:rsidRPr="00862D83" w:rsidRDefault="00792A38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  <w:noProof/>
        </w:rPr>
        <w:lastRenderedPageBreak/>
        <w:drawing>
          <wp:inline distT="0" distB="0" distL="0" distR="0">
            <wp:extent cx="5895975" cy="2600325"/>
            <wp:effectExtent l="19050" t="0" r="9525" b="0"/>
            <wp:docPr id="6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513B9" w:rsidRPr="00862D83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3513B9" w:rsidRPr="00862D83" w:rsidRDefault="003513B9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Return on Equity of BATBC</w:t>
      </w:r>
      <w:r w:rsidR="004435E7" w:rsidRPr="00862D83">
        <w:rPr>
          <w:rFonts w:cstheme="minorHAnsi"/>
        </w:rPr>
        <w:t xml:space="preserve"> was 0.5469415 in 2013; </w:t>
      </w:r>
      <w:r w:rsidR="004435E7" w:rsidRPr="00862D83">
        <w:rPr>
          <w:rFonts w:eastAsia="Times New Roman" w:cstheme="minorHAnsi"/>
          <w:color w:val="000000"/>
          <w:sz w:val="24"/>
          <w:szCs w:val="24"/>
        </w:rPr>
        <w:t>0.5479928</w:t>
      </w:r>
      <w:r w:rsidR="004435E7" w:rsidRPr="00862D83">
        <w:rPr>
          <w:rFonts w:cstheme="minorHAnsi"/>
        </w:rPr>
        <w:t xml:space="preserve"> in 2014 &amp; </w:t>
      </w:r>
      <w:r w:rsidR="004435E7" w:rsidRPr="00862D83">
        <w:rPr>
          <w:rFonts w:eastAsia="Times New Roman" w:cstheme="minorHAnsi"/>
          <w:color w:val="000000"/>
          <w:sz w:val="24"/>
          <w:szCs w:val="24"/>
        </w:rPr>
        <w:t>0.4001506</w:t>
      </w:r>
      <w:r w:rsidR="004435E7" w:rsidRPr="00862D83">
        <w:rPr>
          <w:rFonts w:cstheme="minorHAnsi"/>
        </w:rPr>
        <w:t xml:space="preserve"> in 2015</w:t>
      </w:r>
      <w:r w:rsidRPr="00862D83">
        <w:rPr>
          <w:rFonts w:cstheme="minorHAnsi"/>
        </w:rPr>
        <w:t>. The high amount of net income returned as a percentage of shareholder’s</w:t>
      </w:r>
      <w:r w:rsidR="004435E7" w:rsidRPr="00862D83">
        <w:rPr>
          <w:rFonts w:cstheme="minorHAnsi"/>
        </w:rPr>
        <w:t xml:space="preserve"> equity of BATBC was </w:t>
      </w:r>
      <w:r w:rsidR="004435E7" w:rsidRPr="00862D83">
        <w:rPr>
          <w:rFonts w:eastAsia="Times New Roman" w:cstheme="minorHAnsi"/>
          <w:color w:val="000000"/>
          <w:sz w:val="24"/>
          <w:szCs w:val="24"/>
        </w:rPr>
        <w:t>0.5479928</w:t>
      </w:r>
      <w:r w:rsidR="004435E7" w:rsidRPr="00862D83">
        <w:rPr>
          <w:rFonts w:cstheme="minorHAnsi"/>
        </w:rPr>
        <w:t xml:space="preserve"> in 2014</w:t>
      </w:r>
      <w:r w:rsidRPr="00862D83">
        <w:rPr>
          <w:rFonts w:cstheme="minorHAnsi"/>
        </w:rPr>
        <w:t>. So it is good.</w:t>
      </w:r>
    </w:p>
    <w:p w:rsidR="003513B9" w:rsidRPr="00862D83" w:rsidRDefault="000B27B5" w:rsidP="007E44FD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t>Confidence Cement Limited (CCL)</w:t>
      </w:r>
    </w:p>
    <w:p w:rsidR="003513B9" w:rsidRPr="00862D83" w:rsidRDefault="004435E7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Return on Equity of CCL was </w:t>
      </w:r>
      <w:r w:rsidRPr="00862D83">
        <w:rPr>
          <w:rFonts w:eastAsia="Times New Roman" w:cstheme="minorHAnsi"/>
          <w:color w:val="000000"/>
          <w:sz w:val="24"/>
          <w:szCs w:val="24"/>
        </w:rPr>
        <w:t>0.1242545</w:t>
      </w:r>
      <w:r w:rsidRPr="00862D83">
        <w:rPr>
          <w:rFonts w:cstheme="minorHAnsi"/>
        </w:rPr>
        <w:t xml:space="preserve"> in 2013</w:t>
      </w:r>
      <w:r w:rsidR="003513B9" w:rsidRPr="00862D83">
        <w:rPr>
          <w:rFonts w:cstheme="minorHAnsi"/>
        </w:rPr>
        <w:t xml:space="preserve">;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0.082559 </w:t>
      </w:r>
      <w:r w:rsidRPr="00862D83">
        <w:rPr>
          <w:rFonts w:cstheme="minorHAnsi"/>
        </w:rPr>
        <w:t xml:space="preserve">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0.2006814</w:t>
      </w:r>
      <w:r w:rsidRPr="00862D83">
        <w:rPr>
          <w:rFonts w:cstheme="minorHAnsi"/>
        </w:rPr>
        <w:t xml:space="preserve"> in 2015</w:t>
      </w:r>
      <w:r w:rsidR="003513B9" w:rsidRPr="00862D83">
        <w:rPr>
          <w:rFonts w:cstheme="minorHAnsi"/>
        </w:rPr>
        <w:t>. The high amount of net income returned as a percentage of shareholder’s</w:t>
      </w:r>
      <w:r w:rsidRPr="00862D83">
        <w:rPr>
          <w:rFonts w:cstheme="minorHAnsi"/>
        </w:rPr>
        <w:t xml:space="preserve"> equity of CCL</w:t>
      </w:r>
      <w:r w:rsidR="003513B9" w:rsidRPr="00862D83">
        <w:rPr>
          <w:rFonts w:cstheme="minorHAnsi"/>
        </w:rPr>
        <w:t xml:space="preserve"> wa</w:t>
      </w:r>
      <w:r w:rsidRPr="00862D83">
        <w:rPr>
          <w:rFonts w:cstheme="minorHAnsi"/>
        </w:rPr>
        <w:t xml:space="preserve">s </w:t>
      </w:r>
      <w:r w:rsidRPr="00862D83">
        <w:rPr>
          <w:rFonts w:eastAsia="Times New Roman" w:cstheme="minorHAnsi"/>
          <w:color w:val="000000"/>
          <w:sz w:val="24"/>
          <w:szCs w:val="24"/>
        </w:rPr>
        <w:t>0.2006814</w:t>
      </w:r>
      <w:r w:rsidRPr="00862D83">
        <w:rPr>
          <w:rFonts w:cstheme="minorHAnsi"/>
        </w:rPr>
        <w:t xml:space="preserve"> in 2014</w:t>
      </w:r>
      <w:r w:rsidR="003513B9" w:rsidRPr="00862D83">
        <w:rPr>
          <w:rFonts w:cstheme="minorHAnsi"/>
        </w:rPr>
        <w:t>. So it is good.</w:t>
      </w:r>
    </w:p>
    <w:p w:rsidR="003513B9" w:rsidRPr="00862D83" w:rsidRDefault="004435E7" w:rsidP="007E44FD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 BATBC</w:t>
      </w:r>
      <w:r w:rsidR="003513B9" w:rsidRPr="00862D83">
        <w:rPr>
          <w:rFonts w:cstheme="minorHAnsi"/>
        </w:rPr>
        <w:t xml:space="preserve"> is in the good position. They provide high amount of net income returned as a percentage of shareholder’s equity.</w:t>
      </w:r>
    </w:p>
    <w:p w:rsidR="003513B9" w:rsidRPr="0023396D" w:rsidRDefault="0023396D" w:rsidP="007E44FD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3396D">
        <w:rPr>
          <w:rFonts w:cstheme="minorHAnsi"/>
          <w:b/>
          <w:sz w:val="24"/>
          <w:szCs w:val="24"/>
        </w:rPr>
        <w:t>6.</w:t>
      </w:r>
      <w:r>
        <w:rPr>
          <w:rFonts w:cstheme="minorHAnsi"/>
          <w:b/>
          <w:sz w:val="24"/>
          <w:szCs w:val="24"/>
        </w:rPr>
        <w:t xml:space="preserve"> </w:t>
      </w:r>
      <w:r w:rsidR="007E44FD" w:rsidRPr="0023396D">
        <w:rPr>
          <w:rFonts w:cstheme="minorHAnsi"/>
          <w:b/>
          <w:sz w:val="24"/>
          <w:szCs w:val="24"/>
        </w:rPr>
        <w:t>ROE DuPont</w:t>
      </w:r>
    </w:p>
    <w:p w:rsidR="007E44FD" w:rsidRPr="00862D83" w:rsidRDefault="007E44FD" w:rsidP="007E44FD">
      <w:pPr>
        <w:spacing w:after="0" w:line="360" w:lineRule="auto"/>
        <w:jc w:val="both"/>
        <w:rPr>
          <w:rFonts w:eastAsia="Times New Roman" w:cstheme="minorHAnsi"/>
          <w:color w:val="000000" w:themeColor="text1"/>
        </w:rPr>
      </w:pPr>
      <w:r w:rsidRPr="00862D83">
        <w:rPr>
          <w:rFonts w:eastAsia="Times New Roman" w:cstheme="minorHAnsi"/>
          <w:color w:val="000000" w:themeColor="text1"/>
        </w:rPr>
        <w:t xml:space="preserve">ROE is affected by three things: operating efficiency, which is measured by profit margin; </w:t>
      </w:r>
      <w:hyperlink r:id="rId12" w:history="1">
        <w:r w:rsidRPr="00862D83">
          <w:rPr>
            <w:rFonts w:eastAsia="Times New Roman" w:cstheme="minorHAnsi"/>
            <w:color w:val="000000" w:themeColor="text1"/>
          </w:rPr>
          <w:t>asset</w:t>
        </w:r>
      </w:hyperlink>
      <w:r w:rsidRPr="00862D83">
        <w:rPr>
          <w:rFonts w:eastAsia="Times New Roman" w:cstheme="minorHAnsi"/>
          <w:color w:val="000000" w:themeColor="text1"/>
        </w:rPr>
        <w:t xml:space="preserve"> use </w:t>
      </w:r>
      <w:proofErr w:type="gramStart"/>
      <w:r w:rsidRPr="00862D83">
        <w:rPr>
          <w:rFonts w:eastAsia="Times New Roman" w:cstheme="minorHAnsi"/>
          <w:color w:val="000000" w:themeColor="text1"/>
        </w:rPr>
        <w:t>efficiency</w:t>
      </w:r>
      <w:proofErr w:type="gramEnd"/>
      <w:r w:rsidRPr="00862D83">
        <w:rPr>
          <w:rFonts w:eastAsia="Times New Roman" w:cstheme="minorHAnsi"/>
          <w:color w:val="000000" w:themeColor="text1"/>
        </w:rPr>
        <w:t xml:space="preserve">, which is measured by total asset turnover; and financial </w:t>
      </w:r>
      <w:hyperlink r:id="rId13" w:history="1">
        <w:r w:rsidRPr="00862D83">
          <w:rPr>
            <w:rFonts w:eastAsia="Times New Roman" w:cstheme="minorHAnsi"/>
            <w:color w:val="000000" w:themeColor="text1"/>
          </w:rPr>
          <w:t>leverage</w:t>
        </w:r>
      </w:hyperlink>
      <w:r w:rsidRPr="00862D83">
        <w:rPr>
          <w:rFonts w:eastAsia="Times New Roman" w:cstheme="minorHAnsi"/>
          <w:color w:val="000000" w:themeColor="text1"/>
        </w:rPr>
        <w:t>, which is measured by the equity multiplier.</w:t>
      </w:r>
    </w:p>
    <w:p w:rsidR="007E44FD" w:rsidRPr="00862D83" w:rsidRDefault="007E44FD" w:rsidP="007E44FD">
      <w:pPr>
        <w:spacing w:before="100" w:beforeAutospacing="1" w:after="100" w:afterAutospacing="1" w:line="360" w:lineRule="auto"/>
        <w:jc w:val="both"/>
        <w:rPr>
          <w:rFonts w:eastAsia="Times New Roman" w:cstheme="minorHAnsi"/>
          <w:color w:val="000000" w:themeColor="text1"/>
        </w:rPr>
      </w:pPr>
      <w:r w:rsidRPr="00862D83">
        <w:rPr>
          <w:rFonts w:eastAsia="Times New Roman" w:cstheme="minorHAnsi"/>
          <w:color w:val="000000" w:themeColor="text1"/>
        </w:rPr>
        <w:t xml:space="preserve">ROE = </w:t>
      </w:r>
      <w:hyperlink r:id="rId14" w:history="1">
        <w:r w:rsidRPr="00862D83">
          <w:rPr>
            <w:rFonts w:eastAsia="Times New Roman" w:cstheme="minorHAnsi"/>
            <w:color w:val="000000" w:themeColor="text1"/>
          </w:rPr>
          <w:t>Profit Margin</w:t>
        </w:r>
      </w:hyperlink>
      <w:r w:rsidRPr="00862D83">
        <w:rPr>
          <w:rFonts w:eastAsia="Times New Roman" w:cstheme="minorHAnsi"/>
          <w:color w:val="000000" w:themeColor="text1"/>
        </w:rPr>
        <w:t xml:space="preserve"> x Asset </w:t>
      </w:r>
      <w:hyperlink r:id="rId15" w:history="1">
        <w:r w:rsidRPr="00862D83">
          <w:rPr>
            <w:rFonts w:eastAsia="Times New Roman" w:cstheme="minorHAnsi"/>
            <w:color w:val="000000" w:themeColor="text1"/>
          </w:rPr>
          <w:t>Turnover</w:t>
        </w:r>
      </w:hyperlink>
      <w:r w:rsidRPr="00862D83">
        <w:rPr>
          <w:rFonts w:eastAsia="Times New Roman" w:cstheme="minorHAnsi"/>
          <w:color w:val="000000" w:themeColor="text1"/>
        </w:rPr>
        <w:t xml:space="preserve"> Ratio x </w:t>
      </w:r>
      <w:hyperlink r:id="rId16" w:history="1">
        <w:r w:rsidRPr="00862D83">
          <w:rPr>
            <w:rFonts w:eastAsia="Times New Roman" w:cstheme="minorHAnsi"/>
            <w:color w:val="000000" w:themeColor="text1"/>
          </w:rPr>
          <w:t>Equity Multiplier</w:t>
        </w:r>
      </w:hyperlink>
      <w:r w:rsidRPr="00862D83">
        <w:rPr>
          <w:rFonts w:eastAsia="Times New Roman" w:cstheme="minorHAnsi"/>
          <w:color w:val="000000" w:themeColor="text1"/>
        </w:rPr>
        <w:t>.</w:t>
      </w:r>
    </w:p>
    <w:p w:rsidR="00AC4FDC" w:rsidRPr="00862D83" w:rsidRDefault="00792A38" w:rsidP="00862D83">
      <w:pPr>
        <w:spacing w:line="360" w:lineRule="auto"/>
        <w:jc w:val="both"/>
        <w:rPr>
          <w:rFonts w:cstheme="minorHAnsi"/>
          <w:b/>
        </w:rPr>
      </w:pPr>
      <w:r w:rsidRPr="00862D83">
        <w:rPr>
          <w:rFonts w:cstheme="minorHAnsi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95975" cy="2600325"/>
            <wp:effectExtent l="19050" t="0" r="9525" b="0"/>
            <wp:wrapSquare wrapText="bothSides"/>
            <wp:docPr id="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anchor>
        </w:drawing>
      </w:r>
      <w:r w:rsidR="00124A7C" w:rsidRPr="00862D83">
        <w:rPr>
          <w:rFonts w:cstheme="minorHAnsi"/>
          <w:b/>
        </w:rPr>
        <w:br w:type="textWrapping" w:clear="all"/>
      </w:r>
      <w:r w:rsidR="000B27B5" w:rsidRPr="000B27B5">
        <w:rPr>
          <w:rFonts w:ascii="Calibri" w:eastAsia="Times New Roman" w:hAnsi="Calibri" w:cs="Times New Roman"/>
          <w:b/>
          <w:bCs/>
          <w:color w:val="000000"/>
          <w:lang w:eastAsia="en-GB"/>
        </w:rPr>
        <w:t>British American Tobacco Bangladesh Company Limited (BATBC)</w:t>
      </w:r>
    </w:p>
    <w:p w:rsidR="00AC4FDC" w:rsidRPr="00862D83" w:rsidRDefault="00AC4FDC" w:rsidP="00862D83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DuPont of BATBC was 0.5469415 in 2013; </w:t>
      </w:r>
      <w:r w:rsidRPr="00862D83">
        <w:rPr>
          <w:rFonts w:eastAsia="Times New Roman" w:cstheme="minorHAnsi"/>
          <w:color w:val="000000"/>
          <w:sz w:val="24"/>
          <w:szCs w:val="24"/>
        </w:rPr>
        <w:t>0.5479928</w:t>
      </w:r>
      <w:r w:rsidRPr="00862D83">
        <w:rPr>
          <w:rFonts w:cstheme="minorHAnsi"/>
        </w:rPr>
        <w:t xml:space="preserve"> 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0.4001506</w:t>
      </w:r>
      <w:r w:rsidRPr="00862D83">
        <w:rPr>
          <w:rFonts w:cstheme="minorHAnsi"/>
        </w:rPr>
        <w:t xml:space="preserve"> in 2015. The high amount of DuPont of BATBC was </w:t>
      </w:r>
      <w:r w:rsidRPr="00862D83">
        <w:rPr>
          <w:rFonts w:eastAsia="Times New Roman" w:cstheme="minorHAnsi"/>
          <w:color w:val="000000"/>
          <w:sz w:val="24"/>
          <w:szCs w:val="24"/>
        </w:rPr>
        <w:t>0.5479928</w:t>
      </w:r>
      <w:r w:rsidRPr="00862D83">
        <w:rPr>
          <w:rFonts w:cstheme="minorHAnsi"/>
        </w:rPr>
        <w:t xml:space="preserve"> in 2014. So it is good.</w:t>
      </w:r>
    </w:p>
    <w:p w:rsidR="00AC4FDC" w:rsidRPr="00862D83" w:rsidRDefault="000B27B5" w:rsidP="00862D83">
      <w:pPr>
        <w:spacing w:line="360" w:lineRule="auto"/>
        <w:jc w:val="both"/>
        <w:rPr>
          <w:rFonts w:cstheme="minorHAnsi"/>
          <w:b/>
        </w:rPr>
      </w:pPr>
      <w:r w:rsidRPr="000B27B5">
        <w:rPr>
          <w:rFonts w:eastAsia="Times New Roman" w:cstheme="minorHAnsi"/>
          <w:b/>
          <w:bCs/>
          <w:color w:val="000000"/>
        </w:rPr>
        <w:t>Confidence Cement Limited (CCL)</w:t>
      </w:r>
    </w:p>
    <w:p w:rsidR="00AC4FDC" w:rsidRPr="00862D83" w:rsidRDefault="00AC4FDC" w:rsidP="00862D83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 xml:space="preserve">DuPont of CCL was </w:t>
      </w:r>
      <w:r w:rsidRPr="00862D83">
        <w:rPr>
          <w:rFonts w:eastAsia="Times New Roman" w:cstheme="minorHAnsi"/>
          <w:color w:val="000000"/>
          <w:sz w:val="24"/>
          <w:szCs w:val="24"/>
        </w:rPr>
        <w:t>0.1242545</w:t>
      </w:r>
      <w:r w:rsidRPr="00862D83">
        <w:rPr>
          <w:rFonts w:cstheme="minorHAnsi"/>
        </w:rPr>
        <w:t xml:space="preserve"> in 2013; </w:t>
      </w:r>
      <w:r w:rsidRPr="00862D83">
        <w:rPr>
          <w:rFonts w:eastAsia="Times New Roman" w:cstheme="minorHAnsi"/>
          <w:color w:val="000000"/>
          <w:sz w:val="24"/>
          <w:szCs w:val="24"/>
        </w:rPr>
        <w:t xml:space="preserve">0.082559 </w:t>
      </w:r>
      <w:r w:rsidRPr="00862D83">
        <w:rPr>
          <w:rFonts w:cstheme="minorHAnsi"/>
        </w:rPr>
        <w:t xml:space="preserve">in 2014 &amp; </w:t>
      </w:r>
      <w:r w:rsidRPr="00862D83">
        <w:rPr>
          <w:rFonts w:eastAsia="Times New Roman" w:cstheme="minorHAnsi"/>
          <w:color w:val="000000"/>
          <w:sz w:val="24"/>
          <w:szCs w:val="24"/>
        </w:rPr>
        <w:t>0.2006814</w:t>
      </w:r>
      <w:r w:rsidRPr="00862D83">
        <w:rPr>
          <w:rFonts w:cstheme="minorHAnsi"/>
        </w:rPr>
        <w:t xml:space="preserve"> in 2015. The high amount of DuPont of CCL was </w:t>
      </w:r>
      <w:r w:rsidRPr="00862D83">
        <w:rPr>
          <w:rFonts w:eastAsia="Times New Roman" w:cstheme="minorHAnsi"/>
          <w:color w:val="000000"/>
          <w:sz w:val="24"/>
          <w:szCs w:val="24"/>
        </w:rPr>
        <w:t>0.2006814</w:t>
      </w:r>
      <w:r w:rsidRPr="00862D83">
        <w:rPr>
          <w:rFonts w:cstheme="minorHAnsi"/>
        </w:rPr>
        <w:t xml:space="preserve"> in 2014. So it is good.</w:t>
      </w:r>
    </w:p>
    <w:p w:rsidR="00AC4FDC" w:rsidRPr="00862D83" w:rsidRDefault="00AC4FDC" w:rsidP="00862D83">
      <w:pPr>
        <w:spacing w:line="360" w:lineRule="auto"/>
        <w:jc w:val="both"/>
        <w:rPr>
          <w:rFonts w:cstheme="minorHAnsi"/>
        </w:rPr>
      </w:pPr>
      <w:r w:rsidRPr="00862D83">
        <w:rPr>
          <w:rFonts w:cstheme="minorHAnsi"/>
        </w:rPr>
        <w:t>Comparative with these two Company BATBC is in the good position.</w:t>
      </w:r>
    </w:p>
    <w:p w:rsidR="00AC4FDC" w:rsidRPr="00862D83" w:rsidRDefault="00AC4FDC" w:rsidP="007E44FD">
      <w:pPr>
        <w:spacing w:line="360" w:lineRule="auto"/>
        <w:jc w:val="both"/>
        <w:rPr>
          <w:rFonts w:cstheme="minorHAnsi"/>
          <w:b/>
        </w:rPr>
      </w:pPr>
    </w:p>
    <w:sectPr w:rsidR="00AC4FDC" w:rsidRPr="00862D83" w:rsidSect="007F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299" w:rsidRDefault="00993299" w:rsidP="00993299">
      <w:pPr>
        <w:spacing w:after="0" w:line="240" w:lineRule="auto"/>
      </w:pPr>
      <w:r>
        <w:separator/>
      </w:r>
    </w:p>
  </w:endnote>
  <w:endnote w:type="continuationSeparator" w:id="1">
    <w:p w:rsidR="00993299" w:rsidRDefault="00993299" w:rsidP="00993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299" w:rsidRDefault="00993299" w:rsidP="00993299">
      <w:pPr>
        <w:spacing w:after="0" w:line="240" w:lineRule="auto"/>
      </w:pPr>
      <w:r>
        <w:separator/>
      </w:r>
    </w:p>
  </w:footnote>
  <w:footnote w:type="continuationSeparator" w:id="1">
    <w:p w:rsidR="00993299" w:rsidRDefault="00993299" w:rsidP="00993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0392"/>
    <w:multiLevelType w:val="multilevel"/>
    <w:tmpl w:val="2A823F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F792234"/>
    <w:multiLevelType w:val="hybridMultilevel"/>
    <w:tmpl w:val="2036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4183"/>
    <w:multiLevelType w:val="hybridMultilevel"/>
    <w:tmpl w:val="3D5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D61F0"/>
    <w:multiLevelType w:val="hybridMultilevel"/>
    <w:tmpl w:val="C2F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20D29"/>
    <w:multiLevelType w:val="hybridMultilevel"/>
    <w:tmpl w:val="13F2A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876"/>
    <w:rsid w:val="000B27B5"/>
    <w:rsid w:val="00124A7C"/>
    <w:rsid w:val="001B4B65"/>
    <w:rsid w:val="0023396D"/>
    <w:rsid w:val="002837CF"/>
    <w:rsid w:val="002A0B0A"/>
    <w:rsid w:val="0031228F"/>
    <w:rsid w:val="003513B9"/>
    <w:rsid w:val="00357011"/>
    <w:rsid w:val="003A07B5"/>
    <w:rsid w:val="003F104D"/>
    <w:rsid w:val="004435E7"/>
    <w:rsid w:val="00565352"/>
    <w:rsid w:val="00792A38"/>
    <w:rsid w:val="007E44FD"/>
    <w:rsid w:val="007F4A7C"/>
    <w:rsid w:val="00862D83"/>
    <w:rsid w:val="00982D63"/>
    <w:rsid w:val="00993299"/>
    <w:rsid w:val="009F2878"/>
    <w:rsid w:val="00A810D8"/>
    <w:rsid w:val="00AC4FDC"/>
    <w:rsid w:val="00B57C6B"/>
    <w:rsid w:val="00C05DE7"/>
    <w:rsid w:val="00C81228"/>
    <w:rsid w:val="00CA0366"/>
    <w:rsid w:val="00D309B7"/>
    <w:rsid w:val="00DC6EC4"/>
    <w:rsid w:val="00DD3AA3"/>
    <w:rsid w:val="00FB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3B9"/>
    <w:pPr>
      <w:keepNext/>
      <w:keepLines/>
      <w:spacing w:before="440" w:after="24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3299"/>
  </w:style>
  <w:style w:type="paragraph" w:styleId="Footer">
    <w:name w:val="footer"/>
    <w:basedOn w:val="Normal"/>
    <w:link w:val="FooterChar"/>
    <w:uiPriority w:val="99"/>
    <w:semiHidden/>
    <w:unhideWhenUsed/>
    <w:rsid w:val="00993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3299"/>
  </w:style>
  <w:style w:type="character" w:customStyle="1" w:styleId="Heading2Char">
    <w:name w:val="Heading 2 Char"/>
    <w:basedOn w:val="DefaultParagraphFont"/>
    <w:link w:val="Heading2"/>
    <w:uiPriority w:val="9"/>
    <w:rsid w:val="003513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gc">
    <w:name w:val="_tgc"/>
    <w:basedOn w:val="DefaultParagraphFont"/>
    <w:rsid w:val="00B57C6B"/>
  </w:style>
  <w:style w:type="character" w:styleId="Hyperlink">
    <w:name w:val="Hyperlink"/>
    <w:basedOn w:val="DefaultParagraphFont"/>
    <w:uiPriority w:val="99"/>
    <w:semiHidden/>
    <w:unhideWhenUsed/>
    <w:rsid w:val="007E44F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4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yperlink" Target="http://www.investopedia.com/terms/l/leverage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http://www.investopedia.com/terms/a/asset.asp" TargetMode="External"/><Relationship Id="rId17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hyperlink" Target="http://www.investopedia.com/terms/e/equitymultiplier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yperlink" Target="http://www.investopedia.com/terms/t/turnover.asp" TargetMode="Externa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://www.investopedia.com/terms/p/profitmargin.asp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Gross-Profi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NeT-profi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Operating-Profi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RO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RO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ownloads\ROE-DU-poi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>
        <c:manualLayout>
          <c:layoutTarget val="inner"/>
          <c:xMode val="edge"/>
          <c:yMode val="edge"/>
          <c:x val="0.13753018372703438"/>
          <c:y val="3.2882035578886012E-2"/>
          <c:w val="0.73787379702537248"/>
          <c:h val="0.8326195683872849"/>
        </c:manualLayout>
      </c:layout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0.12524089999999999</c:v>
                </c:pt>
                <c:pt idx="1">
                  <c:v>0.12862128615805285</c:v>
                </c:pt>
                <c:pt idx="2">
                  <c:v>0.12999907230912033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0.20569578816035503</c:v>
                </c:pt>
                <c:pt idx="1">
                  <c:v>0.16682648584940227</c:v>
                </c:pt>
                <c:pt idx="2">
                  <c:v>0.16221322172590782</c:v>
                </c:pt>
              </c:numCache>
            </c:numRef>
          </c:val>
        </c:ser>
        <c:shape val="cylinder"/>
        <c:axId val="76609408"/>
        <c:axId val="76610944"/>
        <c:axId val="0"/>
      </c:bar3DChart>
      <c:catAx>
        <c:axId val="76609408"/>
        <c:scaling>
          <c:orientation val="minMax"/>
        </c:scaling>
        <c:axPos val="b"/>
        <c:numFmt formatCode="General" sourceLinked="1"/>
        <c:tickLblPos val="nextTo"/>
        <c:crossAx val="76610944"/>
        <c:crosses val="autoZero"/>
        <c:auto val="1"/>
        <c:lblAlgn val="ctr"/>
        <c:lblOffset val="100"/>
      </c:catAx>
      <c:valAx>
        <c:axId val="76610944"/>
        <c:scaling>
          <c:orientation val="minMax"/>
        </c:scaling>
        <c:axPos val="l"/>
        <c:majorGridlines/>
        <c:numFmt formatCode="General" sourceLinked="1"/>
        <c:tickLblPos val="nextTo"/>
        <c:crossAx val="76609408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4.4429400000000008E-2</c:v>
                </c:pt>
                <c:pt idx="1">
                  <c:v>4.9540200000000006E-2</c:v>
                </c:pt>
                <c:pt idx="2">
                  <c:v>4.0678699999999998E-2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0.1045592</c:v>
                </c:pt>
                <c:pt idx="1">
                  <c:v>6.5825900000000007E-2</c:v>
                </c:pt>
                <c:pt idx="2">
                  <c:v>0.12042890000000002</c:v>
                </c:pt>
              </c:numCache>
            </c:numRef>
          </c:val>
        </c:ser>
        <c:shape val="cylinder"/>
        <c:axId val="76734848"/>
        <c:axId val="76736384"/>
        <c:axId val="0"/>
      </c:bar3DChart>
      <c:catAx>
        <c:axId val="76734848"/>
        <c:scaling>
          <c:orientation val="minMax"/>
        </c:scaling>
        <c:axPos val="b"/>
        <c:numFmt formatCode="General" sourceLinked="1"/>
        <c:tickLblPos val="nextTo"/>
        <c:crossAx val="76736384"/>
        <c:crosses val="autoZero"/>
        <c:auto val="1"/>
        <c:lblAlgn val="ctr"/>
        <c:lblOffset val="100"/>
      </c:catAx>
      <c:valAx>
        <c:axId val="76736384"/>
        <c:scaling>
          <c:orientation val="minMax"/>
        </c:scaling>
        <c:axPos val="l"/>
        <c:majorGridlines/>
        <c:numFmt formatCode="General" sourceLinked="1"/>
        <c:tickLblPos val="nextTo"/>
        <c:crossAx val="76734848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8.673320000000001E-2</c:v>
                </c:pt>
                <c:pt idx="1">
                  <c:v>9.0964000000000017E-2</c:v>
                </c:pt>
                <c:pt idx="2">
                  <c:v>9.1854200000000039E-2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0.14545690000000003</c:v>
                </c:pt>
                <c:pt idx="1">
                  <c:v>0.12203690000000002</c:v>
                </c:pt>
                <c:pt idx="2">
                  <c:v>0.1193592</c:v>
                </c:pt>
              </c:numCache>
            </c:numRef>
          </c:val>
        </c:ser>
        <c:shape val="cylinder"/>
        <c:axId val="77015296"/>
        <c:axId val="77021184"/>
        <c:axId val="0"/>
      </c:bar3DChart>
      <c:catAx>
        <c:axId val="77015296"/>
        <c:scaling>
          <c:orientation val="minMax"/>
        </c:scaling>
        <c:axPos val="b"/>
        <c:numFmt formatCode="General" sourceLinked="1"/>
        <c:tickLblPos val="nextTo"/>
        <c:crossAx val="77021184"/>
        <c:crosses val="autoZero"/>
        <c:auto val="1"/>
        <c:lblAlgn val="ctr"/>
        <c:lblOffset val="100"/>
      </c:catAx>
      <c:valAx>
        <c:axId val="77021184"/>
        <c:scaling>
          <c:orientation val="minMax"/>
        </c:scaling>
        <c:axPos val="l"/>
        <c:majorGridlines/>
        <c:numFmt formatCode="General" sourceLinked="1"/>
        <c:tickLblPos val="nextTo"/>
        <c:crossAx val="77015296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0.26368620000000004</c:v>
                </c:pt>
                <c:pt idx="1">
                  <c:v>0.23201910000000003</c:v>
                </c:pt>
                <c:pt idx="2">
                  <c:v>0.1975615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7.9353000000000021E-2</c:v>
                </c:pt>
                <c:pt idx="1">
                  <c:v>4.7274200000000002E-2</c:v>
                </c:pt>
                <c:pt idx="2">
                  <c:v>0.10662590000000002</c:v>
                </c:pt>
              </c:numCache>
            </c:numRef>
          </c:val>
        </c:ser>
        <c:shape val="cylinder"/>
        <c:axId val="77050240"/>
        <c:axId val="77051776"/>
        <c:axId val="0"/>
      </c:bar3DChart>
      <c:catAx>
        <c:axId val="77050240"/>
        <c:scaling>
          <c:orientation val="minMax"/>
        </c:scaling>
        <c:axPos val="b"/>
        <c:numFmt formatCode="General" sourceLinked="1"/>
        <c:tickLblPos val="nextTo"/>
        <c:crossAx val="77051776"/>
        <c:crosses val="autoZero"/>
        <c:auto val="1"/>
        <c:lblAlgn val="ctr"/>
        <c:lblOffset val="100"/>
      </c:catAx>
      <c:valAx>
        <c:axId val="77051776"/>
        <c:scaling>
          <c:orientation val="minMax"/>
        </c:scaling>
        <c:axPos val="l"/>
        <c:majorGridlines/>
        <c:numFmt formatCode="General" sourceLinked="1"/>
        <c:tickLblPos val="nextTo"/>
        <c:crossAx val="7705024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0.54694150000000008</c:v>
                </c:pt>
                <c:pt idx="1">
                  <c:v>0.54799279999999984</c:v>
                </c:pt>
                <c:pt idx="2">
                  <c:v>0.40015060000000002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0.12425450000000002</c:v>
                </c:pt>
                <c:pt idx="1">
                  <c:v>8.2559000000000035E-2</c:v>
                </c:pt>
                <c:pt idx="2">
                  <c:v>0.20068140000000001</c:v>
                </c:pt>
              </c:numCache>
            </c:numRef>
          </c:val>
        </c:ser>
        <c:shape val="cylinder"/>
        <c:axId val="77080832"/>
        <c:axId val="77086720"/>
        <c:axId val="0"/>
      </c:bar3DChart>
      <c:catAx>
        <c:axId val="77080832"/>
        <c:scaling>
          <c:orientation val="minMax"/>
        </c:scaling>
        <c:axPos val="b"/>
        <c:numFmt formatCode="General" sourceLinked="1"/>
        <c:tickLblPos val="nextTo"/>
        <c:crossAx val="77086720"/>
        <c:crosses val="autoZero"/>
        <c:auto val="1"/>
        <c:lblAlgn val="ctr"/>
        <c:lblOffset val="100"/>
      </c:catAx>
      <c:valAx>
        <c:axId val="77086720"/>
        <c:scaling>
          <c:orientation val="minMax"/>
        </c:scaling>
        <c:axPos val="l"/>
        <c:majorGridlines/>
        <c:numFmt formatCode="General" sourceLinked="1"/>
        <c:tickLblPos val="nextTo"/>
        <c:crossAx val="77080832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BATBC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Sheet1!$B$3:$B$5</c:f>
              <c:numCache>
                <c:formatCode>General</c:formatCode>
                <c:ptCount val="3"/>
                <c:pt idx="0">
                  <c:v>0.54694150000000008</c:v>
                </c:pt>
                <c:pt idx="1">
                  <c:v>0.54799279999999984</c:v>
                </c:pt>
                <c:pt idx="2">
                  <c:v>0.40015060000000002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CCL</c:v>
                </c:pt>
              </c:strCache>
            </c:strRef>
          </c:tx>
          <c:cat>
            <c:numRef>
              <c:f>Sheet1!$A$3:$A$5</c:f>
              <c:numCache>
                <c:formatCode>General</c:formatCode>
                <c:ptCount val="3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</c:numCache>
            </c:numRef>
          </c:cat>
          <c:val>
            <c:numRef>
              <c:f>Sheet1!$C$3:$C$5</c:f>
              <c:numCache>
                <c:formatCode>General</c:formatCode>
                <c:ptCount val="3"/>
                <c:pt idx="0">
                  <c:v>0.12425450000000002</c:v>
                </c:pt>
                <c:pt idx="1">
                  <c:v>8.2559000000000035E-2</c:v>
                </c:pt>
                <c:pt idx="2">
                  <c:v>0.20068140000000001</c:v>
                </c:pt>
              </c:numCache>
            </c:numRef>
          </c:val>
        </c:ser>
        <c:shape val="cylinder"/>
        <c:axId val="77111680"/>
        <c:axId val="77113216"/>
        <c:axId val="0"/>
      </c:bar3DChart>
      <c:catAx>
        <c:axId val="77111680"/>
        <c:scaling>
          <c:orientation val="minMax"/>
        </c:scaling>
        <c:axPos val="b"/>
        <c:numFmt formatCode="General" sourceLinked="1"/>
        <c:tickLblPos val="nextTo"/>
        <c:crossAx val="77113216"/>
        <c:crosses val="autoZero"/>
        <c:auto val="1"/>
        <c:lblAlgn val="ctr"/>
        <c:lblOffset val="100"/>
      </c:catAx>
      <c:valAx>
        <c:axId val="77113216"/>
        <c:scaling>
          <c:orientation val="minMax"/>
        </c:scaling>
        <c:axPos val="l"/>
        <c:majorGridlines/>
        <c:numFmt formatCode="General" sourceLinked="1"/>
        <c:tickLblPos val="nextTo"/>
        <c:crossAx val="77111680"/>
        <c:crosses val="autoZero"/>
        <c:crossBetween val="between"/>
      </c:valAx>
    </c:plotArea>
    <c:legend>
      <c:legendPos val="r"/>
      <c:layout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2017-04-21T15:45:00Z</dcterms:created>
  <dcterms:modified xsi:type="dcterms:W3CDTF">2017-04-22T09:15:00Z</dcterms:modified>
</cp:coreProperties>
</file>