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404" w:rsidRDefault="00EA3404" w:rsidP="007C4670">
      <w:pPr>
        <w:pStyle w:val="Heading1"/>
      </w:pPr>
      <w:bookmarkStart w:id="0" w:name="_GoBack"/>
      <w:bookmarkEnd w:id="0"/>
      <w:r>
        <w:t>Financial Information of BATBC:</w:t>
      </w:r>
    </w:p>
    <w:tbl>
      <w:tblPr>
        <w:tblW w:w="9121" w:type="dxa"/>
        <w:tblLook w:val="04A0" w:firstRow="1" w:lastRow="0" w:firstColumn="1" w:lastColumn="0" w:noHBand="0" w:noVBand="1"/>
      </w:tblPr>
      <w:tblGrid>
        <w:gridCol w:w="3988"/>
        <w:gridCol w:w="1711"/>
        <w:gridCol w:w="1711"/>
        <w:gridCol w:w="1711"/>
      </w:tblGrid>
      <w:tr w:rsidR="00EA3404" w:rsidRPr="00EA3404" w:rsidTr="00EA3404">
        <w:trPr>
          <w:trHeight w:val="585"/>
        </w:trPr>
        <w:tc>
          <w:tcPr>
            <w:tcW w:w="9121" w:type="dxa"/>
            <w:gridSpan w:val="4"/>
            <w:tcBorders>
              <w:top w:val="single" w:sz="4" w:space="0" w:color="auto"/>
              <w:left w:val="single" w:sz="4" w:space="0" w:color="auto"/>
              <w:bottom w:val="single" w:sz="4" w:space="0" w:color="auto"/>
              <w:right w:val="single" w:sz="4" w:space="0" w:color="auto"/>
            </w:tcBorders>
            <w:shd w:val="clear" w:color="000000" w:fill="D9E1F2"/>
            <w:noWrap/>
            <w:vAlign w:val="center"/>
            <w:hideMark/>
          </w:tcPr>
          <w:p w:rsidR="00EA3404" w:rsidRPr="00EA3404" w:rsidRDefault="00EA3404" w:rsidP="00EA3404">
            <w:pPr>
              <w:spacing w:after="0" w:line="240" w:lineRule="auto"/>
              <w:jc w:val="center"/>
              <w:rPr>
                <w:rFonts w:ascii="Calibri" w:eastAsia="Times New Roman" w:hAnsi="Calibri" w:cs="Times New Roman"/>
                <w:b/>
                <w:bCs/>
                <w:color w:val="000000"/>
                <w:sz w:val="32"/>
                <w:szCs w:val="32"/>
                <w:lang w:eastAsia="en-GB"/>
              </w:rPr>
            </w:pPr>
            <w:r w:rsidRPr="00EA3404">
              <w:rPr>
                <w:rFonts w:ascii="Calibri" w:eastAsia="Times New Roman" w:hAnsi="Calibri" w:cs="Times New Roman"/>
                <w:b/>
                <w:bCs/>
                <w:color w:val="000000"/>
                <w:sz w:val="32"/>
                <w:szCs w:val="32"/>
                <w:lang w:eastAsia="en-GB"/>
              </w:rPr>
              <w:t>British American Tobacco Bangladesh Company Limited (BATBC)</w:t>
            </w:r>
          </w:p>
        </w:tc>
      </w:tr>
      <w:tr w:rsidR="00EA3404" w:rsidRPr="00EA3404" w:rsidTr="00EA3404">
        <w:trPr>
          <w:trHeight w:val="375"/>
        </w:trPr>
        <w:tc>
          <w:tcPr>
            <w:tcW w:w="3988" w:type="dxa"/>
            <w:vMerge w:val="restart"/>
            <w:tcBorders>
              <w:top w:val="nil"/>
              <w:left w:val="single" w:sz="4" w:space="0" w:color="auto"/>
              <w:bottom w:val="single" w:sz="4" w:space="0" w:color="auto"/>
              <w:right w:val="single" w:sz="4" w:space="0" w:color="auto"/>
            </w:tcBorders>
            <w:shd w:val="clear" w:color="000000" w:fill="E2EFDA"/>
            <w:noWrap/>
            <w:vAlign w:val="center"/>
            <w:hideMark/>
          </w:tcPr>
          <w:p w:rsidR="00EA3404" w:rsidRPr="00EA3404" w:rsidRDefault="00EA3404" w:rsidP="00EA3404">
            <w:pPr>
              <w:spacing w:after="0" w:line="240" w:lineRule="auto"/>
              <w:jc w:val="center"/>
              <w:rPr>
                <w:rFonts w:ascii="Calibri" w:eastAsia="Times New Roman" w:hAnsi="Calibri" w:cs="Times New Roman"/>
                <w:b/>
                <w:bCs/>
                <w:color w:val="000000"/>
                <w:sz w:val="28"/>
                <w:lang w:eastAsia="en-GB"/>
              </w:rPr>
            </w:pPr>
            <w:r w:rsidRPr="00EA3404">
              <w:rPr>
                <w:rFonts w:ascii="Calibri" w:eastAsia="Times New Roman" w:hAnsi="Calibri" w:cs="Times New Roman"/>
                <w:b/>
                <w:bCs/>
                <w:color w:val="000000"/>
                <w:sz w:val="28"/>
                <w:lang w:eastAsia="en-GB"/>
              </w:rPr>
              <w:t>Information</w:t>
            </w:r>
          </w:p>
        </w:tc>
        <w:tc>
          <w:tcPr>
            <w:tcW w:w="1711" w:type="dxa"/>
            <w:tcBorders>
              <w:top w:val="nil"/>
              <w:left w:val="nil"/>
              <w:bottom w:val="single" w:sz="4" w:space="0" w:color="auto"/>
              <w:right w:val="single" w:sz="4" w:space="0" w:color="auto"/>
            </w:tcBorders>
            <w:shd w:val="clear" w:color="000000" w:fill="E2EFDA"/>
            <w:noWrap/>
            <w:vAlign w:val="center"/>
            <w:hideMark/>
          </w:tcPr>
          <w:p w:rsidR="00EA3404" w:rsidRPr="00EA3404" w:rsidRDefault="00EA3404" w:rsidP="00EA3404">
            <w:pPr>
              <w:spacing w:after="0" w:line="240" w:lineRule="auto"/>
              <w:jc w:val="center"/>
              <w:rPr>
                <w:rFonts w:ascii="Calibri" w:eastAsia="Times New Roman" w:hAnsi="Calibri" w:cs="Times New Roman"/>
                <w:b/>
                <w:bCs/>
                <w:color w:val="000000"/>
                <w:sz w:val="28"/>
                <w:lang w:eastAsia="en-GB"/>
              </w:rPr>
            </w:pPr>
            <w:r w:rsidRPr="00EA3404">
              <w:rPr>
                <w:rFonts w:ascii="Calibri" w:eastAsia="Times New Roman" w:hAnsi="Calibri" w:cs="Times New Roman"/>
                <w:b/>
                <w:bCs/>
                <w:color w:val="000000"/>
                <w:sz w:val="28"/>
                <w:lang w:eastAsia="en-GB"/>
              </w:rPr>
              <w:t>2013</w:t>
            </w:r>
          </w:p>
        </w:tc>
        <w:tc>
          <w:tcPr>
            <w:tcW w:w="1711" w:type="dxa"/>
            <w:tcBorders>
              <w:top w:val="nil"/>
              <w:left w:val="nil"/>
              <w:bottom w:val="single" w:sz="4" w:space="0" w:color="auto"/>
              <w:right w:val="single" w:sz="4" w:space="0" w:color="auto"/>
            </w:tcBorders>
            <w:shd w:val="clear" w:color="000000" w:fill="E2EFDA"/>
            <w:noWrap/>
            <w:vAlign w:val="center"/>
            <w:hideMark/>
          </w:tcPr>
          <w:p w:rsidR="00EA3404" w:rsidRPr="00EA3404" w:rsidRDefault="00EA3404" w:rsidP="00EA3404">
            <w:pPr>
              <w:spacing w:after="0" w:line="240" w:lineRule="auto"/>
              <w:jc w:val="center"/>
              <w:rPr>
                <w:rFonts w:ascii="Calibri" w:eastAsia="Times New Roman" w:hAnsi="Calibri" w:cs="Times New Roman"/>
                <w:b/>
                <w:bCs/>
                <w:color w:val="000000"/>
                <w:sz w:val="28"/>
                <w:lang w:eastAsia="en-GB"/>
              </w:rPr>
            </w:pPr>
            <w:r w:rsidRPr="00EA3404">
              <w:rPr>
                <w:rFonts w:ascii="Calibri" w:eastAsia="Times New Roman" w:hAnsi="Calibri" w:cs="Times New Roman"/>
                <w:b/>
                <w:bCs/>
                <w:color w:val="000000"/>
                <w:sz w:val="28"/>
                <w:lang w:eastAsia="en-GB"/>
              </w:rPr>
              <w:t>2014</w:t>
            </w:r>
          </w:p>
        </w:tc>
        <w:tc>
          <w:tcPr>
            <w:tcW w:w="1711" w:type="dxa"/>
            <w:tcBorders>
              <w:top w:val="nil"/>
              <w:left w:val="nil"/>
              <w:bottom w:val="single" w:sz="4" w:space="0" w:color="auto"/>
              <w:right w:val="single" w:sz="4" w:space="0" w:color="auto"/>
            </w:tcBorders>
            <w:shd w:val="clear" w:color="000000" w:fill="E2EFDA"/>
            <w:noWrap/>
            <w:vAlign w:val="center"/>
            <w:hideMark/>
          </w:tcPr>
          <w:p w:rsidR="00EA3404" w:rsidRPr="00EA3404" w:rsidRDefault="00EA3404" w:rsidP="00EA3404">
            <w:pPr>
              <w:spacing w:after="0" w:line="240" w:lineRule="auto"/>
              <w:jc w:val="center"/>
              <w:rPr>
                <w:rFonts w:ascii="Calibri" w:eastAsia="Times New Roman" w:hAnsi="Calibri" w:cs="Times New Roman"/>
                <w:b/>
                <w:bCs/>
                <w:color w:val="000000"/>
                <w:sz w:val="28"/>
                <w:lang w:eastAsia="en-GB"/>
              </w:rPr>
            </w:pPr>
            <w:r w:rsidRPr="00EA3404">
              <w:rPr>
                <w:rFonts w:ascii="Calibri" w:eastAsia="Times New Roman" w:hAnsi="Calibri" w:cs="Times New Roman"/>
                <w:b/>
                <w:bCs/>
                <w:color w:val="000000"/>
                <w:sz w:val="28"/>
                <w:lang w:eastAsia="en-GB"/>
              </w:rPr>
              <w:t>2015</w:t>
            </w:r>
          </w:p>
        </w:tc>
      </w:tr>
      <w:tr w:rsidR="00EA3404" w:rsidRPr="00EA3404" w:rsidTr="00EA3404">
        <w:trPr>
          <w:trHeight w:val="300"/>
        </w:trPr>
        <w:tc>
          <w:tcPr>
            <w:tcW w:w="3988" w:type="dxa"/>
            <w:vMerge/>
            <w:tcBorders>
              <w:top w:val="nil"/>
              <w:left w:val="single" w:sz="4" w:space="0" w:color="auto"/>
              <w:bottom w:val="single" w:sz="4" w:space="0" w:color="auto"/>
              <w:right w:val="single" w:sz="4" w:space="0" w:color="auto"/>
            </w:tcBorders>
            <w:vAlign w:val="center"/>
            <w:hideMark/>
          </w:tcPr>
          <w:p w:rsidR="00EA3404" w:rsidRPr="00EA3404" w:rsidRDefault="00EA3404" w:rsidP="00EA3404">
            <w:pPr>
              <w:spacing w:after="0" w:line="240" w:lineRule="auto"/>
              <w:rPr>
                <w:rFonts w:ascii="Calibri" w:eastAsia="Times New Roman" w:hAnsi="Calibri" w:cs="Times New Roman"/>
                <w:b/>
                <w:bCs/>
                <w:color w:val="000000"/>
                <w:sz w:val="28"/>
                <w:lang w:eastAsia="en-GB"/>
              </w:rPr>
            </w:pPr>
          </w:p>
        </w:tc>
        <w:tc>
          <w:tcPr>
            <w:tcW w:w="1711" w:type="dxa"/>
            <w:tcBorders>
              <w:top w:val="nil"/>
              <w:left w:val="nil"/>
              <w:bottom w:val="single" w:sz="4" w:space="0" w:color="auto"/>
              <w:right w:val="single" w:sz="4" w:space="0" w:color="auto"/>
            </w:tcBorders>
            <w:shd w:val="clear" w:color="000000" w:fill="E2EFDA"/>
            <w:noWrap/>
            <w:vAlign w:val="center"/>
            <w:hideMark/>
          </w:tcPr>
          <w:p w:rsidR="00EA3404" w:rsidRPr="00EA3404" w:rsidRDefault="00EA3404" w:rsidP="00EA3404">
            <w:pPr>
              <w:spacing w:after="0" w:line="240" w:lineRule="auto"/>
              <w:jc w:val="center"/>
              <w:rPr>
                <w:rFonts w:ascii="Calibri" w:eastAsia="Times New Roman" w:hAnsi="Calibri" w:cs="Times New Roman"/>
                <w:b/>
                <w:bCs/>
                <w:color w:val="000000"/>
                <w:sz w:val="28"/>
                <w:lang w:eastAsia="en-GB"/>
              </w:rPr>
            </w:pPr>
            <w:r w:rsidRPr="00EA3404">
              <w:rPr>
                <w:rFonts w:ascii="Calibri" w:eastAsia="Times New Roman" w:hAnsi="Calibri" w:cs="Times New Roman"/>
                <w:b/>
                <w:bCs/>
                <w:color w:val="000000"/>
                <w:sz w:val="28"/>
                <w:lang w:eastAsia="en-GB"/>
              </w:rPr>
              <w:t>Taka '000s</w:t>
            </w:r>
          </w:p>
        </w:tc>
        <w:tc>
          <w:tcPr>
            <w:tcW w:w="1711" w:type="dxa"/>
            <w:tcBorders>
              <w:top w:val="nil"/>
              <w:left w:val="nil"/>
              <w:bottom w:val="single" w:sz="4" w:space="0" w:color="auto"/>
              <w:right w:val="single" w:sz="4" w:space="0" w:color="auto"/>
            </w:tcBorders>
            <w:shd w:val="clear" w:color="000000" w:fill="E2EFDA"/>
            <w:noWrap/>
            <w:vAlign w:val="center"/>
            <w:hideMark/>
          </w:tcPr>
          <w:p w:rsidR="00EA3404" w:rsidRPr="00EA3404" w:rsidRDefault="00EA3404" w:rsidP="00EA3404">
            <w:pPr>
              <w:spacing w:after="0" w:line="240" w:lineRule="auto"/>
              <w:jc w:val="center"/>
              <w:rPr>
                <w:rFonts w:ascii="Calibri" w:eastAsia="Times New Roman" w:hAnsi="Calibri" w:cs="Times New Roman"/>
                <w:b/>
                <w:bCs/>
                <w:color w:val="000000"/>
                <w:sz w:val="28"/>
                <w:lang w:eastAsia="en-GB"/>
              </w:rPr>
            </w:pPr>
            <w:r w:rsidRPr="00EA3404">
              <w:rPr>
                <w:rFonts w:ascii="Calibri" w:eastAsia="Times New Roman" w:hAnsi="Calibri" w:cs="Times New Roman"/>
                <w:b/>
                <w:bCs/>
                <w:color w:val="000000"/>
                <w:sz w:val="28"/>
                <w:lang w:eastAsia="en-GB"/>
              </w:rPr>
              <w:t>Taka '000s</w:t>
            </w:r>
          </w:p>
        </w:tc>
        <w:tc>
          <w:tcPr>
            <w:tcW w:w="1711" w:type="dxa"/>
            <w:tcBorders>
              <w:top w:val="nil"/>
              <w:left w:val="nil"/>
              <w:bottom w:val="single" w:sz="4" w:space="0" w:color="auto"/>
              <w:right w:val="single" w:sz="4" w:space="0" w:color="auto"/>
            </w:tcBorders>
            <w:shd w:val="clear" w:color="000000" w:fill="E2EFDA"/>
            <w:noWrap/>
            <w:vAlign w:val="center"/>
            <w:hideMark/>
          </w:tcPr>
          <w:p w:rsidR="00EA3404" w:rsidRPr="00EA3404" w:rsidRDefault="00EA3404" w:rsidP="00EA3404">
            <w:pPr>
              <w:spacing w:after="0" w:line="240" w:lineRule="auto"/>
              <w:jc w:val="center"/>
              <w:rPr>
                <w:rFonts w:ascii="Calibri" w:eastAsia="Times New Roman" w:hAnsi="Calibri" w:cs="Times New Roman"/>
                <w:b/>
                <w:bCs/>
                <w:color w:val="000000"/>
                <w:sz w:val="28"/>
                <w:lang w:eastAsia="en-GB"/>
              </w:rPr>
            </w:pPr>
            <w:r w:rsidRPr="00EA3404">
              <w:rPr>
                <w:rFonts w:ascii="Calibri" w:eastAsia="Times New Roman" w:hAnsi="Calibri" w:cs="Times New Roman"/>
                <w:b/>
                <w:bCs/>
                <w:color w:val="000000"/>
                <w:sz w:val="28"/>
                <w:lang w:eastAsia="en-GB"/>
              </w:rPr>
              <w:t>Taka '000s</w:t>
            </w:r>
          </w:p>
        </w:tc>
      </w:tr>
      <w:tr w:rsidR="00EA3404" w:rsidRPr="00EA3404" w:rsidTr="00EA3404">
        <w:trPr>
          <w:trHeight w:val="315"/>
        </w:trPr>
        <w:tc>
          <w:tcPr>
            <w:tcW w:w="3988" w:type="dxa"/>
            <w:tcBorders>
              <w:top w:val="nil"/>
              <w:left w:val="single" w:sz="4" w:space="0" w:color="auto"/>
              <w:bottom w:val="single" w:sz="4" w:space="0" w:color="auto"/>
              <w:right w:val="single" w:sz="4" w:space="0" w:color="auto"/>
            </w:tcBorders>
            <w:shd w:val="clear" w:color="auto" w:fill="auto"/>
            <w:noWrap/>
            <w:vAlign w:val="center"/>
            <w:hideMark/>
          </w:tcPr>
          <w:p w:rsidR="00EA3404" w:rsidRPr="00EA3404" w:rsidRDefault="00EA3404" w:rsidP="00EA3404">
            <w:pPr>
              <w:spacing w:after="0" w:line="240" w:lineRule="auto"/>
              <w:jc w:val="center"/>
              <w:rPr>
                <w:rFonts w:ascii="Calibri" w:eastAsia="Times New Roman" w:hAnsi="Calibri" w:cs="Times New Roman"/>
                <w:color w:val="000000"/>
                <w:sz w:val="24"/>
                <w:szCs w:val="24"/>
                <w:lang w:eastAsia="en-GB"/>
              </w:rPr>
            </w:pPr>
            <w:r w:rsidRPr="00EA3404">
              <w:rPr>
                <w:rFonts w:ascii="Calibri" w:eastAsia="Times New Roman" w:hAnsi="Calibri" w:cs="Times New Roman"/>
                <w:color w:val="000000"/>
                <w:sz w:val="24"/>
                <w:szCs w:val="24"/>
                <w:lang w:eastAsia="en-GB"/>
              </w:rPr>
              <w:t>Cost of goods sold</w:t>
            </w:r>
          </w:p>
        </w:tc>
        <w:tc>
          <w:tcPr>
            <w:tcW w:w="1711" w:type="dxa"/>
            <w:tcBorders>
              <w:top w:val="nil"/>
              <w:left w:val="nil"/>
              <w:bottom w:val="single" w:sz="4" w:space="0" w:color="auto"/>
              <w:right w:val="single" w:sz="4" w:space="0" w:color="auto"/>
            </w:tcBorders>
            <w:shd w:val="clear" w:color="auto" w:fill="auto"/>
            <w:noWrap/>
            <w:vAlign w:val="center"/>
            <w:hideMark/>
          </w:tcPr>
          <w:p w:rsidR="00EA3404" w:rsidRPr="00EA3404" w:rsidRDefault="00EA3404" w:rsidP="00EA3404">
            <w:pPr>
              <w:spacing w:after="0" w:line="240" w:lineRule="auto"/>
              <w:jc w:val="center"/>
              <w:rPr>
                <w:rFonts w:ascii="Calibri" w:eastAsia="Times New Roman" w:hAnsi="Calibri" w:cs="Times New Roman"/>
                <w:color w:val="000000"/>
                <w:sz w:val="24"/>
                <w:szCs w:val="24"/>
                <w:lang w:eastAsia="en-GB"/>
              </w:rPr>
            </w:pPr>
            <w:r w:rsidRPr="00EA3404">
              <w:rPr>
                <w:rFonts w:ascii="Calibri" w:eastAsia="Times New Roman" w:hAnsi="Calibri" w:cs="Times New Roman"/>
                <w:color w:val="000000"/>
                <w:sz w:val="24"/>
                <w:szCs w:val="24"/>
                <w:lang w:eastAsia="en-GB"/>
              </w:rPr>
              <w:t>17,501,330</w:t>
            </w:r>
          </w:p>
        </w:tc>
        <w:tc>
          <w:tcPr>
            <w:tcW w:w="1711" w:type="dxa"/>
            <w:tcBorders>
              <w:top w:val="nil"/>
              <w:left w:val="nil"/>
              <w:bottom w:val="single" w:sz="4" w:space="0" w:color="auto"/>
              <w:right w:val="single" w:sz="4" w:space="0" w:color="auto"/>
            </w:tcBorders>
            <w:shd w:val="clear" w:color="auto" w:fill="auto"/>
            <w:noWrap/>
            <w:vAlign w:val="center"/>
            <w:hideMark/>
          </w:tcPr>
          <w:p w:rsidR="00EA3404" w:rsidRPr="00EA3404" w:rsidRDefault="00EA3404" w:rsidP="00EA3404">
            <w:pPr>
              <w:spacing w:after="0" w:line="240" w:lineRule="auto"/>
              <w:jc w:val="center"/>
              <w:rPr>
                <w:rFonts w:ascii="Calibri" w:eastAsia="Times New Roman" w:hAnsi="Calibri" w:cs="Times New Roman"/>
                <w:color w:val="000000"/>
                <w:sz w:val="24"/>
                <w:szCs w:val="24"/>
                <w:lang w:eastAsia="en-GB"/>
              </w:rPr>
            </w:pPr>
            <w:r w:rsidRPr="00EA3404">
              <w:rPr>
                <w:rFonts w:ascii="Calibri" w:eastAsia="Times New Roman" w:hAnsi="Calibri" w:cs="Times New Roman"/>
                <w:color w:val="000000"/>
                <w:sz w:val="24"/>
                <w:szCs w:val="24"/>
                <w:lang w:eastAsia="en-GB"/>
              </w:rPr>
              <w:t>19,332,215</w:t>
            </w:r>
          </w:p>
        </w:tc>
        <w:tc>
          <w:tcPr>
            <w:tcW w:w="1711" w:type="dxa"/>
            <w:tcBorders>
              <w:top w:val="nil"/>
              <w:left w:val="nil"/>
              <w:bottom w:val="single" w:sz="4" w:space="0" w:color="auto"/>
              <w:right w:val="single" w:sz="4" w:space="0" w:color="auto"/>
            </w:tcBorders>
            <w:shd w:val="clear" w:color="auto" w:fill="auto"/>
            <w:noWrap/>
            <w:vAlign w:val="center"/>
            <w:hideMark/>
          </w:tcPr>
          <w:p w:rsidR="00EA3404" w:rsidRPr="00EA3404" w:rsidRDefault="00EA3404" w:rsidP="00EA3404">
            <w:pPr>
              <w:spacing w:after="0" w:line="240" w:lineRule="auto"/>
              <w:jc w:val="center"/>
              <w:rPr>
                <w:rFonts w:ascii="Calibri" w:eastAsia="Times New Roman" w:hAnsi="Calibri" w:cs="Times New Roman"/>
                <w:color w:val="000000"/>
                <w:sz w:val="24"/>
                <w:szCs w:val="24"/>
                <w:lang w:eastAsia="en-GB"/>
              </w:rPr>
            </w:pPr>
            <w:r w:rsidRPr="00EA3404">
              <w:rPr>
                <w:rFonts w:ascii="Calibri" w:eastAsia="Times New Roman" w:hAnsi="Calibri" w:cs="Times New Roman"/>
                <w:color w:val="000000"/>
                <w:sz w:val="24"/>
                <w:szCs w:val="24"/>
                <w:lang w:eastAsia="en-GB"/>
              </w:rPr>
              <w:t>21,212,511</w:t>
            </w:r>
          </w:p>
        </w:tc>
      </w:tr>
      <w:tr w:rsidR="00EA3404" w:rsidRPr="00EA3404" w:rsidTr="00EA3404">
        <w:trPr>
          <w:trHeight w:val="315"/>
        </w:trPr>
        <w:tc>
          <w:tcPr>
            <w:tcW w:w="3988" w:type="dxa"/>
            <w:tcBorders>
              <w:top w:val="nil"/>
              <w:left w:val="single" w:sz="4" w:space="0" w:color="auto"/>
              <w:bottom w:val="single" w:sz="4" w:space="0" w:color="auto"/>
              <w:right w:val="single" w:sz="4" w:space="0" w:color="auto"/>
            </w:tcBorders>
            <w:shd w:val="clear" w:color="auto" w:fill="auto"/>
            <w:noWrap/>
            <w:vAlign w:val="center"/>
            <w:hideMark/>
          </w:tcPr>
          <w:p w:rsidR="00EA3404" w:rsidRPr="00EA3404" w:rsidRDefault="00EA3404" w:rsidP="00EA3404">
            <w:pPr>
              <w:spacing w:after="0" w:line="240" w:lineRule="auto"/>
              <w:jc w:val="center"/>
              <w:rPr>
                <w:rFonts w:ascii="Calibri" w:eastAsia="Times New Roman" w:hAnsi="Calibri" w:cs="Times New Roman"/>
                <w:color w:val="000000"/>
                <w:sz w:val="24"/>
                <w:szCs w:val="24"/>
                <w:lang w:eastAsia="en-GB"/>
              </w:rPr>
            </w:pPr>
            <w:r w:rsidRPr="00EA3404">
              <w:rPr>
                <w:rFonts w:ascii="Calibri" w:eastAsia="Times New Roman" w:hAnsi="Calibri" w:cs="Times New Roman"/>
                <w:color w:val="000000"/>
                <w:sz w:val="24"/>
                <w:szCs w:val="24"/>
                <w:lang w:eastAsia="en-GB"/>
              </w:rPr>
              <w:t>Average inventory</w:t>
            </w:r>
          </w:p>
        </w:tc>
        <w:tc>
          <w:tcPr>
            <w:tcW w:w="1711" w:type="dxa"/>
            <w:tcBorders>
              <w:top w:val="nil"/>
              <w:left w:val="nil"/>
              <w:bottom w:val="single" w:sz="4" w:space="0" w:color="auto"/>
              <w:right w:val="single" w:sz="4" w:space="0" w:color="auto"/>
            </w:tcBorders>
            <w:shd w:val="clear" w:color="auto" w:fill="auto"/>
            <w:noWrap/>
            <w:vAlign w:val="center"/>
            <w:hideMark/>
          </w:tcPr>
          <w:p w:rsidR="00EA3404" w:rsidRPr="00EA3404" w:rsidRDefault="00EA3404" w:rsidP="00EA3404">
            <w:pPr>
              <w:spacing w:after="0" w:line="240" w:lineRule="auto"/>
              <w:jc w:val="center"/>
              <w:rPr>
                <w:rFonts w:ascii="Calibri" w:eastAsia="Times New Roman" w:hAnsi="Calibri" w:cs="Times New Roman"/>
                <w:color w:val="000000"/>
                <w:sz w:val="24"/>
                <w:szCs w:val="24"/>
                <w:lang w:eastAsia="en-GB"/>
              </w:rPr>
            </w:pPr>
            <w:r w:rsidRPr="00EA3404">
              <w:rPr>
                <w:rFonts w:ascii="Calibri" w:eastAsia="Times New Roman" w:hAnsi="Calibri" w:cs="Times New Roman"/>
                <w:color w:val="000000"/>
                <w:sz w:val="24"/>
                <w:szCs w:val="24"/>
                <w:lang w:eastAsia="en-GB"/>
              </w:rPr>
              <w:t>6,626,703</w:t>
            </w:r>
          </w:p>
        </w:tc>
        <w:tc>
          <w:tcPr>
            <w:tcW w:w="1711" w:type="dxa"/>
            <w:tcBorders>
              <w:top w:val="nil"/>
              <w:left w:val="nil"/>
              <w:bottom w:val="single" w:sz="4" w:space="0" w:color="auto"/>
              <w:right w:val="single" w:sz="4" w:space="0" w:color="auto"/>
            </w:tcBorders>
            <w:shd w:val="clear" w:color="auto" w:fill="auto"/>
            <w:noWrap/>
            <w:vAlign w:val="center"/>
            <w:hideMark/>
          </w:tcPr>
          <w:p w:rsidR="00EA3404" w:rsidRPr="00EA3404" w:rsidRDefault="00EA3404" w:rsidP="00EA3404">
            <w:pPr>
              <w:spacing w:after="0" w:line="240" w:lineRule="auto"/>
              <w:jc w:val="center"/>
              <w:rPr>
                <w:rFonts w:ascii="Calibri" w:eastAsia="Times New Roman" w:hAnsi="Calibri" w:cs="Times New Roman"/>
                <w:color w:val="000000"/>
                <w:sz w:val="24"/>
                <w:szCs w:val="24"/>
                <w:lang w:eastAsia="en-GB"/>
              </w:rPr>
            </w:pPr>
            <w:r w:rsidRPr="00EA3404">
              <w:rPr>
                <w:rFonts w:ascii="Calibri" w:eastAsia="Times New Roman" w:hAnsi="Calibri" w:cs="Times New Roman"/>
                <w:color w:val="000000"/>
                <w:sz w:val="24"/>
                <w:szCs w:val="24"/>
                <w:lang w:eastAsia="en-GB"/>
              </w:rPr>
              <w:t>18,416,773</w:t>
            </w:r>
          </w:p>
        </w:tc>
        <w:tc>
          <w:tcPr>
            <w:tcW w:w="1711" w:type="dxa"/>
            <w:tcBorders>
              <w:top w:val="nil"/>
              <w:left w:val="nil"/>
              <w:bottom w:val="single" w:sz="4" w:space="0" w:color="auto"/>
              <w:right w:val="single" w:sz="4" w:space="0" w:color="auto"/>
            </w:tcBorders>
            <w:shd w:val="clear" w:color="auto" w:fill="auto"/>
            <w:noWrap/>
            <w:vAlign w:val="center"/>
            <w:hideMark/>
          </w:tcPr>
          <w:p w:rsidR="00EA3404" w:rsidRPr="00EA3404" w:rsidRDefault="00EA3404" w:rsidP="00EA3404">
            <w:pPr>
              <w:spacing w:after="0" w:line="240" w:lineRule="auto"/>
              <w:jc w:val="center"/>
              <w:rPr>
                <w:rFonts w:ascii="Calibri" w:eastAsia="Times New Roman" w:hAnsi="Calibri" w:cs="Times New Roman"/>
                <w:color w:val="000000"/>
                <w:sz w:val="24"/>
                <w:szCs w:val="24"/>
                <w:lang w:eastAsia="en-GB"/>
              </w:rPr>
            </w:pPr>
            <w:r w:rsidRPr="00EA3404">
              <w:rPr>
                <w:rFonts w:ascii="Calibri" w:eastAsia="Times New Roman" w:hAnsi="Calibri" w:cs="Times New Roman"/>
                <w:color w:val="000000"/>
                <w:sz w:val="24"/>
                <w:szCs w:val="24"/>
                <w:lang w:eastAsia="en-GB"/>
              </w:rPr>
              <w:t>8,825,787</w:t>
            </w:r>
          </w:p>
        </w:tc>
      </w:tr>
      <w:tr w:rsidR="00EA3404" w:rsidRPr="00EA3404" w:rsidTr="00EA3404">
        <w:trPr>
          <w:trHeight w:val="315"/>
        </w:trPr>
        <w:tc>
          <w:tcPr>
            <w:tcW w:w="3988" w:type="dxa"/>
            <w:tcBorders>
              <w:top w:val="nil"/>
              <w:left w:val="single" w:sz="4" w:space="0" w:color="auto"/>
              <w:bottom w:val="single" w:sz="4" w:space="0" w:color="auto"/>
              <w:right w:val="single" w:sz="4" w:space="0" w:color="auto"/>
            </w:tcBorders>
            <w:shd w:val="clear" w:color="auto" w:fill="auto"/>
            <w:noWrap/>
            <w:vAlign w:val="center"/>
            <w:hideMark/>
          </w:tcPr>
          <w:p w:rsidR="00EA3404" w:rsidRPr="00EA3404" w:rsidRDefault="00EA3404" w:rsidP="00EA3404">
            <w:pPr>
              <w:spacing w:after="0" w:line="240" w:lineRule="auto"/>
              <w:jc w:val="center"/>
              <w:rPr>
                <w:rFonts w:ascii="Calibri" w:eastAsia="Times New Roman" w:hAnsi="Calibri" w:cs="Times New Roman"/>
                <w:color w:val="000000"/>
                <w:sz w:val="24"/>
                <w:szCs w:val="24"/>
                <w:lang w:eastAsia="en-GB"/>
              </w:rPr>
            </w:pPr>
            <w:r w:rsidRPr="00EA3404">
              <w:rPr>
                <w:rFonts w:ascii="Calibri" w:eastAsia="Times New Roman" w:hAnsi="Calibri" w:cs="Times New Roman"/>
                <w:color w:val="000000"/>
                <w:sz w:val="24"/>
                <w:szCs w:val="24"/>
                <w:lang w:eastAsia="en-GB"/>
              </w:rPr>
              <w:t>Credit sales</w:t>
            </w:r>
          </w:p>
        </w:tc>
        <w:tc>
          <w:tcPr>
            <w:tcW w:w="1711" w:type="dxa"/>
            <w:tcBorders>
              <w:top w:val="nil"/>
              <w:left w:val="nil"/>
              <w:bottom w:val="single" w:sz="4" w:space="0" w:color="auto"/>
              <w:right w:val="single" w:sz="4" w:space="0" w:color="auto"/>
            </w:tcBorders>
            <w:shd w:val="clear" w:color="auto" w:fill="auto"/>
            <w:noWrap/>
            <w:vAlign w:val="center"/>
            <w:hideMark/>
          </w:tcPr>
          <w:p w:rsidR="00EA3404" w:rsidRPr="00EA3404" w:rsidRDefault="00EA3404" w:rsidP="00EA3404">
            <w:pPr>
              <w:spacing w:after="0" w:line="240" w:lineRule="auto"/>
              <w:jc w:val="center"/>
              <w:rPr>
                <w:rFonts w:ascii="Calibri" w:eastAsia="Times New Roman" w:hAnsi="Calibri" w:cs="Times New Roman"/>
                <w:color w:val="000000"/>
                <w:sz w:val="24"/>
                <w:szCs w:val="24"/>
                <w:lang w:eastAsia="en-GB"/>
              </w:rPr>
            </w:pPr>
            <w:r w:rsidRPr="00EA3404">
              <w:rPr>
                <w:rFonts w:ascii="Calibri" w:eastAsia="Times New Roman" w:hAnsi="Calibri" w:cs="Times New Roman"/>
                <w:color w:val="000000"/>
                <w:sz w:val="24"/>
                <w:szCs w:val="24"/>
                <w:lang w:eastAsia="en-GB"/>
              </w:rPr>
              <w:t>244,645</w:t>
            </w:r>
          </w:p>
        </w:tc>
        <w:tc>
          <w:tcPr>
            <w:tcW w:w="1711" w:type="dxa"/>
            <w:tcBorders>
              <w:top w:val="nil"/>
              <w:left w:val="nil"/>
              <w:bottom w:val="single" w:sz="4" w:space="0" w:color="auto"/>
              <w:right w:val="single" w:sz="4" w:space="0" w:color="auto"/>
            </w:tcBorders>
            <w:shd w:val="clear" w:color="auto" w:fill="auto"/>
            <w:noWrap/>
            <w:vAlign w:val="center"/>
            <w:hideMark/>
          </w:tcPr>
          <w:p w:rsidR="00EA3404" w:rsidRPr="00EA3404" w:rsidRDefault="00EA3404" w:rsidP="00EA3404">
            <w:pPr>
              <w:spacing w:after="0" w:line="240" w:lineRule="auto"/>
              <w:jc w:val="center"/>
              <w:rPr>
                <w:rFonts w:ascii="Calibri" w:eastAsia="Times New Roman" w:hAnsi="Calibri" w:cs="Times New Roman"/>
                <w:color w:val="000000"/>
                <w:sz w:val="24"/>
                <w:szCs w:val="24"/>
                <w:lang w:eastAsia="en-GB"/>
              </w:rPr>
            </w:pPr>
            <w:r w:rsidRPr="00EA3404">
              <w:rPr>
                <w:rFonts w:ascii="Calibri" w:eastAsia="Times New Roman" w:hAnsi="Calibri" w:cs="Times New Roman"/>
                <w:color w:val="000000"/>
                <w:sz w:val="24"/>
                <w:szCs w:val="24"/>
                <w:lang w:eastAsia="en-GB"/>
              </w:rPr>
              <w:t>1,067,947</w:t>
            </w:r>
          </w:p>
        </w:tc>
        <w:tc>
          <w:tcPr>
            <w:tcW w:w="1711" w:type="dxa"/>
            <w:tcBorders>
              <w:top w:val="nil"/>
              <w:left w:val="nil"/>
              <w:bottom w:val="single" w:sz="4" w:space="0" w:color="auto"/>
              <w:right w:val="single" w:sz="4" w:space="0" w:color="auto"/>
            </w:tcBorders>
            <w:shd w:val="clear" w:color="auto" w:fill="auto"/>
            <w:noWrap/>
            <w:vAlign w:val="center"/>
            <w:hideMark/>
          </w:tcPr>
          <w:p w:rsidR="00EA3404" w:rsidRPr="00EA3404" w:rsidRDefault="00EA3404" w:rsidP="00EA3404">
            <w:pPr>
              <w:spacing w:after="0" w:line="240" w:lineRule="auto"/>
              <w:jc w:val="center"/>
              <w:rPr>
                <w:rFonts w:ascii="Calibri" w:eastAsia="Times New Roman" w:hAnsi="Calibri" w:cs="Times New Roman"/>
                <w:color w:val="000000"/>
                <w:sz w:val="24"/>
                <w:szCs w:val="24"/>
                <w:lang w:eastAsia="en-GB"/>
              </w:rPr>
            </w:pPr>
            <w:r w:rsidRPr="00EA3404">
              <w:rPr>
                <w:rFonts w:ascii="Calibri" w:eastAsia="Times New Roman" w:hAnsi="Calibri" w:cs="Times New Roman"/>
                <w:color w:val="000000"/>
                <w:sz w:val="24"/>
                <w:szCs w:val="24"/>
                <w:lang w:eastAsia="en-GB"/>
              </w:rPr>
              <w:t>817,017</w:t>
            </w:r>
          </w:p>
        </w:tc>
      </w:tr>
      <w:tr w:rsidR="00EA3404" w:rsidRPr="00EA3404" w:rsidTr="00EA3404">
        <w:trPr>
          <w:trHeight w:val="315"/>
        </w:trPr>
        <w:tc>
          <w:tcPr>
            <w:tcW w:w="3988" w:type="dxa"/>
            <w:tcBorders>
              <w:top w:val="nil"/>
              <w:left w:val="single" w:sz="4" w:space="0" w:color="auto"/>
              <w:bottom w:val="single" w:sz="4" w:space="0" w:color="auto"/>
              <w:right w:val="single" w:sz="4" w:space="0" w:color="auto"/>
            </w:tcBorders>
            <w:shd w:val="clear" w:color="auto" w:fill="auto"/>
            <w:noWrap/>
            <w:vAlign w:val="center"/>
            <w:hideMark/>
          </w:tcPr>
          <w:p w:rsidR="00EA3404" w:rsidRPr="00EA3404" w:rsidRDefault="00EA3404" w:rsidP="00EA3404">
            <w:pPr>
              <w:spacing w:after="0" w:line="240" w:lineRule="auto"/>
              <w:jc w:val="center"/>
              <w:rPr>
                <w:rFonts w:ascii="Calibri" w:eastAsia="Times New Roman" w:hAnsi="Calibri" w:cs="Times New Roman"/>
                <w:color w:val="000000"/>
                <w:sz w:val="24"/>
                <w:szCs w:val="24"/>
                <w:lang w:eastAsia="en-GB"/>
              </w:rPr>
            </w:pPr>
            <w:r w:rsidRPr="00EA3404">
              <w:rPr>
                <w:rFonts w:ascii="Calibri" w:eastAsia="Times New Roman" w:hAnsi="Calibri" w:cs="Times New Roman"/>
                <w:color w:val="000000"/>
                <w:sz w:val="24"/>
                <w:szCs w:val="24"/>
                <w:lang w:eastAsia="en-GB"/>
              </w:rPr>
              <w:t>Average accounts receivables</w:t>
            </w:r>
          </w:p>
        </w:tc>
        <w:tc>
          <w:tcPr>
            <w:tcW w:w="1711" w:type="dxa"/>
            <w:tcBorders>
              <w:top w:val="nil"/>
              <w:left w:val="nil"/>
              <w:bottom w:val="single" w:sz="4" w:space="0" w:color="auto"/>
              <w:right w:val="single" w:sz="4" w:space="0" w:color="auto"/>
            </w:tcBorders>
            <w:shd w:val="clear" w:color="auto" w:fill="auto"/>
            <w:noWrap/>
            <w:vAlign w:val="center"/>
            <w:hideMark/>
          </w:tcPr>
          <w:p w:rsidR="00EA3404" w:rsidRPr="00EA3404" w:rsidRDefault="00EA3404" w:rsidP="00EA3404">
            <w:pPr>
              <w:spacing w:after="0" w:line="240" w:lineRule="auto"/>
              <w:jc w:val="center"/>
              <w:rPr>
                <w:rFonts w:ascii="Calibri" w:eastAsia="Times New Roman" w:hAnsi="Calibri" w:cs="Times New Roman"/>
                <w:color w:val="000000"/>
                <w:sz w:val="24"/>
                <w:szCs w:val="24"/>
                <w:lang w:eastAsia="en-GB"/>
              </w:rPr>
            </w:pPr>
            <w:r w:rsidRPr="00EA3404">
              <w:rPr>
                <w:rFonts w:ascii="Calibri" w:eastAsia="Times New Roman" w:hAnsi="Calibri" w:cs="Times New Roman"/>
                <w:color w:val="000000"/>
                <w:sz w:val="24"/>
                <w:szCs w:val="24"/>
                <w:lang w:eastAsia="en-GB"/>
              </w:rPr>
              <w:t>770,917</w:t>
            </w:r>
          </w:p>
        </w:tc>
        <w:tc>
          <w:tcPr>
            <w:tcW w:w="1711" w:type="dxa"/>
            <w:tcBorders>
              <w:top w:val="nil"/>
              <w:left w:val="nil"/>
              <w:bottom w:val="single" w:sz="4" w:space="0" w:color="auto"/>
              <w:right w:val="single" w:sz="4" w:space="0" w:color="auto"/>
            </w:tcBorders>
            <w:shd w:val="clear" w:color="auto" w:fill="auto"/>
            <w:noWrap/>
            <w:vAlign w:val="center"/>
            <w:hideMark/>
          </w:tcPr>
          <w:p w:rsidR="00EA3404" w:rsidRPr="00EA3404" w:rsidRDefault="00EA3404" w:rsidP="00EA3404">
            <w:pPr>
              <w:spacing w:after="0" w:line="240" w:lineRule="auto"/>
              <w:jc w:val="center"/>
              <w:rPr>
                <w:rFonts w:ascii="Calibri" w:eastAsia="Times New Roman" w:hAnsi="Calibri" w:cs="Times New Roman"/>
                <w:color w:val="000000"/>
                <w:sz w:val="24"/>
                <w:szCs w:val="24"/>
                <w:lang w:eastAsia="en-GB"/>
              </w:rPr>
            </w:pPr>
            <w:r w:rsidRPr="00EA3404">
              <w:rPr>
                <w:rFonts w:ascii="Calibri" w:eastAsia="Times New Roman" w:hAnsi="Calibri" w:cs="Times New Roman"/>
                <w:color w:val="000000"/>
                <w:sz w:val="24"/>
                <w:szCs w:val="24"/>
                <w:lang w:eastAsia="en-GB"/>
              </w:rPr>
              <w:t>1,268,867</w:t>
            </w:r>
          </w:p>
        </w:tc>
        <w:tc>
          <w:tcPr>
            <w:tcW w:w="1711" w:type="dxa"/>
            <w:tcBorders>
              <w:top w:val="nil"/>
              <w:left w:val="nil"/>
              <w:bottom w:val="single" w:sz="4" w:space="0" w:color="auto"/>
              <w:right w:val="single" w:sz="4" w:space="0" w:color="auto"/>
            </w:tcBorders>
            <w:shd w:val="clear" w:color="auto" w:fill="auto"/>
            <w:noWrap/>
            <w:vAlign w:val="center"/>
            <w:hideMark/>
          </w:tcPr>
          <w:p w:rsidR="00EA3404" w:rsidRPr="00EA3404" w:rsidRDefault="00EA3404" w:rsidP="00EA3404">
            <w:pPr>
              <w:spacing w:after="0" w:line="240" w:lineRule="auto"/>
              <w:jc w:val="center"/>
              <w:rPr>
                <w:rFonts w:ascii="Calibri" w:eastAsia="Times New Roman" w:hAnsi="Calibri" w:cs="Times New Roman"/>
                <w:color w:val="000000"/>
                <w:sz w:val="24"/>
                <w:szCs w:val="24"/>
                <w:lang w:eastAsia="en-GB"/>
              </w:rPr>
            </w:pPr>
            <w:r w:rsidRPr="00EA3404">
              <w:rPr>
                <w:rFonts w:ascii="Calibri" w:eastAsia="Times New Roman" w:hAnsi="Calibri" w:cs="Times New Roman"/>
                <w:color w:val="000000"/>
                <w:sz w:val="24"/>
                <w:szCs w:val="24"/>
                <w:lang w:eastAsia="en-GB"/>
              </w:rPr>
              <w:t>1,047,165</w:t>
            </w:r>
          </w:p>
        </w:tc>
      </w:tr>
      <w:tr w:rsidR="00EA3404" w:rsidRPr="00EA3404" w:rsidTr="00EA3404">
        <w:trPr>
          <w:trHeight w:val="315"/>
        </w:trPr>
        <w:tc>
          <w:tcPr>
            <w:tcW w:w="3988" w:type="dxa"/>
            <w:tcBorders>
              <w:top w:val="nil"/>
              <w:left w:val="single" w:sz="4" w:space="0" w:color="auto"/>
              <w:bottom w:val="single" w:sz="4" w:space="0" w:color="auto"/>
              <w:right w:val="single" w:sz="4" w:space="0" w:color="auto"/>
            </w:tcBorders>
            <w:shd w:val="clear" w:color="auto" w:fill="auto"/>
            <w:noWrap/>
            <w:vAlign w:val="center"/>
            <w:hideMark/>
          </w:tcPr>
          <w:p w:rsidR="00EA3404" w:rsidRPr="00EA3404" w:rsidRDefault="00EA3404" w:rsidP="00EA3404">
            <w:pPr>
              <w:spacing w:after="0" w:line="240" w:lineRule="auto"/>
              <w:jc w:val="center"/>
              <w:rPr>
                <w:rFonts w:ascii="Calibri" w:eastAsia="Times New Roman" w:hAnsi="Calibri" w:cs="Times New Roman"/>
                <w:color w:val="000000"/>
                <w:sz w:val="24"/>
                <w:szCs w:val="24"/>
                <w:lang w:eastAsia="en-GB"/>
              </w:rPr>
            </w:pPr>
            <w:r w:rsidRPr="00EA3404">
              <w:rPr>
                <w:rFonts w:ascii="Calibri" w:eastAsia="Times New Roman" w:hAnsi="Calibri" w:cs="Times New Roman"/>
                <w:color w:val="000000"/>
                <w:sz w:val="24"/>
                <w:szCs w:val="24"/>
                <w:lang w:eastAsia="en-GB"/>
              </w:rPr>
              <w:t>Credit purchase</w:t>
            </w:r>
          </w:p>
        </w:tc>
        <w:tc>
          <w:tcPr>
            <w:tcW w:w="1711" w:type="dxa"/>
            <w:tcBorders>
              <w:top w:val="nil"/>
              <w:left w:val="nil"/>
              <w:bottom w:val="single" w:sz="4" w:space="0" w:color="auto"/>
              <w:right w:val="single" w:sz="4" w:space="0" w:color="auto"/>
            </w:tcBorders>
            <w:shd w:val="clear" w:color="auto" w:fill="auto"/>
            <w:noWrap/>
            <w:vAlign w:val="center"/>
            <w:hideMark/>
          </w:tcPr>
          <w:p w:rsidR="00EA3404" w:rsidRPr="00EA3404" w:rsidRDefault="00EA3404" w:rsidP="00EA3404">
            <w:pPr>
              <w:spacing w:after="0" w:line="240" w:lineRule="auto"/>
              <w:jc w:val="center"/>
              <w:rPr>
                <w:rFonts w:ascii="Calibri" w:eastAsia="Times New Roman" w:hAnsi="Calibri" w:cs="Times New Roman"/>
                <w:color w:val="000000"/>
                <w:sz w:val="24"/>
                <w:szCs w:val="24"/>
                <w:lang w:eastAsia="en-GB"/>
              </w:rPr>
            </w:pPr>
            <w:r w:rsidRPr="00EA3404">
              <w:rPr>
                <w:rFonts w:ascii="Calibri" w:eastAsia="Times New Roman" w:hAnsi="Calibri" w:cs="Times New Roman"/>
                <w:color w:val="000000"/>
                <w:sz w:val="24"/>
                <w:szCs w:val="24"/>
                <w:lang w:eastAsia="en-GB"/>
              </w:rPr>
              <w:t>1,552,406</w:t>
            </w:r>
          </w:p>
        </w:tc>
        <w:tc>
          <w:tcPr>
            <w:tcW w:w="1711" w:type="dxa"/>
            <w:tcBorders>
              <w:top w:val="nil"/>
              <w:left w:val="nil"/>
              <w:bottom w:val="single" w:sz="4" w:space="0" w:color="auto"/>
              <w:right w:val="single" w:sz="4" w:space="0" w:color="auto"/>
            </w:tcBorders>
            <w:shd w:val="clear" w:color="auto" w:fill="auto"/>
            <w:noWrap/>
            <w:vAlign w:val="center"/>
            <w:hideMark/>
          </w:tcPr>
          <w:p w:rsidR="00EA3404" w:rsidRPr="00EA3404" w:rsidRDefault="00EA3404" w:rsidP="00EA3404">
            <w:pPr>
              <w:spacing w:after="0" w:line="240" w:lineRule="auto"/>
              <w:jc w:val="center"/>
              <w:rPr>
                <w:rFonts w:ascii="Calibri" w:eastAsia="Times New Roman" w:hAnsi="Calibri" w:cs="Times New Roman"/>
                <w:color w:val="000000"/>
                <w:sz w:val="24"/>
                <w:szCs w:val="24"/>
                <w:lang w:eastAsia="en-GB"/>
              </w:rPr>
            </w:pPr>
            <w:r w:rsidRPr="00EA3404">
              <w:rPr>
                <w:rFonts w:ascii="Calibri" w:eastAsia="Times New Roman" w:hAnsi="Calibri" w:cs="Times New Roman"/>
                <w:color w:val="000000"/>
                <w:sz w:val="24"/>
                <w:szCs w:val="24"/>
                <w:lang w:eastAsia="en-GB"/>
              </w:rPr>
              <w:t>3,262,797</w:t>
            </w:r>
          </w:p>
        </w:tc>
        <w:tc>
          <w:tcPr>
            <w:tcW w:w="1711" w:type="dxa"/>
            <w:tcBorders>
              <w:top w:val="nil"/>
              <w:left w:val="nil"/>
              <w:bottom w:val="single" w:sz="4" w:space="0" w:color="auto"/>
              <w:right w:val="single" w:sz="4" w:space="0" w:color="auto"/>
            </w:tcBorders>
            <w:shd w:val="clear" w:color="auto" w:fill="auto"/>
            <w:noWrap/>
            <w:vAlign w:val="center"/>
            <w:hideMark/>
          </w:tcPr>
          <w:p w:rsidR="00EA3404" w:rsidRPr="00EA3404" w:rsidRDefault="00EA3404" w:rsidP="00EA3404">
            <w:pPr>
              <w:spacing w:after="0" w:line="240" w:lineRule="auto"/>
              <w:jc w:val="center"/>
              <w:rPr>
                <w:rFonts w:ascii="Calibri" w:eastAsia="Times New Roman" w:hAnsi="Calibri" w:cs="Times New Roman"/>
                <w:color w:val="000000"/>
                <w:sz w:val="24"/>
                <w:szCs w:val="24"/>
                <w:lang w:eastAsia="en-GB"/>
              </w:rPr>
            </w:pPr>
            <w:r w:rsidRPr="00EA3404">
              <w:rPr>
                <w:rFonts w:ascii="Calibri" w:eastAsia="Times New Roman" w:hAnsi="Calibri" w:cs="Times New Roman"/>
                <w:color w:val="000000"/>
                <w:sz w:val="24"/>
                <w:szCs w:val="24"/>
                <w:lang w:eastAsia="en-GB"/>
              </w:rPr>
              <w:t>3,405,933</w:t>
            </w:r>
          </w:p>
        </w:tc>
      </w:tr>
      <w:tr w:rsidR="00EA3404" w:rsidRPr="00EA3404" w:rsidTr="00EA3404">
        <w:trPr>
          <w:trHeight w:val="315"/>
        </w:trPr>
        <w:tc>
          <w:tcPr>
            <w:tcW w:w="3988" w:type="dxa"/>
            <w:tcBorders>
              <w:top w:val="nil"/>
              <w:left w:val="single" w:sz="4" w:space="0" w:color="auto"/>
              <w:bottom w:val="single" w:sz="4" w:space="0" w:color="auto"/>
              <w:right w:val="single" w:sz="4" w:space="0" w:color="auto"/>
            </w:tcBorders>
            <w:shd w:val="clear" w:color="auto" w:fill="auto"/>
            <w:noWrap/>
            <w:vAlign w:val="center"/>
            <w:hideMark/>
          </w:tcPr>
          <w:p w:rsidR="00EA3404" w:rsidRPr="00EA3404" w:rsidRDefault="00EA3404" w:rsidP="00EA3404">
            <w:pPr>
              <w:spacing w:after="0" w:line="240" w:lineRule="auto"/>
              <w:jc w:val="center"/>
              <w:rPr>
                <w:rFonts w:ascii="Calibri" w:eastAsia="Times New Roman" w:hAnsi="Calibri" w:cs="Times New Roman"/>
                <w:color w:val="000000"/>
                <w:sz w:val="24"/>
                <w:szCs w:val="24"/>
                <w:lang w:eastAsia="en-GB"/>
              </w:rPr>
            </w:pPr>
            <w:r w:rsidRPr="00EA3404">
              <w:rPr>
                <w:rFonts w:ascii="Calibri" w:eastAsia="Times New Roman" w:hAnsi="Calibri" w:cs="Times New Roman"/>
                <w:color w:val="000000"/>
                <w:sz w:val="24"/>
                <w:szCs w:val="24"/>
                <w:lang w:eastAsia="en-GB"/>
              </w:rPr>
              <w:t>Average accounts payable</w:t>
            </w:r>
          </w:p>
        </w:tc>
        <w:tc>
          <w:tcPr>
            <w:tcW w:w="1711" w:type="dxa"/>
            <w:tcBorders>
              <w:top w:val="nil"/>
              <w:left w:val="nil"/>
              <w:bottom w:val="single" w:sz="4" w:space="0" w:color="auto"/>
              <w:right w:val="single" w:sz="4" w:space="0" w:color="auto"/>
            </w:tcBorders>
            <w:shd w:val="clear" w:color="auto" w:fill="auto"/>
            <w:noWrap/>
            <w:vAlign w:val="center"/>
            <w:hideMark/>
          </w:tcPr>
          <w:p w:rsidR="00EA3404" w:rsidRPr="00EA3404" w:rsidRDefault="00EA3404" w:rsidP="00EA3404">
            <w:pPr>
              <w:spacing w:after="0" w:line="240" w:lineRule="auto"/>
              <w:jc w:val="center"/>
              <w:rPr>
                <w:rFonts w:ascii="Calibri" w:eastAsia="Times New Roman" w:hAnsi="Calibri" w:cs="Times New Roman"/>
                <w:color w:val="000000"/>
                <w:sz w:val="24"/>
                <w:szCs w:val="24"/>
                <w:lang w:eastAsia="en-GB"/>
              </w:rPr>
            </w:pPr>
            <w:r w:rsidRPr="00EA3404">
              <w:rPr>
                <w:rFonts w:ascii="Calibri" w:eastAsia="Times New Roman" w:hAnsi="Calibri" w:cs="Times New Roman"/>
                <w:color w:val="000000"/>
                <w:sz w:val="24"/>
                <w:szCs w:val="24"/>
                <w:lang w:eastAsia="en-GB"/>
              </w:rPr>
              <w:t>3,473,783</w:t>
            </w:r>
          </w:p>
        </w:tc>
        <w:tc>
          <w:tcPr>
            <w:tcW w:w="1711" w:type="dxa"/>
            <w:tcBorders>
              <w:top w:val="nil"/>
              <w:left w:val="nil"/>
              <w:bottom w:val="single" w:sz="4" w:space="0" w:color="auto"/>
              <w:right w:val="single" w:sz="4" w:space="0" w:color="auto"/>
            </w:tcBorders>
            <w:shd w:val="clear" w:color="auto" w:fill="auto"/>
            <w:noWrap/>
            <w:vAlign w:val="center"/>
            <w:hideMark/>
          </w:tcPr>
          <w:p w:rsidR="00EA3404" w:rsidRPr="00EA3404" w:rsidRDefault="00EA3404" w:rsidP="00EA3404">
            <w:pPr>
              <w:spacing w:after="0" w:line="240" w:lineRule="auto"/>
              <w:jc w:val="center"/>
              <w:rPr>
                <w:rFonts w:ascii="Calibri" w:eastAsia="Times New Roman" w:hAnsi="Calibri" w:cs="Times New Roman"/>
                <w:color w:val="000000"/>
                <w:sz w:val="24"/>
                <w:szCs w:val="24"/>
                <w:lang w:eastAsia="en-GB"/>
              </w:rPr>
            </w:pPr>
            <w:r w:rsidRPr="00EA3404">
              <w:rPr>
                <w:rFonts w:ascii="Calibri" w:eastAsia="Times New Roman" w:hAnsi="Calibri" w:cs="Times New Roman"/>
                <w:color w:val="000000"/>
                <w:sz w:val="24"/>
                <w:szCs w:val="24"/>
                <w:lang w:eastAsia="en-GB"/>
              </w:rPr>
              <w:t>5,286,155</w:t>
            </w:r>
          </w:p>
        </w:tc>
        <w:tc>
          <w:tcPr>
            <w:tcW w:w="1711" w:type="dxa"/>
            <w:tcBorders>
              <w:top w:val="nil"/>
              <w:left w:val="nil"/>
              <w:bottom w:val="single" w:sz="4" w:space="0" w:color="auto"/>
              <w:right w:val="single" w:sz="4" w:space="0" w:color="auto"/>
            </w:tcBorders>
            <w:shd w:val="clear" w:color="auto" w:fill="auto"/>
            <w:noWrap/>
            <w:vAlign w:val="center"/>
            <w:hideMark/>
          </w:tcPr>
          <w:p w:rsidR="00EA3404" w:rsidRPr="00EA3404" w:rsidRDefault="00EA3404" w:rsidP="00EA3404">
            <w:pPr>
              <w:spacing w:after="0" w:line="240" w:lineRule="auto"/>
              <w:jc w:val="center"/>
              <w:rPr>
                <w:rFonts w:ascii="Calibri" w:eastAsia="Times New Roman" w:hAnsi="Calibri" w:cs="Times New Roman"/>
                <w:color w:val="000000"/>
                <w:sz w:val="24"/>
                <w:szCs w:val="24"/>
                <w:lang w:eastAsia="en-GB"/>
              </w:rPr>
            </w:pPr>
            <w:r w:rsidRPr="00EA3404">
              <w:rPr>
                <w:rFonts w:ascii="Calibri" w:eastAsia="Times New Roman" w:hAnsi="Calibri" w:cs="Times New Roman"/>
                <w:color w:val="000000"/>
                <w:sz w:val="24"/>
                <w:szCs w:val="24"/>
                <w:lang w:eastAsia="en-GB"/>
              </w:rPr>
              <w:t>7,497,446</w:t>
            </w:r>
          </w:p>
        </w:tc>
      </w:tr>
      <w:tr w:rsidR="00EA3404" w:rsidRPr="00EA3404" w:rsidTr="00EA3404">
        <w:trPr>
          <w:trHeight w:val="315"/>
        </w:trPr>
        <w:tc>
          <w:tcPr>
            <w:tcW w:w="3988" w:type="dxa"/>
            <w:tcBorders>
              <w:top w:val="nil"/>
              <w:left w:val="single" w:sz="4" w:space="0" w:color="auto"/>
              <w:bottom w:val="single" w:sz="4" w:space="0" w:color="auto"/>
              <w:right w:val="single" w:sz="4" w:space="0" w:color="auto"/>
            </w:tcBorders>
            <w:shd w:val="clear" w:color="auto" w:fill="auto"/>
            <w:noWrap/>
            <w:vAlign w:val="center"/>
            <w:hideMark/>
          </w:tcPr>
          <w:p w:rsidR="00EA3404" w:rsidRPr="00EA3404" w:rsidRDefault="00EA3404" w:rsidP="00EA3404">
            <w:pPr>
              <w:spacing w:after="0" w:line="240" w:lineRule="auto"/>
              <w:jc w:val="center"/>
              <w:rPr>
                <w:rFonts w:ascii="Calibri" w:eastAsia="Times New Roman" w:hAnsi="Calibri" w:cs="Times New Roman"/>
                <w:color w:val="000000"/>
                <w:sz w:val="24"/>
                <w:szCs w:val="24"/>
                <w:lang w:eastAsia="en-GB"/>
              </w:rPr>
            </w:pPr>
            <w:r w:rsidRPr="00EA3404">
              <w:rPr>
                <w:rFonts w:ascii="Calibri" w:eastAsia="Times New Roman" w:hAnsi="Calibri" w:cs="Times New Roman"/>
                <w:color w:val="000000"/>
                <w:sz w:val="24"/>
                <w:szCs w:val="24"/>
                <w:lang w:eastAsia="en-GB"/>
              </w:rPr>
              <w:t>Net sales</w:t>
            </w:r>
          </w:p>
        </w:tc>
        <w:tc>
          <w:tcPr>
            <w:tcW w:w="1711" w:type="dxa"/>
            <w:tcBorders>
              <w:top w:val="nil"/>
              <w:left w:val="nil"/>
              <w:bottom w:val="single" w:sz="4" w:space="0" w:color="auto"/>
              <w:right w:val="single" w:sz="4" w:space="0" w:color="auto"/>
            </w:tcBorders>
            <w:shd w:val="clear" w:color="auto" w:fill="auto"/>
            <w:noWrap/>
            <w:vAlign w:val="center"/>
            <w:hideMark/>
          </w:tcPr>
          <w:p w:rsidR="00EA3404" w:rsidRPr="00EA3404" w:rsidRDefault="00EA3404" w:rsidP="00EA3404">
            <w:pPr>
              <w:spacing w:after="0" w:line="240" w:lineRule="auto"/>
              <w:jc w:val="center"/>
              <w:rPr>
                <w:rFonts w:ascii="Calibri" w:eastAsia="Times New Roman" w:hAnsi="Calibri" w:cs="Times New Roman"/>
                <w:color w:val="000000"/>
                <w:sz w:val="24"/>
                <w:szCs w:val="24"/>
                <w:lang w:eastAsia="en-GB"/>
              </w:rPr>
            </w:pPr>
            <w:r w:rsidRPr="00EA3404">
              <w:rPr>
                <w:rFonts w:ascii="Calibri" w:eastAsia="Times New Roman" w:hAnsi="Calibri" w:cs="Times New Roman"/>
                <w:color w:val="000000"/>
                <w:sz w:val="24"/>
                <w:szCs w:val="24"/>
                <w:lang w:eastAsia="en-GB"/>
              </w:rPr>
              <w:t>92,080,380</w:t>
            </w:r>
          </w:p>
        </w:tc>
        <w:tc>
          <w:tcPr>
            <w:tcW w:w="1711" w:type="dxa"/>
            <w:tcBorders>
              <w:top w:val="nil"/>
              <w:left w:val="nil"/>
              <w:bottom w:val="single" w:sz="4" w:space="0" w:color="auto"/>
              <w:right w:val="single" w:sz="4" w:space="0" w:color="auto"/>
            </w:tcBorders>
            <w:shd w:val="clear" w:color="auto" w:fill="auto"/>
            <w:noWrap/>
            <w:vAlign w:val="center"/>
            <w:hideMark/>
          </w:tcPr>
          <w:p w:rsidR="00EA3404" w:rsidRPr="00EA3404" w:rsidRDefault="00EA3404" w:rsidP="00EA3404">
            <w:pPr>
              <w:spacing w:after="0" w:line="240" w:lineRule="auto"/>
              <w:jc w:val="center"/>
              <w:rPr>
                <w:rFonts w:ascii="Calibri" w:eastAsia="Times New Roman" w:hAnsi="Calibri" w:cs="Times New Roman"/>
                <w:color w:val="000000"/>
                <w:sz w:val="24"/>
                <w:szCs w:val="24"/>
                <w:lang w:eastAsia="en-GB"/>
              </w:rPr>
            </w:pPr>
            <w:r w:rsidRPr="00EA3404">
              <w:rPr>
                <w:rFonts w:ascii="Calibri" w:eastAsia="Times New Roman" w:hAnsi="Calibri" w:cs="Times New Roman"/>
                <w:color w:val="000000"/>
                <w:sz w:val="24"/>
                <w:szCs w:val="24"/>
                <w:lang w:eastAsia="en-GB"/>
              </w:rPr>
              <w:t>107,482,387</w:t>
            </w:r>
          </w:p>
        </w:tc>
        <w:tc>
          <w:tcPr>
            <w:tcW w:w="1711" w:type="dxa"/>
            <w:tcBorders>
              <w:top w:val="nil"/>
              <w:left w:val="nil"/>
              <w:bottom w:val="single" w:sz="4" w:space="0" w:color="auto"/>
              <w:right w:val="single" w:sz="4" w:space="0" w:color="auto"/>
            </w:tcBorders>
            <w:shd w:val="clear" w:color="auto" w:fill="auto"/>
            <w:noWrap/>
            <w:vAlign w:val="center"/>
            <w:hideMark/>
          </w:tcPr>
          <w:p w:rsidR="00EA3404" w:rsidRPr="00EA3404" w:rsidRDefault="00EA3404" w:rsidP="00EA3404">
            <w:pPr>
              <w:spacing w:after="0" w:line="240" w:lineRule="auto"/>
              <w:jc w:val="center"/>
              <w:rPr>
                <w:rFonts w:ascii="Calibri" w:eastAsia="Times New Roman" w:hAnsi="Calibri" w:cs="Times New Roman"/>
                <w:color w:val="000000"/>
                <w:sz w:val="24"/>
                <w:szCs w:val="24"/>
                <w:lang w:eastAsia="en-GB"/>
              </w:rPr>
            </w:pPr>
            <w:r w:rsidRPr="00EA3404">
              <w:rPr>
                <w:rFonts w:ascii="Calibri" w:eastAsia="Times New Roman" w:hAnsi="Calibri" w:cs="Times New Roman"/>
                <w:color w:val="000000"/>
                <w:sz w:val="24"/>
                <w:szCs w:val="24"/>
                <w:lang w:eastAsia="en-GB"/>
              </w:rPr>
              <w:t>122,499,153</w:t>
            </w:r>
          </w:p>
        </w:tc>
      </w:tr>
      <w:tr w:rsidR="00EA3404" w:rsidRPr="00EA3404" w:rsidTr="00EA3404">
        <w:trPr>
          <w:trHeight w:val="315"/>
        </w:trPr>
        <w:tc>
          <w:tcPr>
            <w:tcW w:w="3988" w:type="dxa"/>
            <w:tcBorders>
              <w:top w:val="nil"/>
              <w:left w:val="single" w:sz="4" w:space="0" w:color="auto"/>
              <w:bottom w:val="single" w:sz="4" w:space="0" w:color="auto"/>
              <w:right w:val="single" w:sz="4" w:space="0" w:color="auto"/>
            </w:tcBorders>
            <w:shd w:val="clear" w:color="auto" w:fill="auto"/>
            <w:noWrap/>
            <w:vAlign w:val="center"/>
            <w:hideMark/>
          </w:tcPr>
          <w:p w:rsidR="00EA3404" w:rsidRPr="00EA3404" w:rsidRDefault="00EA3404" w:rsidP="00EA3404">
            <w:pPr>
              <w:spacing w:after="0" w:line="240" w:lineRule="auto"/>
              <w:jc w:val="center"/>
              <w:rPr>
                <w:rFonts w:ascii="Calibri" w:eastAsia="Times New Roman" w:hAnsi="Calibri" w:cs="Times New Roman"/>
                <w:color w:val="000000"/>
                <w:sz w:val="24"/>
                <w:szCs w:val="24"/>
                <w:lang w:eastAsia="en-GB"/>
              </w:rPr>
            </w:pPr>
            <w:r w:rsidRPr="00EA3404">
              <w:rPr>
                <w:rFonts w:ascii="Calibri" w:eastAsia="Times New Roman" w:hAnsi="Calibri" w:cs="Times New Roman"/>
                <w:color w:val="000000"/>
                <w:sz w:val="24"/>
                <w:szCs w:val="24"/>
                <w:lang w:eastAsia="en-GB"/>
              </w:rPr>
              <w:t>Average working capital</w:t>
            </w:r>
          </w:p>
        </w:tc>
        <w:tc>
          <w:tcPr>
            <w:tcW w:w="1711" w:type="dxa"/>
            <w:tcBorders>
              <w:top w:val="nil"/>
              <w:left w:val="nil"/>
              <w:bottom w:val="single" w:sz="4" w:space="0" w:color="auto"/>
              <w:right w:val="single" w:sz="4" w:space="0" w:color="auto"/>
            </w:tcBorders>
            <w:shd w:val="clear" w:color="auto" w:fill="auto"/>
            <w:noWrap/>
            <w:vAlign w:val="center"/>
            <w:hideMark/>
          </w:tcPr>
          <w:p w:rsidR="00EA3404" w:rsidRPr="00EA3404" w:rsidRDefault="00EA3404" w:rsidP="00EA3404">
            <w:pPr>
              <w:spacing w:after="0" w:line="240" w:lineRule="auto"/>
              <w:jc w:val="center"/>
              <w:rPr>
                <w:rFonts w:ascii="Calibri" w:eastAsia="Times New Roman" w:hAnsi="Calibri" w:cs="Times New Roman"/>
                <w:color w:val="000000"/>
                <w:sz w:val="24"/>
                <w:szCs w:val="24"/>
                <w:lang w:eastAsia="en-GB"/>
              </w:rPr>
            </w:pPr>
            <w:r w:rsidRPr="00EA3404">
              <w:rPr>
                <w:rFonts w:ascii="Calibri" w:eastAsia="Times New Roman" w:hAnsi="Calibri" w:cs="Times New Roman"/>
                <w:color w:val="000000"/>
                <w:sz w:val="24"/>
                <w:szCs w:val="24"/>
                <w:lang w:eastAsia="en-GB"/>
              </w:rPr>
              <w:t>9,561,749</w:t>
            </w:r>
          </w:p>
        </w:tc>
        <w:tc>
          <w:tcPr>
            <w:tcW w:w="1711" w:type="dxa"/>
            <w:tcBorders>
              <w:top w:val="nil"/>
              <w:left w:val="nil"/>
              <w:bottom w:val="single" w:sz="4" w:space="0" w:color="auto"/>
              <w:right w:val="single" w:sz="4" w:space="0" w:color="auto"/>
            </w:tcBorders>
            <w:shd w:val="clear" w:color="auto" w:fill="auto"/>
            <w:noWrap/>
            <w:vAlign w:val="center"/>
            <w:hideMark/>
          </w:tcPr>
          <w:p w:rsidR="00EA3404" w:rsidRPr="00EA3404" w:rsidRDefault="00EA3404" w:rsidP="00EA3404">
            <w:pPr>
              <w:spacing w:after="0" w:line="240" w:lineRule="auto"/>
              <w:jc w:val="center"/>
              <w:rPr>
                <w:rFonts w:ascii="Calibri" w:eastAsia="Times New Roman" w:hAnsi="Calibri" w:cs="Times New Roman"/>
                <w:color w:val="000000"/>
                <w:sz w:val="24"/>
                <w:szCs w:val="24"/>
                <w:lang w:eastAsia="en-GB"/>
              </w:rPr>
            </w:pPr>
            <w:r w:rsidRPr="00EA3404">
              <w:rPr>
                <w:rFonts w:ascii="Calibri" w:eastAsia="Times New Roman" w:hAnsi="Calibri" w:cs="Times New Roman"/>
                <w:color w:val="000000"/>
                <w:sz w:val="24"/>
                <w:szCs w:val="24"/>
                <w:lang w:eastAsia="en-GB"/>
              </w:rPr>
              <w:t>12,503,538</w:t>
            </w:r>
          </w:p>
        </w:tc>
        <w:tc>
          <w:tcPr>
            <w:tcW w:w="1711" w:type="dxa"/>
            <w:tcBorders>
              <w:top w:val="nil"/>
              <w:left w:val="nil"/>
              <w:bottom w:val="single" w:sz="4" w:space="0" w:color="auto"/>
              <w:right w:val="single" w:sz="4" w:space="0" w:color="auto"/>
            </w:tcBorders>
            <w:shd w:val="clear" w:color="auto" w:fill="auto"/>
            <w:noWrap/>
            <w:vAlign w:val="center"/>
            <w:hideMark/>
          </w:tcPr>
          <w:p w:rsidR="00EA3404" w:rsidRPr="00EA3404" w:rsidRDefault="00EA3404" w:rsidP="00EA3404">
            <w:pPr>
              <w:spacing w:after="0" w:line="240" w:lineRule="auto"/>
              <w:jc w:val="center"/>
              <w:rPr>
                <w:rFonts w:ascii="Calibri" w:eastAsia="Times New Roman" w:hAnsi="Calibri" w:cs="Times New Roman"/>
                <w:color w:val="000000"/>
                <w:sz w:val="24"/>
                <w:szCs w:val="24"/>
                <w:lang w:eastAsia="en-GB"/>
              </w:rPr>
            </w:pPr>
            <w:r w:rsidRPr="00EA3404">
              <w:rPr>
                <w:rFonts w:ascii="Calibri" w:eastAsia="Times New Roman" w:hAnsi="Calibri" w:cs="Times New Roman"/>
                <w:color w:val="000000"/>
                <w:sz w:val="24"/>
                <w:szCs w:val="24"/>
                <w:lang w:eastAsia="en-GB"/>
              </w:rPr>
              <w:t>15,491,130</w:t>
            </w:r>
          </w:p>
        </w:tc>
      </w:tr>
      <w:tr w:rsidR="00EA3404" w:rsidRPr="00EA3404" w:rsidTr="00EA3404">
        <w:trPr>
          <w:trHeight w:val="315"/>
        </w:trPr>
        <w:tc>
          <w:tcPr>
            <w:tcW w:w="3988" w:type="dxa"/>
            <w:tcBorders>
              <w:top w:val="nil"/>
              <w:left w:val="single" w:sz="4" w:space="0" w:color="auto"/>
              <w:bottom w:val="single" w:sz="4" w:space="0" w:color="auto"/>
              <w:right w:val="single" w:sz="4" w:space="0" w:color="auto"/>
            </w:tcBorders>
            <w:shd w:val="clear" w:color="auto" w:fill="auto"/>
            <w:noWrap/>
            <w:vAlign w:val="center"/>
            <w:hideMark/>
          </w:tcPr>
          <w:p w:rsidR="00EA3404" w:rsidRPr="00EA3404" w:rsidRDefault="00EA3404" w:rsidP="00EA3404">
            <w:pPr>
              <w:spacing w:after="0" w:line="240" w:lineRule="auto"/>
              <w:jc w:val="center"/>
              <w:rPr>
                <w:rFonts w:ascii="Calibri" w:eastAsia="Times New Roman" w:hAnsi="Calibri" w:cs="Times New Roman"/>
                <w:color w:val="000000"/>
                <w:sz w:val="24"/>
                <w:szCs w:val="24"/>
                <w:lang w:eastAsia="en-GB"/>
              </w:rPr>
            </w:pPr>
            <w:r w:rsidRPr="00EA3404">
              <w:rPr>
                <w:rFonts w:ascii="Calibri" w:eastAsia="Times New Roman" w:hAnsi="Calibri" w:cs="Times New Roman"/>
                <w:color w:val="000000"/>
                <w:sz w:val="24"/>
                <w:szCs w:val="24"/>
                <w:lang w:eastAsia="en-GB"/>
              </w:rPr>
              <w:t>Sales</w:t>
            </w:r>
          </w:p>
        </w:tc>
        <w:tc>
          <w:tcPr>
            <w:tcW w:w="1711" w:type="dxa"/>
            <w:tcBorders>
              <w:top w:val="nil"/>
              <w:left w:val="nil"/>
              <w:bottom w:val="single" w:sz="4" w:space="0" w:color="auto"/>
              <w:right w:val="single" w:sz="4" w:space="0" w:color="auto"/>
            </w:tcBorders>
            <w:shd w:val="clear" w:color="auto" w:fill="auto"/>
            <w:noWrap/>
            <w:vAlign w:val="center"/>
            <w:hideMark/>
          </w:tcPr>
          <w:p w:rsidR="00EA3404" w:rsidRPr="00EA3404" w:rsidRDefault="00EA3404" w:rsidP="00EA3404">
            <w:pPr>
              <w:spacing w:after="0" w:line="240" w:lineRule="auto"/>
              <w:jc w:val="center"/>
              <w:rPr>
                <w:rFonts w:ascii="Calibri" w:eastAsia="Times New Roman" w:hAnsi="Calibri" w:cs="Times New Roman"/>
                <w:color w:val="000000"/>
                <w:sz w:val="24"/>
                <w:szCs w:val="24"/>
                <w:lang w:eastAsia="en-GB"/>
              </w:rPr>
            </w:pPr>
            <w:r w:rsidRPr="00EA3404">
              <w:rPr>
                <w:rFonts w:ascii="Calibri" w:eastAsia="Times New Roman" w:hAnsi="Calibri" w:cs="Times New Roman"/>
                <w:color w:val="000000"/>
                <w:sz w:val="24"/>
                <w:szCs w:val="24"/>
                <w:lang w:eastAsia="en-GB"/>
              </w:rPr>
              <w:t>109,581,710</w:t>
            </w:r>
          </w:p>
        </w:tc>
        <w:tc>
          <w:tcPr>
            <w:tcW w:w="1711" w:type="dxa"/>
            <w:tcBorders>
              <w:top w:val="nil"/>
              <w:left w:val="nil"/>
              <w:bottom w:val="single" w:sz="4" w:space="0" w:color="auto"/>
              <w:right w:val="single" w:sz="4" w:space="0" w:color="auto"/>
            </w:tcBorders>
            <w:shd w:val="clear" w:color="auto" w:fill="auto"/>
            <w:noWrap/>
            <w:vAlign w:val="center"/>
            <w:hideMark/>
          </w:tcPr>
          <w:p w:rsidR="00EA3404" w:rsidRPr="00EA3404" w:rsidRDefault="00EA3404" w:rsidP="00EA3404">
            <w:pPr>
              <w:spacing w:after="0" w:line="240" w:lineRule="auto"/>
              <w:jc w:val="center"/>
              <w:rPr>
                <w:rFonts w:ascii="Calibri" w:eastAsia="Times New Roman" w:hAnsi="Calibri" w:cs="Times New Roman"/>
                <w:color w:val="000000"/>
                <w:sz w:val="24"/>
                <w:szCs w:val="24"/>
                <w:lang w:eastAsia="en-GB"/>
              </w:rPr>
            </w:pPr>
            <w:r w:rsidRPr="00EA3404">
              <w:rPr>
                <w:rFonts w:ascii="Calibri" w:eastAsia="Times New Roman" w:hAnsi="Calibri" w:cs="Times New Roman"/>
                <w:color w:val="000000"/>
                <w:sz w:val="24"/>
                <w:szCs w:val="24"/>
                <w:lang w:eastAsia="en-GB"/>
              </w:rPr>
              <w:t>126,804,602</w:t>
            </w:r>
          </w:p>
        </w:tc>
        <w:tc>
          <w:tcPr>
            <w:tcW w:w="1711" w:type="dxa"/>
            <w:tcBorders>
              <w:top w:val="nil"/>
              <w:left w:val="nil"/>
              <w:bottom w:val="single" w:sz="4" w:space="0" w:color="auto"/>
              <w:right w:val="single" w:sz="4" w:space="0" w:color="auto"/>
            </w:tcBorders>
            <w:shd w:val="clear" w:color="auto" w:fill="auto"/>
            <w:noWrap/>
            <w:vAlign w:val="center"/>
            <w:hideMark/>
          </w:tcPr>
          <w:p w:rsidR="00EA3404" w:rsidRPr="00EA3404" w:rsidRDefault="00EA3404" w:rsidP="00EA3404">
            <w:pPr>
              <w:spacing w:after="0" w:line="240" w:lineRule="auto"/>
              <w:jc w:val="center"/>
              <w:rPr>
                <w:rFonts w:ascii="Calibri" w:eastAsia="Times New Roman" w:hAnsi="Calibri" w:cs="Times New Roman"/>
                <w:color w:val="000000"/>
                <w:sz w:val="24"/>
                <w:szCs w:val="24"/>
                <w:lang w:eastAsia="en-GB"/>
              </w:rPr>
            </w:pPr>
            <w:r w:rsidRPr="00EA3404">
              <w:rPr>
                <w:rFonts w:ascii="Calibri" w:eastAsia="Times New Roman" w:hAnsi="Calibri" w:cs="Times New Roman"/>
                <w:color w:val="000000"/>
                <w:sz w:val="24"/>
                <w:szCs w:val="24"/>
                <w:lang w:eastAsia="en-GB"/>
              </w:rPr>
              <w:t>143,711,664</w:t>
            </w:r>
          </w:p>
        </w:tc>
      </w:tr>
      <w:tr w:rsidR="00EA3404" w:rsidRPr="00EA3404" w:rsidTr="00EA3404">
        <w:trPr>
          <w:trHeight w:val="300"/>
        </w:trPr>
        <w:tc>
          <w:tcPr>
            <w:tcW w:w="3988" w:type="dxa"/>
            <w:tcBorders>
              <w:top w:val="nil"/>
              <w:left w:val="single" w:sz="4" w:space="0" w:color="auto"/>
              <w:bottom w:val="single" w:sz="4" w:space="0" w:color="auto"/>
              <w:right w:val="single" w:sz="4" w:space="0" w:color="auto"/>
            </w:tcBorders>
            <w:shd w:val="clear" w:color="auto" w:fill="auto"/>
            <w:noWrap/>
            <w:vAlign w:val="center"/>
            <w:hideMark/>
          </w:tcPr>
          <w:p w:rsidR="00EA3404" w:rsidRPr="00EA3404" w:rsidRDefault="00EA3404" w:rsidP="00EA3404">
            <w:pPr>
              <w:spacing w:after="0" w:line="240" w:lineRule="auto"/>
              <w:jc w:val="center"/>
              <w:rPr>
                <w:rFonts w:ascii="Calibri" w:eastAsia="Times New Roman" w:hAnsi="Calibri" w:cs="Times New Roman"/>
                <w:color w:val="000000"/>
                <w:sz w:val="24"/>
                <w:szCs w:val="24"/>
                <w:lang w:eastAsia="en-GB"/>
              </w:rPr>
            </w:pPr>
            <w:r w:rsidRPr="00EA3404">
              <w:rPr>
                <w:rFonts w:ascii="Calibri" w:eastAsia="Times New Roman" w:hAnsi="Calibri" w:cs="Times New Roman"/>
                <w:color w:val="000000"/>
                <w:sz w:val="24"/>
                <w:szCs w:val="24"/>
                <w:lang w:eastAsia="en-GB"/>
              </w:rPr>
              <w:t>Average fixed asset</w:t>
            </w:r>
          </w:p>
        </w:tc>
        <w:tc>
          <w:tcPr>
            <w:tcW w:w="1711" w:type="dxa"/>
            <w:tcBorders>
              <w:top w:val="nil"/>
              <w:left w:val="nil"/>
              <w:bottom w:val="single" w:sz="4" w:space="0" w:color="auto"/>
              <w:right w:val="single" w:sz="4" w:space="0" w:color="auto"/>
            </w:tcBorders>
            <w:shd w:val="clear" w:color="auto" w:fill="auto"/>
            <w:noWrap/>
            <w:vAlign w:val="center"/>
            <w:hideMark/>
          </w:tcPr>
          <w:p w:rsidR="00EA3404" w:rsidRPr="00EA3404" w:rsidRDefault="00EA3404" w:rsidP="00EA3404">
            <w:pPr>
              <w:spacing w:after="0" w:line="240" w:lineRule="auto"/>
              <w:jc w:val="center"/>
              <w:rPr>
                <w:rFonts w:ascii="Calibri" w:eastAsia="Times New Roman" w:hAnsi="Calibri" w:cs="Times New Roman"/>
                <w:color w:val="000000"/>
                <w:sz w:val="24"/>
                <w:szCs w:val="24"/>
                <w:lang w:eastAsia="en-GB"/>
              </w:rPr>
            </w:pPr>
            <w:r w:rsidRPr="00EA3404">
              <w:rPr>
                <w:rFonts w:ascii="Calibri" w:eastAsia="Times New Roman" w:hAnsi="Calibri" w:cs="Times New Roman"/>
                <w:color w:val="000000"/>
                <w:sz w:val="24"/>
                <w:szCs w:val="24"/>
                <w:lang w:eastAsia="en-GB"/>
              </w:rPr>
              <w:t>8,513,167</w:t>
            </w:r>
          </w:p>
        </w:tc>
        <w:tc>
          <w:tcPr>
            <w:tcW w:w="1711" w:type="dxa"/>
            <w:tcBorders>
              <w:top w:val="nil"/>
              <w:left w:val="nil"/>
              <w:bottom w:val="single" w:sz="4" w:space="0" w:color="auto"/>
              <w:right w:val="single" w:sz="4" w:space="0" w:color="auto"/>
            </w:tcBorders>
            <w:shd w:val="clear" w:color="auto" w:fill="auto"/>
            <w:noWrap/>
            <w:vAlign w:val="center"/>
            <w:hideMark/>
          </w:tcPr>
          <w:p w:rsidR="00EA3404" w:rsidRPr="00EA3404" w:rsidRDefault="00EA3404" w:rsidP="00EA3404">
            <w:pPr>
              <w:spacing w:after="0" w:line="240" w:lineRule="auto"/>
              <w:jc w:val="center"/>
              <w:rPr>
                <w:rFonts w:ascii="Calibri" w:eastAsia="Times New Roman" w:hAnsi="Calibri" w:cs="Times New Roman"/>
                <w:color w:val="000000"/>
                <w:sz w:val="24"/>
                <w:szCs w:val="24"/>
                <w:lang w:eastAsia="en-GB"/>
              </w:rPr>
            </w:pPr>
            <w:r w:rsidRPr="00EA3404">
              <w:rPr>
                <w:rFonts w:ascii="Calibri" w:eastAsia="Times New Roman" w:hAnsi="Calibri" w:cs="Times New Roman"/>
                <w:color w:val="000000"/>
                <w:sz w:val="24"/>
                <w:szCs w:val="24"/>
                <w:lang w:eastAsia="en-GB"/>
              </w:rPr>
              <w:t>10,265,872</w:t>
            </w:r>
          </w:p>
        </w:tc>
        <w:tc>
          <w:tcPr>
            <w:tcW w:w="1711" w:type="dxa"/>
            <w:tcBorders>
              <w:top w:val="nil"/>
              <w:left w:val="nil"/>
              <w:bottom w:val="single" w:sz="4" w:space="0" w:color="auto"/>
              <w:right w:val="single" w:sz="4" w:space="0" w:color="auto"/>
            </w:tcBorders>
            <w:shd w:val="clear" w:color="auto" w:fill="auto"/>
            <w:noWrap/>
            <w:vAlign w:val="center"/>
            <w:hideMark/>
          </w:tcPr>
          <w:p w:rsidR="00EA3404" w:rsidRPr="00EA3404" w:rsidRDefault="00EA3404" w:rsidP="00EA3404">
            <w:pPr>
              <w:spacing w:after="0" w:line="240" w:lineRule="auto"/>
              <w:jc w:val="center"/>
              <w:rPr>
                <w:rFonts w:ascii="Calibri" w:eastAsia="Times New Roman" w:hAnsi="Calibri" w:cs="Times New Roman"/>
                <w:color w:val="000000"/>
                <w:sz w:val="24"/>
                <w:szCs w:val="24"/>
                <w:lang w:eastAsia="en-GB"/>
              </w:rPr>
            </w:pPr>
            <w:r w:rsidRPr="00EA3404">
              <w:rPr>
                <w:rFonts w:ascii="Calibri" w:eastAsia="Times New Roman" w:hAnsi="Calibri" w:cs="Times New Roman"/>
                <w:color w:val="000000"/>
                <w:sz w:val="24"/>
                <w:szCs w:val="24"/>
                <w:lang w:eastAsia="en-GB"/>
              </w:rPr>
              <w:t>12,841,796</w:t>
            </w:r>
          </w:p>
        </w:tc>
      </w:tr>
      <w:tr w:rsidR="00EA3404" w:rsidRPr="00EA3404" w:rsidTr="00EA3404">
        <w:trPr>
          <w:trHeight w:val="315"/>
        </w:trPr>
        <w:tc>
          <w:tcPr>
            <w:tcW w:w="3988" w:type="dxa"/>
            <w:tcBorders>
              <w:top w:val="nil"/>
              <w:left w:val="single" w:sz="4" w:space="0" w:color="auto"/>
              <w:bottom w:val="single" w:sz="4" w:space="0" w:color="auto"/>
              <w:right w:val="single" w:sz="4" w:space="0" w:color="auto"/>
            </w:tcBorders>
            <w:shd w:val="clear" w:color="auto" w:fill="auto"/>
            <w:noWrap/>
            <w:vAlign w:val="center"/>
            <w:hideMark/>
          </w:tcPr>
          <w:p w:rsidR="00EA3404" w:rsidRPr="00EA3404" w:rsidRDefault="00EA3404" w:rsidP="00EA3404">
            <w:pPr>
              <w:spacing w:after="0" w:line="240" w:lineRule="auto"/>
              <w:jc w:val="center"/>
              <w:rPr>
                <w:rFonts w:ascii="Calibri" w:eastAsia="Times New Roman" w:hAnsi="Calibri" w:cs="Times New Roman"/>
                <w:color w:val="000000"/>
                <w:sz w:val="24"/>
                <w:szCs w:val="24"/>
                <w:lang w:eastAsia="en-GB"/>
              </w:rPr>
            </w:pPr>
            <w:r w:rsidRPr="00EA3404">
              <w:rPr>
                <w:rFonts w:ascii="Calibri" w:eastAsia="Times New Roman" w:hAnsi="Calibri" w:cs="Times New Roman"/>
                <w:color w:val="000000"/>
                <w:sz w:val="24"/>
                <w:szCs w:val="24"/>
                <w:lang w:eastAsia="en-GB"/>
              </w:rPr>
              <w:t>Total asset</w:t>
            </w:r>
          </w:p>
        </w:tc>
        <w:tc>
          <w:tcPr>
            <w:tcW w:w="1711" w:type="dxa"/>
            <w:tcBorders>
              <w:top w:val="nil"/>
              <w:left w:val="nil"/>
              <w:bottom w:val="single" w:sz="4" w:space="0" w:color="auto"/>
              <w:right w:val="single" w:sz="4" w:space="0" w:color="auto"/>
            </w:tcBorders>
            <w:shd w:val="clear" w:color="auto" w:fill="auto"/>
            <w:noWrap/>
            <w:vAlign w:val="center"/>
            <w:hideMark/>
          </w:tcPr>
          <w:p w:rsidR="00EA3404" w:rsidRPr="00EA3404" w:rsidRDefault="00EA3404" w:rsidP="00EA3404">
            <w:pPr>
              <w:spacing w:after="0" w:line="240" w:lineRule="auto"/>
              <w:jc w:val="center"/>
              <w:rPr>
                <w:rFonts w:ascii="Calibri" w:eastAsia="Times New Roman" w:hAnsi="Calibri" w:cs="Times New Roman"/>
                <w:color w:val="000000"/>
                <w:sz w:val="24"/>
                <w:szCs w:val="24"/>
                <w:lang w:eastAsia="en-GB"/>
              </w:rPr>
            </w:pPr>
            <w:r w:rsidRPr="00EA3404">
              <w:rPr>
                <w:rFonts w:ascii="Calibri" w:eastAsia="Times New Roman" w:hAnsi="Calibri" w:cs="Times New Roman"/>
                <w:color w:val="000000"/>
                <w:sz w:val="24"/>
                <w:szCs w:val="24"/>
                <w:lang w:eastAsia="en-GB"/>
              </w:rPr>
              <w:t>18,463,798</w:t>
            </w:r>
          </w:p>
        </w:tc>
        <w:tc>
          <w:tcPr>
            <w:tcW w:w="1711" w:type="dxa"/>
            <w:tcBorders>
              <w:top w:val="nil"/>
              <w:left w:val="nil"/>
              <w:bottom w:val="single" w:sz="4" w:space="0" w:color="auto"/>
              <w:right w:val="single" w:sz="4" w:space="0" w:color="auto"/>
            </w:tcBorders>
            <w:shd w:val="clear" w:color="auto" w:fill="auto"/>
            <w:noWrap/>
            <w:vAlign w:val="center"/>
            <w:hideMark/>
          </w:tcPr>
          <w:p w:rsidR="00EA3404" w:rsidRPr="00EA3404" w:rsidRDefault="00EA3404" w:rsidP="00EA3404">
            <w:pPr>
              <w:spacing w:after="0" w:line="240" w:lineRule="auto"/>
              <w:jc w:val="center"/>
              <w:rPr>
                <w:rFonts w:ascii="Calibri" w:eastAsia="Times New Roman" w:hAnsi="Calibri" w:cs="Times New Roman"/>
                <w:color w:val="000000"/>
                <w:sz w:val="24"/>
                <w:szCs w:val="24"/>
                <w:lang w:eastAsia="en-GB"/>
              </w:rPr>
            </w:pPr>
            <w:r w:rsidRPr="00EA3404">
              <w:rPr>
                <w:rFonts w:ascii="Calibri" w:eastAsia="Times New Roman" w:hAnsi="Calibri" w:cs="Times New Roman"/>
                <w:color w:val="000000"/>
                <w:sz w:val="24"/>
                <w:szCs w:val="24"/>
                <w:lang w:eastAsia="en-GB"/>
              </w:rPr>
              <w:t>27,075,019</w:t>
            </w:r>
          </w:p>
        </w:tc>
        <w:tc>
          <w:tcPr>
            <w:tcW w:w="1711" w:type="dxa"/>
            <w:tcBorders>
              <w:top w:val="nil"/>
              <w:left w:val="nil"/>
              <w:bottom w:val="single" w:sz="4" w:space="0" w:color="auto"/>
              <w:right w:val="single" w:sz="4" w:space="0" w:color="auto"/>
            </w:tcBorders>
            <w:shd w:val="clear" w:color="auto" w:fill="auto"/>
            <w:noWrap/>
            <w:vAlign w:val="center"/>
            <w:hideMark/>
          </w:tcPr>
          <w:p w:rsidR="00EA3404" w:rsidRPr="00EA3404" w:rsidRDefault="00EA3404" w:rsidP="00EA3404">
            <w:pPr>
              <w:spacing w:after="0" w:line="240" w:lineRule="auto"/>
              <w:jc w:val="center"/>
              <w:rPr>
                <w:rFonts w:ascii="Calibri" w:eastAsia="Times New Roman" w:hAnsi="Calibri" w:cs="Times New Roman"/>
                <w:color w:val="000000"/>
                <w:sz w:val="24"/>
                <w:szCs w:val="24"/>
                <w:lang w:eastAsia="en-GB"/>
              </w:rPr>
            </w:pPr>
            <w:r w:rsidRPr="00EA3404">
              <w:rPr>
                <w:rFonts w:ascii="Calibri" w:eastAsia="Times New Roman" w:hAnsi="Calibri" w:cs="Times New Roman"/>
                <w:color w:val="000000"/>
                <w:sz w:val="24"/>
                <w:szCs w:val="24"/>
                <w:lang w:eastAsia="en-GB"/>
              </w:rPr>
              <w:t>29,590,831</w:t>
            </w:r>
          </w:p>
        </w:tc>
      </w:tr>
    </w:tbl>
    <w:p w:rsidR="00EA3404" w:rsidRDefault="00EA3404" w:rsidP="00657C9E"/>
    <w:p w:rsidR="00F0254F" w:rsidRDefault="00F0254F" w:rsidP="00657C9E"/>
    <w:p w:rsidR="007C4670" w:rsidRDefault="007C4670" w:rsidP="007C4670">
      <w:pPr>
        <w:pStyle w:val="Heading1"/>
      </w:pPr>
      <w:r>
        <w:t>Financial Information of CCL:</w:t>
      </w:r>
    </w:p>
    <w:tbl>
      <w:tblPr>
        <w:tblW w:w="9120" w:type="dxa"/>
        <w:tblLook w:val="04A0" w:firstRow="1" w:lastRow="0" w:firstColumn="1" w:lastColumn="0" w:noHBand="0" w:noVBand="1"/>
      </w:tblPr>
      <w:tblGrid>
        <w:gridCol w:w="3687"/>
        <w:gridCol w:w="1811"/>
        <w:gridCol w:w="1811"/>
        <w:gridCol w:w="1811"/>
      </w:tblGrid>
      <w:tr w:rsidR="007C4670" w:rsidRPr="007C4670" w:rsidTr="007C4670">
        <w:trPr>
          <w:trHeight w:val="420"/>
        </w:trPr>
        <w:tc>
          <w:tcPr>
            <w:tcW w:w="9120" w:type="dxa"/>
            <w:gridSpan w:val="4"/>
            <w:tcBorders>
              <w:top w:val="single" w:sz="4" w:space="0" w:color="auto"/>
              <w:left w:val="single" w:sz="4" w:space="0" w:color="auto"/>
              <w:bottom w:val="single" w:sz="4" w:space="0" w:color="auto"/>
              <w:right w:val="single" w:sz="4" w:space="0" w:color="auto"/>
            </w:tcBorders>
            <w:shd w:val="clear" w:color="000000" w:fill="D9E1F2"/>
            <w:noWrap/>
            <w:vAlign w:val="center"/>
            <w:hideMark/>
          </w:tcPr>
          <w:p w:rsidR="007C4670" w:rsidRPr="007C4670" w:rsidRDefault="007C4670" w:rsidP="007C4670">
            <w:pPr>
              <w:spacing w:after="0" w:line="240" w:lineRule="auto"/>
              <w:jc w:val="center"/>
              <w:rPr>
                <w:rFonts w:ascii="Calibri" w:eastAsia="Times New Roman" w:hAnsi="Calibri" w:cs="Times New Roman"/>
                <w:b/>
                <w:bCs/>
                <w:color w:val="000000"/>
                <w:sz w:val="32"/>
                <w:szCs w:val="32"/>
                <w:lang w:eastAsia="en-GB"/>
              </w:rPr>
            </w:pPr>
            <w:r w:rsidRPr="007C4670">
              <w:rPr>
                <w:rFonts w:ascii="Calibri" w:eastAsia="Times New Roman" w:hAnsi="Calibri" w:cs="Times New Roman"/>
                <w:b/>
                <w:bCs/>
                <w:color w:val="000000"/>
                <w:sz w:val="32"/>
                <w:szCs w:val="32"/>
                <w:lang w:eastAsia="en-GB"/>
              </w:rPr>
              <w:t>Confidence Cement Limited (CCL)</w:t>
            </w:r>
          </w:p>
        </w:tc>
      </w:tr>
      <w:tr w:rsidR="007C4670" w:rsidRPr="007C4670" w:rsidTr="007C4670">
        <w:trPr>
          <w:trHeight w:val="375"/>
        </w:trPr>
        <w:tc>
          <w:tcPr>
            <w:tcW w:w="3687" w:type="dxa"/>
            <w:tcBorders>
              <w:top w:val="nil"/>
              <w:left w:val="single" w:sz="4" w:space="0" w:color="auto"/>
              <w:bottom w:val="single" w:sz="4" w:space="0" w:color="auto"/>
              <w:right w:val="single" w:sz="4" w:space="0" w:color="auto"/>
            </w:tcBorders>
            <w:shd w:val="clear" w:color="000000" w:fill="E2EFDA"/>
            <w:noWrap/>
            <w:vAlign w:val="center"/>
            <w:hideMark/>
          </w:tcPr>
          <w:p w:rsidR="007C4670" w:rsidRPr="007C4670" w:rsidRDefault="007C4670" w:rsidP="007C4670">
            <w:pPr>
              <w:spacing w:after="0" w:line="240" w:lineRule="auto"/>
              <w:jc w:val="center"/>
              <w:rPr>
                <w:rFonts w:ascii="Calibri" w:eastAsia="Times New Roman" w:hAnsi="Calibri" w:cs="Times New Roman"/>
                <w:b/>
                <w:bCs/>
                <w:color w:val="000000"/>
                <w:sz w:val="28"/>
                <w:lang w:eastAsia="en-GB"/>
              </w:rPr>
            </w:pPr>
            <w:r w:rsidRPr="007C4670">
              <w:rPr>
                <w:rFonts w:ascii="Calibri" w:eastAsia="Times New Roman" w:hAnsi="Calibri" w:cs="Times New Roman"/>
                <w:b/>
                <w:bCs/>
                <w:color w:val="000000"/>
                <w:sz w:val="28"/>
                <w:lang w:eastAsia="en-GB"/>
              </w:rPr>
              <w:t>Information</w:t>
            </w:r>
          </w:p>
        </w:tc>
        <w:tc>
          <w:tcPr>
            <w:tcW w:w="1811" w:type="dxa"/>
            <w:tcBorders>
              <w:top w:val="nil"/>
              <w:left w:val="nil"/>
              <w:bottom w:val="single" w:sz="4" w:space="0" w:color="auto"/>
              <w:right w:val="single" w:sz="4" w:space="0" w:color="auto"/>
            </w:tcBorders>
            <w:shd w:val="clear" w:color="000000" w:fill="E2EFDA"/>
            <w:noWrap/>
            <w:vAlign w:val="center"/>
            <w:hideMark/>
          </w:tcPr>
          <w:p w:rsidR="007C4670" w:rsidRPr="007C4670" w:rsidRDefault="007C4670" w:rsidP="007C4670">
            <w:pPr>
              <w:spacing w:after="0" w:line="240" w:lineRule="auto"/>
              <w:jc w:val="center"/>
              <w:rPr>
                <w:rFonts w:ascii="Calibri" w:eastAsia="Times New Roman" w:hAnsi="Calibri" w:cs="Times New Roman"/>
                <w:b/>
                <w:bCs/>
                <w:color w:val="000000"/>
                <w:sz w:val="28"/>
                <w:lang w:eastAsia="en-GB"/>
              </w:rPr>
            </w:pPr>
            <w:r w:rsidRPr="007C4670">
              <w:rPr>
                <w:rFonts w:ascii="Calibri" w:eastAsia="Times New Roman" w:hAnsi="Calibri" w:cs="Times New Roman"/>
                <w:b/>
                <w:bCs/>
                <w:color w:val="000000"/>
                <w:sz w:val="28"/>
                <w:lang w:eastAsia="en-GB"/>
              </w:rPr>
              <w:t>2013</w:t>
            </w:r>
          </w:p>
        </w:tc>
        <w:tc>
          <w:tcPr>
            <w:tcW w:w="1811" w:type="dxa"/>
            <w:tcBorders>
              <w:top w:val="nil"/>
              <w:left w:val="nil"/>
              <w:bottom w:val="single" w:sz="4" w:space="0" w:color="auto"/>
              <w:right w:val="single" w:sz="4" w:space="0" w:color="auto"/>
            </w:tcBorders>
            <w:shd w:val="clear" w:color="000000" w:fill="E2EFDA"/>
            <w:noWrap/>
            <w:vAlign w:val="center"/>
            <w:hideMark/>
          </w:tcPr>
          <w:p w:rsidR="007C4670" w:rsidRPr="007C4670" w:rsidRDefault="007C4670" w:rsidP="007C4670">
            <w:pPr>
              <w:spacing w:after="0" w:line="240" w:lineRule="auto"/>
              <w:jc w:val="center"/>
              <w:rPr>
                <w:rFonts w:ascii="Calibri" w:eastAsia="Times New Roman" w:hAnsi="Calibri" w:cs="Times New Roman"/>
                <w:b/>
                <w:bCs/>
                <w:color w:val="000000"/>
                <w:sz w:val="28"/>
                <w:lang w:eastAsia="en-GB"/>
              </w:rPr>
            </w:pPr>
            <w:r w:rsidRPr="007C4670">
              <w:rPr>
                <w:rFonts w:ascii="Calibri" w:eastAsia="Times New Roman" w:hAnsi="Calibri" w:cs="Times New Roman"/>
                <w:b/>
                <w:bCs/>
                <w:color w:val="000000"/>
                <w:sz w:val="28"/>
                <w:lang w:eastAsia="en-GB"/>
              </w:rPr>
              <w:t>2014</w:t>
            </w:r>
          </w:p>
        </w:tc>
        <w:tc>
          <w:tcPr>
            <w:tcW w:w="1811" w:type="dxa"/>
            <w:tcBorders>
              <w:top w:val="nil"/>
              <w:left w:val="nil"/>
              <w:bottom w:val="single" w:sz="4" w:space="0" w:color="auto"/>
              <w:right w:val="single" w:sz="4" w:space="0" w:color="auto"/>
            </w:tcBorders>
            <w:shd w:val="clear" w:color="000000" w:fill="E2EFDA"/>
            <w:noWrap/>
            <w:vAlign w:val="center"/>
            <w:hideMark/>
          </w:tcPr>
          <w:p w:rsidR="007C4670" w:rsidRPr="007C4670" w:rsidRDefault="007C4670" w:rsidP="007C4670">
            <w:pPr>
              <w:spacing w:after="0" w:line="240" w:lineRule="auto"/>
              <w:jc w:val="center"/>
              <w:rPr>
                <w:rFonts w:ascii="Calibri" w:eastAsia="Times New Roman" w:hAnsi="Calibri" w:cs="Times New Roman"/>
                <w:b/>
                <w:bCs/>
                <w:color w:val="000000"/>
                <w:sz w:val="28"/>
                <w:lang w:eastAsia="en-GB"/>
              </w:rPr>
            </w:pPr>
            <w:r w:rsidRPr="007C4670">
              <w:rPr>
                <w:rFonts w:ascii="Calibri" w:eastAsia="Times New Roman" w:hAnsi="Calibri" w:cs="Times New Roman"/>
                <w:b/>
                <w:bCs/>
                <w:color w:val="000000"/>
                <w:sz w:val="28"/>
                <w:lang w:eastAsia="en-GB"/>
              </w:rPr>
              <w:t>2015</w:t>
            </w:r>
          </w:p>
        </w:tc>
      </w:tr>
      <w:tr w:rsidR="007C4670" w:rsidRPr="007C4670" w:rsidTr="007C4670">
        <w:trPr>
          <w:trHeight w:val="315"/>
        </w:trPr>
        <w:tc>
          <w:tcPr>
            <w:tcW w:w="3687" w:type="dxa"/>
            <w:tcBorders>
              <w:top w:val="nil"/>
              <w:left w:val="single" w:sz="4" w:space="0" w:color="auto"/>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Cost of goods sold</w:t>
            </w:r>
          </w:p>
        </w:tc>
        <w:tc>
          <w:tcPr>
            <w:tcW w:w="1811"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2,765,198,852</w:t>
            </w:r>
          </w:p>
        </w:tc>
        <w:tc>
          <w:tcPr>
            <w:tcW w:w="1811"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3,028,576,709</w:t>
            </w:r>
          </w:p>
        </w:tc>
        <w:tc>
          <w:tcPr>
            <w:tcW w:w="1811"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4,633,055,191</w:t>
            </w:r>
          </w:p>
        </w:tc>
      </w:tr>
      <w:tr w:rsidR="007C4670" w:rsidRPr="007C4670" w:rsidTr="007C4670">
        <w:trPr>
          <w:trHeight w:val="315"/>
        </w:trPr>
        <w:tc>
          <w:tcPr>
            <w:tcW w:w="3687" w:type="dxa"/>
            <w:tcBorders>
              <w:top w:val="nil"/>
              <w:left w:val="single" w:sz="4" w:space="0" w:color="auto"/>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Average inventory</w:t>
            </w:r>
          </w:p>
        </w:tc>
        <w:tc>
          <w:tcPr>
            <w:tcW w:w="1811"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296,834,041</w:t>
            </w:r>
          </w:p>
        </w:tc>
        <w:tc>
          <w:tcPr>
            <w:tcW w:w="1811"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314,857,993</w:t>
            </w:r>
          </w:p>
        </w:tc>
        <w:tc>
          <w:tcPr>
            <w:tcW w:w="1811"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388,992,591</w:t>
            </w:r>
          </w:p>
        </w:tc>
      </w:tr>
      <w:tr w:rsidR="007C4670" w:rsidRPr="007C4670" w:rsidTr="007C4670">
        <w:trPr>
          <w:trHeight w:val="315"/>
        </w:trPr>
        <w:tc>
          <w:tcPr>
            <w:tcW w:w="3687" w:type="dxa"/>
            <w:tcBorders>
              <w:top w:val="nil"/>
              <w:left w:val="single" w:sz="4" w:space="0" w:color="auto"/>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Credit sales</w:t>
            </w:r>
          </w:p>
        </w:tc>
        <w:tc>
          <w:tcPr>
            <w:tcW w:w="1811"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137,307,229</w:t>
            </w:r>
          </w:p>
        </w:tc>
        <w:tc>
          <w:tcPr>
            <w:tcW w:w="1811"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172,214,943</w:t>
            </w:r>
          </w:p>
        </w:tc>
        <w:tc>
          <w:tcPr>
            <w:tcW w:w="1811"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4,379,153</w:t>
            </w:r>
          </w:p>
        </w:tc>
      </w:tr>
      <w:tr w:rsidR="007C4670" w:rsidRPr="007C4670" w:rsidTr="007C4670">
        <w:trPr>
          <w:trHeight w:val="315"/>
        </w:trPr>
        <w:tc>
          <w:tcPr>
            <w:tcW w:w="3687" w:type="dxa"/>
            <w:tcBorders>
              <w:top w:val="nil"/>
              <w:left w:val="single" w:sz="4" w:space="0" w:color="auto"/>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Average accounts receivables</w:t>
            </w:r>
          </w:p>
        </w:tc>
        <w:tc>
          <w:tcPr>
            <w:tcW w:w="1811"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514,516,970</w:t>
            </w:r>
          </w:p>
        </w:tc>
        <w:tc>
          <w:tcPr>
            <w:tcW w:w="1811"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661,111,208</w:t>
            </w:r>
          </w:p>
        </w:tc>
        <w:tc>
          <w:tcPr>
            <w:tcW w:w="1811"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750,870,626</w:t>
            </w:r>
          </w:p>
        </w:tc>
      </w:tr>
      <w:tr w:rsidR="007C4670" w:rsidRPr="007C4670" w:rsidTr="007C4670">
        <w:trPr>
          <w:trHeight w:val="315"/>
        </w:trPr>
        <w:tc>
          <w:tcPr>
            <w:tcW w:w="3687" w:type="dxa"/>
            <w:tcBorders>
              <w:top w:val="nil"/>
              <w:left w:val="single" w:sz="4" w:space="0" w:color="auto"/>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Credit purchase</w:t>
            </w:r>
          </w:p>
        </w:tc>
        <w:tc>
          <w:tcPr>
            <w:tcW w:w="1811"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32,122,440</w:t>
            </w:r>
          </w:p>
        </w:tc>
        <w:tc>
          <w:tcPr>
            <w:tcW w:w="1811"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95,939,136</w:t>
            </w:r>
          </w:p>
        </w:tc>
        <w:tc>
          <w:tcPr>
            <w:tcW w:w="1811"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66,158,654</w:t>
            </w:r>
          </w:p>
        </w:tc>
      </w:tr>
      <w:tr w:rsidR="007C4670" w:rsidRPr="007C4670" w:rsidTr="007C4670">
        <w:trPr>
          <w:trHeight w:val="315"/>
        </w:trPr>
        <w:tc>
          <w:tcPr>
            <w:tcW w:w="3687" w:type="dxa"/>
            <w:tcBorders>
              <w:top w:val="nil"/>
              <w:left w:val="single" w:sz="4" w:space="0" w:color="auto"/>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Average accounts payable</w:t>
            </w:r>
          </w:p>
        </w:tc>
        <w:tc>
          <w:tcPr>
            <w:tcW w:w="1811"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183,827,541</w:t>
            </w:r>
          </w:p>
        </w:tc>
        <w:tc>
          <w:tcPr>
            <w:tcW w:w="1811"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132,076,001</w:t>
            </w:r>
          </w:p>
        </w:tc>
        <w:tc>
          <w:tcPr>
            <w:tcW w:w="1811"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177,731,332</w:t>
            </w:r>
          </w:p>
        </w:tc>
      </w:tr>
      <w:tr w:rsidR="007C4670" w:rsidRPr="007C4670" w:rsidTr="007C4670">
        <w:trPr>
          <w:trHeight w:val="315"/>
        </w:trPr>
        <w:tc>
          <w:tcPr>
            <w:tcW w:w="3687" w:type="dxa"/>
            <w:tcBorders>
              <w:top w:val="nil"/>
              <w:left w:val="single" w:sz="4" w:space="0" w:color="auto"/>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Net sales</w:t>
            </w:r>
          </w:p>
        </w:tc>
        <w:tc>
          <w:tcPr>
            <w:tcW w:w="1811"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716,085,536</w:t>
            </w:r>
          </w:p>
        </w:tc>
        <w:tc>
          <w:tcPr>
            <w:tcW w:w="1811"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606,412,471</w:t>
            </w:r>
          </w:p>
        </w:tc>
        <w:tc>
          <w:tcPr>
            <w:tcW w:w="1811"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897,057,376</w:t>
            </w:r>
          </w:p>
        </w:tc>
      </w:tr>
      <w:tr w:rsidR="007C4670" w:rsidRPr="007C4670" w:rsidTr="007C4670">
        <w:trPr>
          <w:trHeight w:val="315"/>
        </w:trPr>
        <w:tc>
          <w:tcPr>
            <w:tcW w:w="3687" w:type="dxa"/>
            <w:tcBorders>
              <w:top w:val="nil"/>
              <w:left w:val="single" w:sz="4" w:space="0" w:color="auto"/>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Average working capital</w:t>
            </w:r>
          </w:p>
        </w:tc>
        <w:tc>
          <w:tcPr>
            <w:tcW w:w="1811"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1,652,864,912</w:t>
            </w:r>
          </w:p>
        </w:tc>
        <w:tc>
          <w:tcPr>
            <w:tcW w:w="1811"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2,198,749,310</w:t>
            </w:r>
          </w:p>
        </w:tc>
        <w:tc>
          <w:tcPr>
            <w:tcW w:w="1811"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2,559,434,489</w:t>
            </w:r>
          </w:p>
        </w:tc>
      </w:tr>
      <w:tr w:rsidR="007C4670" w:rsidRPr="007C4670" w:rsidTr="007C4670">
        <w:trPr>
          <w:trHeight w:val="315"/>
        </w:trPr>
        <w:tc>
          <w:tcPr>
            <w:tcW w:w="3687" w:type="dxa"/>
            <w:tcBorders>
              <w:top w:val="nil"/>
              <w:left w:val="single" w:sz="4" w:space="0" w:color="auto"/>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Sales</w:t>
            </w:r>
          </w:p>
        </w:tc>
        <w:tc>
          <w:tcPr>
            <w:tcW w:w="1811"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3,481,284,388</w:t>
            </w:r>
          </w:p>
        </w:tc>
        <w:tc>
          <w:tcPr>
            <w:tcW w:w="1811"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3,634,989,180</w:t>
            </w:r>
          </w:p>
        </w:tc>
        <w:tc>
          <w:tcPr>
            <w:tcW w:w="1811"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5,530,112,567</w:t>
            </w:r>
          </w:p>
        </w:tc>
      </w:tr>
      <w:tr w:rsidR="007C4670" w:rsidRPr="007C4670" w:rsidTr="007C4670">
        <w:trPr>
          <w:trHeight w:val="315"/>
        </w:trPr>
        <w:tc>
          <w:tcPr>
            <w:tcW w:w="3687" w:type="dxa"/>
            <w:tcBorders>
              <w:top w:val="nil"/>
              <w:left w:val="single" w:sz="4" w:space="0" w:color="auto"/>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Average fixed asset</w:t>
            </w:r>
          </w:p>
        </w:tc>
        <w:tc>
          <w:tcPr>
            <w:tcW w:w="1811"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2,682,674,264</w:t>
            </w:r>
          </w:p>
        </w:tc>
        <w:tc>
          <w:tcPr>
            <w:tcW w:w="1811"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2,587,131,910</w:t>
            </w:r>
          </w:p>
        </w:tc>
        <w:tc>
          <w:tcPr>
            <w:tcW w:w="1811"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3,077,497,095</w:t>
            </w:r>
          </w:p>
        </w:tc>
      </w:tr>
      <w:tr w:rsidR="007C4670" w:rsidRPr="007C4670" w:rsidTr="007C4670">
        <w:trPr>
          <w:trHeight w:val="315"/>
        </w:trPr>
        <w:tc>
          <w:tcPr>
            <w:tcW w:w="3687" w:type="dxa"/>
            <w:tcBorders>
              <w:top w:val="nil"/>
              <w:left w:val="single" w:sz="4" w:space="0" w:color="auto"/>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Total asset</w:t>
            </w:r>
          </w:p>
        </w:tc>
        <w:tc>
          <w:tcPr>
            <w:tcW w:w="1811"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4,587,102,041</w:t>
            </w:r>
          </w:p>
        </w:tc>
        <w:tc>
          <w:tcPr>
            <w:tcW w:w="1811"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5,061,452,990</w:t>
            </w:r>
          </w:p>
        </w:tc>
        <w:tc>
          <w:tcPr>
            <w:tcW w:w="1811"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6,245,999,864</w:t>
            </w:r>
          </w:p>
        </w:tc>
      </w:tr>
    </w:tbl>
    <w:p w:rsidR="007C4670" w:rsidRDefault="007C4670" w:rsidP="00657C9E"/>
    <w:p w:rsidR="007C4670" w:rsidRDefault="007C4670" w:rsidP="00657C9E">
      <w:r>
        <w:br w:type="page"/>
      </w:r>
    </w:p>
    <w:p w:rsidR="007C4670" w:rsidRDefault="007C4670" w:rsidP="007C4670">
      <w:pPr>
        <w:pStyle w:val="Heading1"/>
      </w:pPr>
      <w:r>
        <w:lastRenderedPageBreak/>
        <w:t>Activity Ratio Analysis:</w:t>
      </w:r>
    </w:p>
    <w:tbl>
      <w:tblPr>
        <w:tblW w:w="8926" w:type="dxa"/>
        <w:tblLook w:val="04A0" w:firstRow="1" w:lastRow="0" w:firstColumn="1" w:lastColumn="0" w:noHBand="0" w:noVBand="1"/>
      </w:tblPr>
      <w:tblGrid>
        <w:gridCol w:w="573"/>
        <w:gridCol w:w="2795"/>
        <w:gridCol w:w="1881"/>
        <w:gridCol w:w="1843"/>
        <w:gridCol w:w="1843"/>
      </w:tblGrid>
      <w:tr w:rsidR="007C4670" w:rsidRPr="007C4670" w:rsidTr="007C4670">
        <w:trPr>
          <w:trHeight w:val="420"/>
        </w:trPr>
        <w:tc>
          <w:tcPr>
            <w:tcW w:w="8926" w:type="dxa"/>
            <w:gridSpan w:val="5"/>
            <w:tcBorders>
              <w:top w:val="single" w:sz="4" w:space="0" w:color="auto"/>
              <w:left w:val="single" w:sz="4" w:space="0" w:color="auto"/>
              <w:bottom w:val="single" w:sz="4" w:space="0" w:color="auto"/>
              <w:right w:val="single" w:sz="4" w:space="0" w:color="auto"/>
            </w:tcBorders>
            <w:shd w:val="clear" w:color="000000" w:fill="FCE4D6"/>
            <w:noWrap/>
            <w:vAlign w:val="center"/>
            <w:hideMark/>
          </w:tcPr>
          <w:p w:rsidR="007C4670" w:rsidRPr="007C4670" w:rsidRDefault="007C4670" w:rsidP="007C4670">
            <w:pPr>
              <w:spacing w:after="0" w:line="240" w:lineRule="auto"/>
              <w:jc w:val="center"/>
              <w:rPr>
                <w:rFonts w:ascii="Calibri" w:eastAsia="Times New Roman" w:hAnsi="Calibri" w:cs="Times New Roman"/>
                <w:b/>
                <w:bCs/>
                <w:color w:val="000000"/>
                <w:sz w:val="32"/>
                <w:szCs w:val="32"/>
                <w:lang w:eastAsia="en-GB"/>
              </w:rPr>
            </w:pPr>
            <w:r w:rsidRPr="007C4670">
              <w:rPr>
                <w:rFonts w:ascii="Calibri" w:eastAsia="Times New Roman" w:hAnsi="Calibri" w:cs="Times New Roman"/>
                <w:b/>
                <w:bCs/>
                <w:color w:val="000000"/>
                <w:sz w:val="32"/>
                <w:szCs w:val="32"/>
                <w:lang w:eastAsia="en-GB"/>
              </w:rPr>
              <w:t>Ratio Analysis</w:t>
            </w:r>
          </w:p>
        </w:tc>
      </w:tr>
      <w:tr w:rsidR="007C4670" w:rsidRPr="007C4670" w:rsidTr="007C4670">
        <w:trPr>
          <w:trHeight w:val="300"/>
        </w:trPr>
        <w:tc>
          <w:tcPr>
            <w:tcW w:w="564" w:type="dxa"/>
            <w:tcBorders>
              <w:top w:val="nil"/>
              <w:left w:val="single" w:sz="4" w:space="0" w:color="auto"/>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b/>
                <w:bCs/>
                <w:color w:val="000000"/>
                <w:sz w:val="28"/>
                <w:lang w:eastAsia="en-GB"/>
              </w:rPr>
            </w:pPr>
            <w:r w:rsidRPr="007C4670">
              <w:rPr>
                <w:rFonts w:ascii="Calibri" w:eastAsia="Times New Roman" w:hAnsi="Calibri" w:cs="Times New Roman"/>
                <w:b/>
                <w:bCs/>
                <w:color w:val="000000"/>
                <w:sz w:val="28"/>
                <w:lang w:eastAsia="en-GB"/>
              </w:rPr>
              <w:t> </w:t>
            </w:r>
          </w:p>
        </w:tc>
        <w:tc>
          <w:tcPr>
            <w:tcW w:w="2795" w:type="dxa"/>
            <w:tcBorders>
              <w:top w:val="nil"/>
              <w:left w:val="nil"/>
              <w:bottom w:val="single" w:sz="4" w:space="0" w:color="auto"/>
              <w:right w:val="single" w:sz="4" w:space="0" w:color="auto"/>
            </w:tcBorders>
            <w:shd w:val="clear" w:color="000000" w:fill="FFF2CC"/>
            <w:noWrap/>
            <w:vAlign w:val="center"/>
            <w:hideMark/>
          </w:tcPr>
          <w:p w:rsidR="007C4670" w:rsidRPr="007C4670" w:rsidRDefault="007C4670" w:rsidP="007C4670">
            <w:pPr>
              <w:spacing w:after="0" w:line="240" w:lineRule="auto"/>
              <w:jc w:val="center"/>
              <w:rPr>
                <w:rFonts w:ascii="Calibri" w:eastAsia="Times New Roman" w:hAnsi="Calibri" w:cs="Times New Roman"/>
                <w:b/>
                <w:bCs/>
                <w:color w:val="000000"/>
                <w:sz w:val="28"/>
                <w:lang w:eastAsia="en-GB"/>
              </w:rPr>
            </w:pPr>
            <w:r w:rsidRPr="007C4670">
              <w:rPr>
                <w:rFonts w:ascii="Calibri" w:eastAsia="Times New Roman" w:hAnsi="Calibri" w:cs="Times New Roman"/>
                <w:b/>
                <w:bCs/>
                <w:color w:val="000000"/>
                <w:sz w:val="28"/>
                <w:lang w:eastAsia="en-GB"/>
              </w:rPr>
              <w:t>Name of Ratios</w:t>
            </w:r>
          </w:p>
        </w:tc>
        <w:tc>
          <w:tcPr>
            <w:tcW w:w="1881" w:type="dxa"/>
            <w:tcBorders>
              <w:top w:val="nil"/>
              <w:left w:val="nil"/>
              <w:bottom w:val="single" w:sz="4" w:space="0" w:color="auto"/>
              <w:right w:val="single" w:sz="4" w:space="0" w:color="auto"/>
            </w:tcBorders>
            <w:shd w:val="clear" w:color="000000" w:fill="FFF2CC"/>
            <w:noWrap/>
            <w:vAlign w:val="center"/>
            <w:hideMark/>
          </w:tcPr>
          <w:p w:rsidR="007C4670" w:rsidRPr="007C4670" w:rsidRDefault="007C4670" w:rsidP="007C4670">
            <w:pPr>
              <w:spacing w:after="0" w:line="240" w:lineRule="auto"/>
              <w:jc w:val="center"/>
              <w:rPr>
                <w:rFonts w:ascii="Calibri" w:eastAsia="Times New Roman" w:hAnsi="Calibri" w:cs="Times New Roman"/>
                <w:b/>
                <w:bCs/>
                <w:color w:val="000000"/>
                <w:sz w:val="28"/>
                <w:lang w:eastAsia="en-GB"/>
              </w:rPr>
            </w:pPr>
            <w:r w:rsidRPr="007C4670">
              <w:rPr>
                <w:rFonts w:ascii="Calibri" w:eastAsia="Times New Roman" w:hAnsi="Calibri" w:cs="Times New Roman"/>
                <w:b/>
                <w:bCs/>
                <w:color w:val="000000"/>
                <w:sz w:val="28"/>
                <w:lang w:eastAsia="en-GB"/>
              </w:rPr>
              <w:t>2013</w:t>
            </w:r>
          </w:p>
        </w:tc>
        <w:tc>
          <w:tcPr>
            <w:tcW w:w="1843" w:type="dxa"/>
            <w:tcBorders>
              <w:top w:val="nil"/>
              <w:left w:val="nil"/>
              <w:bottom w:val="single" w:sz="4" w:space="0" w:color="auto"/>
              <w:right w:val="single" w:sz="4" w:space="0" w:color="auto"/>
            </w:tcBorders>
            <w:shd w:val="clear" w:color="000000" w:fill="FFF2CC"/>
            <w:noWrap/>
            <w:vAlign w:val="center"/>
            <w:hideMark/>
          </w:tcPr>
          <w:p w:rsidR="007C4670" w:rsidRPr="007C4670" w:rsidRDefault="007C4670" w:rsidP="007C4670">
            <w:pPr>
              <w:spacing w:after="0" w:line="240" w:lineRule="auto"/>
              <w:jc w:val="center"/>
              <w:rPr>
                <w:rFonts w:ascii="Calibri" w:eastAsia="Times New Roman" w:hAnsi="Calibri" w:cs="Times New Roman"/>
                <w:b/>
                <w:bCs/>
                <w:color w:val="000000"/>
                <w:sz w:val="28"/>
                <w:lang w:eastAsia="en-GB"/>
              </w:rPr>
            </w:pPr>
            <w:r w:rsidRPr="007C4670">
              <w:rPr>
                <w:rFonts w:ascii="Calibri" w:eastAsia="Times New Roman" w:hAnsi="Calibri" w:cs="Times New Roman"/>
                <w:b/>
                <w:bCs/>
                <w:color w:val="000000"/>
                <w:sz w:val="28"/>
                <w:lang w:eastAsia="en-GB"/>
              </w:rPr>
              <w:t>2014</w:t>
            </w:r>
          </w:p>
        </w:tc>
        <w:tc>
          <w:tcPr>
            <w:tcW w:w="1843" w:type="dxa"/>
            <w:tcBorders>
              <w:top w:val="nil"/>
              <w:left w:val="nil"/>
              <w:bottom w:val="single" w:sz="4" w:space="0" w:color="auto"/>
              <w:right w:val="single" w:sz="4" w:space="0" w:color="auto"/>
            </w:tcBorders>
            <w:shd w:val="clear" w:color="000000" w:fill="FFF2CC"/>
            <w:noWrap/>
            <w:vAlign w:val="center"/>
            <w:hideMark/>
          </w:tcPr>
          <w:p w:rsidR="007C4670" w:rsidRPr="007C4670" w:rsidRDefault="007C4670" w:rsidP="007C4670">
            <w:pPr>
              <w:spacing w:after="0" w:line="240" w:lineRule="auto"/>
              <w:jc w:val="center"/>
              <w:rPr>
                <w:rFonts w:ascii="Calibri" w:eastAsia="Times New Roman" w:hAnsi="Calibri" w:cs="Times New Roman"/>
                <w:b/>
                <w:bCs/>
                <w:color w:val="000000"/>
                <w:sz w:val="28"/>
                <w:lang w:eastAsia="en-GB"/>
              </w:rPr>
            </w:pPr>
            <w:r w:rsidRPr="007C4670">
              <w:rPr>
                <w:rFonts w:ascii="Calibri" w:eastAsia="Times New Roman" w:hAnsi="Calibri" w:cs="Times New Roman"/>
                <w:b/>
                <w:bCs/>
                <w:color w:val="000000"/>
                <w:sz w:val="28"/>
                <w:lang w:eastAsia="en-GB"/>
              </w:rPr>
              <w:t>2015</w:t>
            </w:r>
          </w:p>
        </w:tc>
      </w:tr>
      <w:tr w:rsidR="007C4670" w:rsidRPr="007C4670" w:rsidTr="007C4670">
        <w:trPr>
          <w:trHeight w:val="315"/>
        </w:trPr>
        <w:tc>
          <w:tcPr>
            <w:tcW w:w="564" w:type="dxa"/>
            <w:vMerge w:val="restart"/>
            <w:tcBorders>
              <w:top w:val="nil"/>
              <w:left w:val="single" w:sz="4" w:space="0" w:color="auto"/>
              <w:bottom w:val="single" w:sz="4" w:space="0" w:color="000000"/>
              <w:right w:val="single" w:sz="4" w:space="0" w:color="auto"/>
            </w:tcBorders>
            <w:shd w:val="clear" w:color="000000" w:fill="D6DCE4"/>
            <w:noWrap/>
            <w:textDirection w:val="btLr"/>
            <w:vAlign w:val="center"/>
            <w:hideMark/>
          </w:tcPr>
          <w:p w:rsidR="007C4670" w:rsidRPr="007C4670" w:rsidRDefault="007C4670" w:rsidP="007C4670">
            <w:pPr>
              <w:spacing w:after="0" w:line="240" w:lineRule="auto"/>
              <w:jc w:val="center"/>
              <w:rPr>
                <w:rFonts w:ascii="Calibri" w:eastAsia="Times New Roman" w:hAnsi="Calibri" w:cs="Times New Roman"/>
                <w:b/>
                <w:bCs/>
                <w:color w:val="000000"/>
                <w:sz w:val="28"/>
                <w:lang w:eastAsia="en-GB"/>
              </w:rPr>
            </w:pPr>
            <w:r w:rsidRPr="007C4670">
              <w:rPr>
                <w:rFonts w:ascii="Calibri" w:eastAsia="Times New Roman" w:hAnsi="Calibri" w:cs="Times New Roman"/>
                <w:b/>
                <w:bCs/>
                <w:color w:val="000000"/>
                <w:sz w:val="28"/>
                <w:lang w:eastAsia="en-GB"/>
              </w:rPr>
              <w:t>BATBC</w:t>
            </w:r>
          </w:p>
        </w:tc>
        <w:tc>
          <w:tcPr>
            <w:tcW w:w="2795"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Inventory Turnover</w:t>
            </w:r>
          </w:p>
        </w:tc>
        <w:tc>
          <w:tcPr>
            <w:tcW w:w="1881"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2.641031</w:t>
            </w:r>
          </w:p>
        </w:tc>
        <w:tc>
          <w:tcPr>
            <w:tcW w:w="1843"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1.049707</w:t>
            </w:r>
          </w:p>
        </w:tc>
        <w:tc>
          <w:tcPr>
            <w:tcW w:w="1843"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2.4034696</w:t>
            </w:r>
          </w:p>
        </w:tc>
      </w:tr>
      <w:tr w:rsidR="007C4670" w:rsidRPr="007C4670" w:rsidTr="007C4670">
        <w:trPr>
          <w:trHeight w:val="315"/>
        </w:trPr>
        <w:tc>
          <w:tcPr>
            <w:tcW w:w="564" w:type="dxa"/>
            <w:vMerge/>
            <w:tcBorders>
              <w:top w:val="nil"/>
              <w:left w:val="single" w:sz="4" w:space="0" w:color="auto"/>
              <w:bottom w:val="single" w:sz="4" w:space="0" w:color="000000"/>
              <w:right w:val="single" w:sz="4" w:space="0" w:color="auto"/>
            </w:tcBorders>
            <w:vAlign w:val="center"/>
            <w:hideMark/>
          </w:tcPr>
          <w:p w:rsidR="007C4670" w:rsidRPr="007C4670" w:rsidRDefault="007C4670" w:rsidP="007C4670">
            <w:pPr>
              <w:spacing w:after="0" w:line="240" w:lineRule="auto"/>
              <w:rPr>
                <w:rFonts w:ascii="Calibri" w:eastAsia="Times New Roman" w:hAnsi="Calibri" w:cs="Times New Roman"/>
                <w:b/>
                <w:bCs/>
                <w:color w:val="000000"/>
                <w:sz w:val="28"/>
                <w:lang w:eastAsia="en-GB"/>
              </w:rPr>
            </w:pPr>
          </w:p>
        </w:tc>
        <w:tc>
          <w:tcPr>
            <w:tcW w:w="2795"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Average Holding Period</w:t>
            </w:r>
          </w:p>
        </w:tc>
        <w:tc>
          <w:tcPr>
            <w:tcW w:w="1881"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138.2036</w:t>
            </w:r>
          </w:p>
        </w:tc>
        <w:tc>
          <w:tcPr>
            <w:tcW w:w="1843"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347.7161</w:t>
            </w:r>
          </w:p>
        </w:tc>
        <w:tc>
          <w:tcPr>
            <w:tcW w:w="1843"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151.86379</w:t>
            </w:r>
          </w:p>
        </w:tc>
      </w:tr>
      <w:tr w:rsidR="007C4670" w:rsidRPr="007C4670" w:rsidTr="007C4670">
        <w:trPr>
          <w:trHeight w:val="315"/>
        </w:trPr>
        <w:tc>
          <w:tcPr>
            <w:tcW w:w="564" w:type="dxa"/>
            <w:vMerge/>
            <w:tcBorders>
              <w:top w:val="nil"/>
              <w:left w:val="single" w:sz="4" w:space="0" w:color="auto"/>
              <w:bottom w:val="single" w:sz="4" w:space="0" w:color="000000"/>
              <w:right w:val="single" w:sz="4" w:space="0" w:color="auto"/>
            </w:tcBorders>
            <w:vAlign w:val="center"/>
            <w:hideMark/>
          </w:tcPr>
          <w:p w:rsidR="007C4670" w:rsidRPr="007C4670" w:rsidRDefault="007C4670" w:rsidP="007C4670">
            <w:pPr>
              <w:spacing w:after="0" w:line="240" w:lineRule="auto"/>
              <w:rPr>
                <w:rFonts w:ascii="Calibri" w:eastAsia="Times New Roman" w:hAnsi="Calibri" w:cs="Times New Roman"/>
                <w:b/>
                <w:bCs/>
                <w:color w:val="000000"/>
                <w:sz w:val="28"/>
                <w:lang w:eastAsia="en-GB"/>
              </w:rPr>
            </w:pPr>
          </w:p>
        </w:tc>
        <w:tc>
          <w:tcPr>
            <w:tcW w:w="2795"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Receivable Turnover</w:t>
            </w:r>
          </w:p>
        </w:tc>
        <w:tc>
          <w:tcPr>
            <w:tcW w:w="1881"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0.317343</w:t>
            </w:r>
          </w:p>
        </w:tc>
        <w:tc>
          <w:tcPr>
            <w:tcW w:w="1843"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0.841654</w:t>
            </w:r>
          </w:p>
        </w:tc>
        <w:tc>
          <w:tcPr>
            <w:tcW w:w="1843"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0.780218</w:t>
            </w:r>
          </w:p>
        </w:tc>
      </w:tr>
      <w:tr w:rsidR="007C4670" w:rsidRPr="007C4670" w:rsidTr="007C4670">
        <w:trPr>
          <w:trHeight w:val="315"/>
        </w:trPr>
        <w:tc>
          <w:tcPr>
            <w:tcW w:w="564" w:type="dxa"/>
            <w:vMerge/>
            <w:tcBorders>
              <w:top w:val="nil"/>
              <w:left w:val="single" w:sz="4" w:space="0" w:color="auto"/>
              <w:bottom w:val="single" w:sz="4" w:space="0" w:color="000000"/>
              <w:right w:val="single" w:sz="4" w:space="0" w:color="auto"/>
            </w:tcBorders>
            <w:vAlign w:val="center"/>
            <w:hideMark/>
          </w:tcPr>
          <w:p w:rsidR="007C4670" w:rsidRPr="007C4670" w:rsidRDefault="007C4670" w:rsidP="007C4670">
            <w:pPr>
              <w:spacing w:after="0" w:line="240" w:lineRule="auto"/>
              <w:rPr>
                <w:rFonts w:ascii="Calibri" w:eastAsia="Times New Roman" w:hAnsi="Calibri" w:cs="Times New Roman"/>
                <w:b/>
                <w:bCs/>
                <w:color w:val="000000"/>
                <w:sz w:val="28"/>
                <w:lang w:eastAsia="en-GB"/>
              </w:rPr>
            </w:pPr>
          </w:p>
        </w:tc>
        <w:tc>
          <w:tcPr>
            <w:tcW w:w="2795"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Average Collection Period</w:t>
            </w:r>
          </w:p>
        </w:tc>
        <w:tc>
          <w:tcPr>
            <w:tcW w:w="1881"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1150.176</w:t>
            </w:r>
          </w:p>
        </w:tc>
        <w:tc>
          <w:tcPr>
            <w:tcW w:w="1843"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433.6699</w:t>
            </w:r>
          </w:p>
        </w:tc>
        <w:tc>
          <w:tcPr>
            <w:tcW w:w="1843"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467.81796</w:t>
            </w:r>
          </w:p>
        </w:tc>
      </w:tr>
      <w:tr w:rsidR="007C4670" w:rsidRPr="007C4670" w:rsidTr="007C4670">
        <w:trPr>
          <w:trHeight w:val="315"/>
        </w:trPr>
        <w:tc>
          <w:tcPr>
            <w:tcW w:w="564" w:type="dxa"/>
            <w:vMerge/>
            <w:tcBorders>
              <w:top w:val="nil"/>
              <w:left w:val="single" w:sz="4" w:space="0" w:color="auto"/>
              <w:bottom w:val="single" w:sz="4" w:space="0" w:color="000000"/>
              <w:right w:val="single" w:sz="4" w:space="0" w:color="auto"/>
            </w:tcBorders>
            <w:vAlign w:val="center"/>
            <w:hideMark/>
          </w:tcPr>
          <w:p w:rsidR="007C4670" w:rsidRPr="007C4670" w:rsidRDefault="007C4670" w:rsidP="007C4670">
            <w:pPr>
              <w:spacing w:after="0" w:line="240" w:lineRule="auto"/>
              <w:rPr>
                <w:rFonts w:ascii="Calibri" w:eastAsia="Times New Roman" w:hAnsi="Calibri" w:cs="Times New Roman"/>
                <w:b/>
                <w:bCs/>
                <w:color w:val="000000"/>
                <w:sz w:val="28"/>
                <w:lang w:eastAsia="en-GB"/>
              </w:rPr>
            </w:pPr>
          </w:p>
        </w:tc>
        <w:tc>
          <w:tcPr>
            <w:tcW w:w="2795"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Payable Turnover</w:t>
            </w:r>
          </w:p>
        </w:tc>
        <w:tc>
          <w:tcPr>
            <w:tcW w:w="1881"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0.446892</w:t>
            </w:r>
          </w:p>
        </w:tc>
        <w:tc>
          <w:tcPr>
            <w:tcW w:w="1843"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0.617234</w:t>
            </w:r>
          </w:p>
        </w:tc>
        <w:tc>
          <w:tcPr>
            <w:tcW w:w="1843"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0.4542791</w:t>
            </w:r>
          </w:p>
        </w:tc>
      </w:tr>
      <w:tr w:rsidR="007C4670" w:rsidRPr="007C4670" w:rsidTr="007C4670">
        <w:trPr>
          <w:trHeight w:val="315"/>
        </w:trPr>
        <w:tc>
          <w:tcPr>
            <w:tcW w:w="564" w:type="dxa"/>
            <w:vMerge/>
            <w:tcBorders>
              <w:top w:val="nil"/>
              <w:left w:val="single" w:sz="4" w:space="0" w:color="auto"/>
              <w:bottom w:val="single" w:sz="4" w:space="0" w:color="000000"/>
              <w:right w:val="single" w:sz="4" w:space="0" w:color="auto"/>
            </w:tcBorders>
            <w:vAlign w:val="center"/>
            <w:hideMark/>
          </w:tcPr>
          <w:p w:rsidR="007C4670" w:rsidRPr="007C4670" w:rsidRDefault="007C4670" w:rsidP="007C4670">
            <w:pPr>
              <w:spacing w:after="0" w:line="240" w:lineRule="auto"/>
              <w:rPr>
                <w:rFonts w:ascii="Calibri" w:eastAsia="Times New Roman" w:hAnsi="Calibri" w:cs="Times New Roman"/>
                <w:b/>
                <w:bCs/>
                <w:color w:val="000000"/>
                <w:sz w:val="28"/>
                <w:lang w:eastAsia="en-GB"/>
              </w:rPr>
            </w:pPr>
          </w:p>
        </w:tc>
        <w:tc>
          <w:tcPr>
            <w:tcW w:w="2795"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Payable Deferral Period</w:t>
            </w:r>
          </w:p>
        </w:tc>
        <w:tc>
          <w:tcPr>
            <w:tcW w:w="1881"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816.7521</w:t>
            </w:r>
          </w:p>
        </w:tc>
        <w:tc>
          <w:tcPr>
            <w:tcW w:w="1843"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591.3474</w:t>
            </w:r>
          </w:p>
        </w:tc>
        <w:tc>
          <w:tcPr>
            <w:tcW w:w="1843"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803.47082</w:t>
            </w:r>
          </w:p>
        </w:tc>
      </w:tr>
      <w:tr w:rsidR="007C4670" w:rsidRPr="007C4670" w:rsidTr="007C4670">
        <w:trPr>
          <w:trHeight w:val="315"/>
        </w:trPr>
        <w:tc>
          <w:tcPr>
            <w:tcW w:w="564" w:type="dxa"/>
            <w:vMerge/>
            <w:tcBorders>
              <w:top w:val="nil"/>
              <w:left w:val="single" w:sz="4" w:space="0" w:color="auto"/>
              <w:bottom w:val="single" w:sz="4" w:space="0" w:color="000000"/>
              <w:right w:val="single" w:sz="4" w:space="0" w:color="auto"/>
            </w:tcBorders>
            <w:vAlign w:val="center"/>
            <w:hideMark/>
          </w:tcPr>
          <w:p w:rsidR="007C4670" w:rsidRPr="007C4670" w:rsidRDefault="007C4670" w:rsidP="007C4670">
            <w:pPr>
              <w:spacing w:after="0" w:line="240" w:lineRule="auto"/>
              <w:rPr>
                <w:rFonts w:ascii="Calibri" w:eastAsia="Times New Roman" w:hAnsi="Calibri" w:cs="Times New Roman"/>
                <w:b/>
                <w:bCs/>
                <w:color w:val="000000"/>
                <w:sz w:val="28"/>
                <w:lang w:eastAsia="en-GB"/>
              </w:rPr>
            </w:pPr>
          </w:p>
        </w:tc>
        <w:tc>
          <w:tcPr>
            <w:tcW w:w="2795"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Working Capital Turnover</w:t>
            </w:r>
          </w:p>
        </w:tc>
        <w:tc>
          <w:tcPr>
            <w:tcW w:w="1881"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9.630077</w:t>
            </w:r>
          </w:p>
        </w:tc>
        <w:tc>
          <w:tcPr>
            <w:tcW w:w="1843"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8.596158</w:t>
            </w:r>
          </w:p>
        </w:tc>
        <w:tc>
          <w:tcPr>
            <w:tcW w:w="1843"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7.9076964</w:t>
            </w:r>
          </w:p>
        </w:tc>
      </w:tr>
      <w:tr w:rsidR="007C4670" w:rsidRPr="007C4670" w:rsidTr="007C4670">
        <w:trPr>
          <w:trHeight w:val="315"/>
        </w:trPr>
        <w:tc>
          <w:tcPr>
            <w:tcW w:w="564" w:type="dxa"/>
            <w:vMerge/>
            <w:tcBorders>
              <w:top w:val="nil"/>
              <w:left w:val="single" w:sz="4" w:space="0" w:color="auto"/>
              <w:bottom w:val="single" w:sz="4" w:space="0" w:color="000000"/>
              <w:right w:val="single" w:sz="4" w:space="0" w:color="auto"/>
            </w:tcBorders>
            <w:vAlign w:val="center"/>
            <w:hideMark/>
          </w:tcPr>
          <w:p w:rsidR="007C4670" w:rsidRPr="007C4670" w:rsidRDefault="007C4670" w:rsidP="007C4670">
            <w:pPr>
              <w:spacing w:after="0" w:line="240" w:lineRule="auto"/>
              <w:rPr>
                <w:rFonts w:ascii="Calibri" w:eastAsia="Times New Roman" w:hAnsi="Calibri" w:cs="Times New Roman"/>
                <w:b/>
                <w:bCs/>
                <w:color w:val="000000"/>
                <w:sz w:val="28"/>
                <w:lang w:eastAsia="en-GB"/>
              </w:rPr>
            </w:pPr>
          </w:p>
        </w:tc>
        <w:tc>
          <w:tcPr>
            <w:tcW w:w="2795"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Fixed Asset Turnover</w:t>
            </w:r>
          </w:p>
        </w:tc>
        <w:tc>
          <w:tcPr>
            <w:tcW w:w="1881"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12.87203</w:t>
            </w:r>
          </w:p>
        </w:tc>
        <w:tc>
          <w:tcPr>
            <w:tcW w:w="1843"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12.35205</w:t>
            </w:r>
          </w:p>
        </w:tc>
        <w:tc>
          <w:tcPr>
            <w:tcW w:w="1843"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11.190932</w:t>
            </w:r>
          </w:p>
        </w:tc>
      </w:tr>
      <w:tr w:rsidR="007C4670" w:rsidRPr="007C4670" w:rsidTr="007C4670">
        <w:trPr>
          <w:trHeight w:val="315"/>
        </w:trPr>
        <w:tc>
          <w:tcPr>
            <w:tcW w:w="564" w:type="dxa"/>
            <w:vMerge/>
            <w:tcBorders>
              <w:top w:val="nil"/>
              <w:left w:val="single" w:sz="4" w:space="0" w:color="auto"/>
              <w:bottom w:val="single" w:sz="4" w:space="0" w:color="000000"/>
              <w:right w:val="single" w:sz="4" w:space="0" w:color="auto"/>
            </w:tcBorders>
            <w:vAlign w:val="center"/>
            <w:hideMark/>
          </w:tcPr>
          <w:p w:rsidR="007C4670" w:rsidRPr="007C4670" w:rsidRDefault="007C4670" w:rsidP="007C4670">
            <w:pPr>
              <w:spacing w:after="0" w:line="240" w:lineRule="auto"/>
              <w:rPr>
                <w:rFonts w:ascii="Calibri" w:eastAsia="Times New Roman" w:hAnsi="Calibri" w:cs="Times New Roman"/>
                <w:b/>
                <w:bCs/>
                <w:color w:val="000000"/>
                <w:sz w:val="28"/>
                <w:lang w:eastAsia="en-GB"/>
              </w:rPr>
            </w:pPr>
          </w:p>
        </w:tc>
        <w:tc>
          <w:tcPr>
            <w:tcW w:w="2795"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Total Asset Turnover</w:t>
            </w:r>
          </w:p>
        </w:tc>
        <w:tc>
          <w:tcPr>
            <w:tcW w:w="1881"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5.93495</w:t>
            </w:r>
          </w:p>
        </w:tc>
        <w:tc>
          <w:tcPr>
            <w:tcW w:w="1843"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4.683454</w:t>
            </w:r>
          </w:p>
        </w:tc>
        <w:tc>
          <w:tcPr>
            <w:tcW w:w="1843"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4.8566282</w:t>
            </w:r>
          </w:p>
        </w:tc>
      </w:tr>
      <w:tr w:rsidR="007C4670" w:rsidRPr="007C4670" w:rsidTr="007C4670">
        <w:trPr>
          <w:trHeight w:val="300"/>
        </w:trPr>
        <w:tc>
          <w:tcPr>
            <w:tcW w:w="8926"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Cs w:val="22"/>
                <w:lang w:eastAsia="en-GB"/>
              </w:rPr>
            </w:pPr>
            <w:r w:rsidRPr="007C4670">
              <w:rPr>
                <w:rFonts w:ascii="Calibri" w:eastAsia="Times New Roman" w:hAnsi="Calibri" w:cs="Times New Roman"/>
                <w:color w:val="000000"/>
                <w:szCs w:val="22"/>
                <w:lang w:eastAsia="en-GB"/>
              </w:rPr>
              <w:t> </w:t>
            </w:r>
          </w:p>
        </w:tc>
      </w:tr>
      <w:tr w:rsidR="007C4670" w:rsidRPr="007C4670" w:rsidTr="007C4670">
        <w:trPr>
          <w:trHeight w:val="315"/>
        </w:trPr>
        <w:tc>
          <w:tcPr>
            <w:tcW w:w="564" w:type="dxa"/>
            <w:vMerge w:val="restart"/>
            <w:tcBorders>
              <w:top w:val="nil"/>
              <w:left w:val="single" w:sz="4" w:space="0" w:color="auto"/>
              <w:bottom w:val="single" w:sz="4" w:space="0" w:color="000000"/>
              <w:right w:val="single" w:sz="4" w:space="0" w:color="auto"/>
            </w:tcBorders>
            <w:shd w:val="clear" w:color="000000" w:fill="D6DCE4"/>
            <w:noWrap/>
            <w:textDirection w:val="btLr"/>
            <w:vAlign w:val="center"/>
            <w:hideMark/>
          </w:tcPr>
          <w:p w:rsidR="007C4670" w:rsidRPr="007C4670" w:rsidRDefault="007C4670" w:rsidP="007C4670">
            <w:pPr>
              <w:spacing w:after="0" w:line="240" w:lineRule="auto"/>
              <w:jc w:val="center"/>
              <w:rPr>
                <w:rFonts w:ascii="Calibri" w:eastAsia="Times New Roman" w:hAnsi="Calibri" w:cs="Times New Roman"/>
                <w:b/>
                <w:bCs/>
                <w:color w:val="000000"/>
                <w:sz w:val="28"/>
                <w:lang w:eastAsia="en-GB"/>
              </w:rPr>
            </w:pPr>
            <w:r w:rsidRPr="007C4670">
              <w:rPr>
                <w:rFonts w:ascii="Calibri" w:eastAsia="Times New Roman" w:hAnsi="Calibri" w:cs="Times New Roman"/>
                <w:b/>
                <w:bCs/>
                <w:color w:val="000000"/>
                <w:sz w:val="28"/>
                <w:lang w:eastAsia="en-GB"/>
              </w:rPr>
              <w:t>CCL</w:t>
            </w:r>
          </w:p>
        </w:tc>
        <w:tc>
          <w:tcPr>
            <w:tcW w:w="2795"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Inventory Turnover</w:t>
            </w:r>
          </w:p>
        </w:tc>
        <w:tc>
          <w:tcPr>
            <w:tcW w:w="1881"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9.315639</w:t>
            </w:r>
          </w:p>
        </w:tc>
        <w:tc>
          <w:tcPr>
            <w:tcW w:w="1843"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9.618866</w:t>
            </w:r>
          </w:p>
        </w:tc>
        <w:tc>
          <w:tcPr>
            <w:tcW w:w="1843"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11.910394</w:t>
            </w:r>
          </w:p>
        </w:tc>
      </w:tr>
      <w:tr w:rsidR="007C4670" w:rsidRPr="007C4670" w:rsidTr="007C4670">
        <w:trPr>
          <w:trHeight w:val="315"/>
        </w:trPr>
        <w:tc>
          <w:tcPr>
            <w:tcW w:w="564" w:type="dxa"/>
            <w:vMerge/>
            <w:tcBorders>
              <w:top w:val="nil"/>
              <w:left w:val="single" w:sz="4" w:space="0" w:color="auto"/>
              <w:bottom w:val="single" w:sz="4" w:space="0" w:color="000000"/>
              <w:right w:val="single" w:sz="4" w:space="0" w:color="auto"/>
            </w:tcBorders>
            <w:vAlign w:val="center"/>
            <w:hideMark/>
          </w:tcPr>
          <w:p w:rsidR="007C4670" w:rsidRPr="007C4670" w:rsidRDefault="007C4670" w:rsidP="007C4670">
            <w:pPr>
              <w:spacing w:after="0" w:line="240" w:lineRule="auto"/>
              <w:rPr>
                <w:rFonts w:ascii="Calibri" w:eastAsia="Times New Roman" w:hAnsi="Calibri" w:cs="Times New Roman"/>
                <w:b/>
                <w:bCs/>
                <w:color w:val="000000"/>
                <w:sz w:val="28"/>
                <w:lang w:eastAsia="en-GB"/>
              </w:rPr>
            </w:pPr>
          </w:p>
        </w:tc>
        <w:tc>
          <w:tcPr>
            <w:tcW w:w="2795"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Average Holding Period</w:t>
            </w:r>
          </w:p>
        </w:tc>
        <w:tc>
          <w:tcPr>
            <w:tcW w:w="1881"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39.18142</w:t>
            </w:r>
          </w:p>
        </w:tc>
        <w:tc>
          <w:tcPr>
            <w:tcW w:w="1843"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37.94626</w:t>
            </w:r>
          </w:p>
        </w:tc>
        <w:tc>
          <w:tcPr>
            <w:tcW w:w="1843"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30.645501</w:t>
            </w:r>
          </w:p>
        </w:tc>
      </w:tr>
      <w:tr w:rsidR="007C4670" w:rsidRPr="007C4670" w:rsidTr="007C4670">
        <w:trPr>
          <w:trHeight w:val="420"/>
        </w:trPr>
        <w:tc>
          <w:tcPr>
            <w:tcW w:w="564" w:type="dxa"/>
            <w:vMerge/>
            <w:tcBorders>
              <w:top w:val="nil"/>
              <w:left w:val="single" w:sz="4" w:space="0" w:color="auto"/>
              <w:bottom w:val="single" w:sz="4" w:space="0" w:color="000000"/>
              <w:right w:val="single" w:sz="4" w:space="0" w:color="auto"/>
            </w:tcBorders>
            <w:vAlign w:val="center"/>
            <w:hideMark/>
          </w:tcPr>
          <w:p w:rsidR="007C4670" w:rsidRPr="007C4670" w:rsidRDefault="007C4670" w:rsidP="007C4670">
            <w:pPr>
              <w:spacing w:after="0" w:line="240" w:lineRule="auto"/>
              <w:rPr>
                <w:rFonts w:ascii="Calibri" w:eastAsia="Times New Roman" w:hAnsi="Calibri" w:cs="Times New Roman"/>
                <w:b/>
                <w:bCs/>
                <w:color w:val="000000"/>
                <w:sz w:val="28"/>
                <w:lang w:eastAsia="en-GB"/>
              </w:rPr>
            </w:pPr>
          </w:p>
        </w:tc>
        <w:tc>
          <w:tcPr>
            <w:tcW w:w="2795"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Receivable Turnover</w:t>
            </w:r>
          </w:p>
        </w:tc>
        <w:tc>
          <w:tcPr>
            <w:tcW w:w="1881"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0.266866</w:t>
            </w:r>
          </w:p>
        </w:tc>
        <w:tc>
          <w:tcPr>
            <w:tcW w:w="1843"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0.260493</w:t>
            </w:r>
          </w:p>
        </w:tc>
        <w:tc>
          <w:tcPr>
            <w:tcW w:w="1843"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0.0058321</w:t>
            </w:r>
          </w:p>
        </w:tc>
      </w:tr>
      <w:tr w:rsidR="007C4670" w:rsidRPr="007C4670" w:rsidTr="007C4670">
        <w:trPr>
          <w:trHeight w:val="375"/>
        </w:trPr>
        <w:tc>
          <w:tcPr>
            <w:tcW w:w="564" w:type="dxa"/>
            <w:vMerge/>
            <w:tcBorders>
              <w:top w:val="nil"/>
              <w:left w:val="single" w:sz="4" w:space="0" w:color="auto"/>
              <w:bottom w:val="single" w:sz="4" w:space="0" w:color="000000"/>
              <w:right w:val="single" w:sz="4" w:space="0" w:color="auto"/>
            </w:tcBorders>
            <w:vAlign w:val="center"/>
            <w:hideMark/>
          </w:tcPr>
          <w:p w:rsidR="007C4670" w:rsidRPr="007C4670" w:rsidRDefault="007C4670" w:rsidP="007C4670">
            <w:pPr>
              <w:spacing w:after="0" w:line="240" w:lineRule="auto"/>
              <w:rPr>
                <w:rFonts w:ascii="Calibri" w:eastAsia="Times New Roman" w:hAnsi="Calibri" w:cs="Times New Roman"/>
                <w:b/>
                <w:bCs/>
                <w:color w:val="000000"/>
                <w:sz w:val="28"/>
                <w:lang w:eastAsia="en-GB"/>
              </w:rPr>
            </w:pPr>
          </w:p>
        </w:tc>
        <w:tc>
          <w:tcPr>
            <w:tcW w:w="2795"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Average Collection Period</w:t>
            </w:r>
          </w:p>
        </w:tc>
        <w:tc>
          <w:tcPr>
            <w:tcW w:w="1881"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1367.726</w:t>
            </w:r>
          </w:p>
        </w:tc>
        <w:tc>
          <w:tcPr>
            <w:tcW w:w="1843"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1401.188</w:t>
            </w:r>
          </w:p>
        </w:tc>
        <w:tc>
          <w:tcPr>
            <w:tcW w:w="1843"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62584.655</w:t>
            </w:r>
          </w:p>
        </w:tc>
      </w:tr>
      <w:tr w:rsidR="007C4670" w:rsidRPr="007C4670" w:rsidTr="007C4670">
        <w:trPr>
          <w:trHeight w:val="315"/>
        </w:trPr>
        <w:tc>
          <w:tcPr>
            <w:tcW w:w="564" w:type="dxa"/>
            <w:vMerge/>
            <w:tcBorders>
              <w:top w:val="nil"/>
              <w:left w:val="single" w:sz="4" w:space="0" w:color="auto"/>
              <w:bottom w:val="single" w:sz="4" w:space="0" w:color="000000"/>
              <w:right w:val="single" w:sz="4" w:space="0" w:color="auto"/>
            </w:tcBorders>
            <w:vAlign w:val="center"/>
            <w:hideMark/>
          </w:tcPr>
          <w:p w:rsidR="007C4670" w:rsidRPr="007C4670" w:rsidRDefault="007C4670" w:rsidP="007C4670">
            <w:pPr>
              <w:spacing w:after="0" w:line="240" w:lineRule="auto"/>
              <w:rPr>
                <w:rFonts w:ascii="Calibri" w:eastAsia="Times New Roman" w:hAnsi="Calibri" w:cs="Times New Roman"/>
                <w:b/>
                <w:bCs/>
                <w:color w:val="000000"/>
                <w:sz w:val="28"/>
                <w:lang w:eastAsia="en-GB"/>
              </w:rPr>
            </w:pPr>
          </w:p>
        </w:tc>
        <w:tc>
          <w:tcPr>
            <w:tcW w:w="2795"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Payable Turnover</w:t>
            </w:r>
          </w:p>
        </w:tc>
        <w:tc>
          <w:tcPr>
            <w:tcW w:w="1881"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0.174742</w:t>
            </w:r>
          </w:p>
        </w:tc>
        <w:tc>
          <w:tcPr>
            <w:tcW w:w="1843"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0.726393</w:t>
            </w:r>
          </w:p>
        </w:tc>
        <w:tc>
          <w:tcPr>
            <w:tcW w:w="1843"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0.3722397</w:t>
            </w:r>
          </w:p>
        </w:tc>
      </w:tr>
      <w:tr w:rsidR="007C4670" w:rsidRPr="007C4670" w:rsidTr="007C4670">
        <w:trPr>
          <w:trHeight w:val="315"/>
        </w:trPr>
        <w:tc>
          <w:tcPr>
            <w:tcW w:w="564" w:type="dxa"/>
            <w:vMerge/>
            <w:tcBorders>
              <w:top w:val="nil"/>
              <w:left w:val="single" w:sz="4" w:space="0" w:color="auto"/>
              <w:bottom w:val="single" w:sz="4" w:space="0" w:color="000000"/>
              <w:right w:val="single" w:sz="4" w:space="0" w:color="auto"/>
            </w:tcBorders>
            <w:vAlign w:val="center"/>
            <w:hideMark/>
          </w:tcPr>
          <w:p w:rsidR="007C4670" w:rsidRPr="007C4670" w:rsidRDefault="007C4670" w:rsidP="007C4670">
            <w:pPr>
              <w:spacing w:after="0" w:line="240" w:lineRule="auto"/>
              <w:rPr>
                <w:rFonts w:ascii="Calibri" w:eastAsia="Times New Roman" w:hAnsi="Calibri" w:cs="Times New Roman"/>
                <w:b/>
                <w:bCs/>
                <w:color w:val="000000"/>
                <w:sz w:val="28"/>
                <w:lang w:eastAsia="en-GB"/>
              </w:rPr>
            </w:pPr>
          </w:p>
        </w:tc>
        <w:tc>
          <w:tcPr>
            <w:tcW w:w="2795"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Payable Deferral Period</w:t>
            </w:r>
          </w:p>
        </w:tc>
        <w:tc>
          <w:tcPr>
            <w:tcW w:w="1881"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2088.791</w:t>
            </w:r>
          </w:p>
        </w:tc>
        <w:tc>
          <w:tcPr>
            <w:tcW w:w="1843"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502.4825</w:t>
            </w:r>
          </w:p>
        </w:tc>
        <w:tc>
          <w:tcPr>
            <w:tcW w:w="1843"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980.55103</w:t>
            </w:r>
          </w:p>
        </w:tc>
      </w:tr>
      <w:tr w:rsidR="007C4670" w:rsidRPr="007C4670" w:rsidTr="007C4670">
        <w:trPr>
          <w:trHeight w:val="315"/>
        </w:trPr>
        <w:tc>
          <w:tcPr>
            <w:tcW w:w="564" w:type="dxa"/>
            <w:vMerge/>
            <w:tcBorders>
              <w:top w:val="nil"/>
              <w:left w:val="single" w:sz="4" w:space="0" w:color="auto"/>
              <w:bottom w:val="single" w:sz="4" w:space="0" w:color="000000"/>
              <w:right w:val="single" w:sz="4" w:space="0" w:color="auto"/>
            </w:tcBorders>
            <w:vAlign w:val="center"/>
            <w:hideMark/>
          </w:tcPr>
          <w:p w:rsidR="007C4670" w:rsidRPr="007C4670" w:rsidRDefault="007C4670" w:rsidP="007C4670">
            <w:pPr>
              <w:spacing w:after="0" w:line="240" w:lineRule="auto"/>
              <w:rPr>
                <w:rFonts w:ascii="Calibri" w:eastAsia="Times New Roman" w:hAnsi="Calibri" w:cs="Times New Roman"/>
                <w:b/>
                <w:bCs/>
                <w:color w:val="000000"/>
                <w:sz w:val="28"/>
                <w:lang w:eastAsia="en-GB"/>
              </w:rPr>
            </w:pPr>
          </w:p>
        </w:tc>
        <w:tc>
          <w:tcPr>
            <w:tcW w:w="2795"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Working Capital Turnover</w:t>
            </w:r>
          </w:p>
        </w:tc>
        <w:tc>
          <w:tcPr>
            <w:tcW w:w="1881"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0.433239</w:t>
            </w:r>
          </w:p>
        </w:tc>
        <w:tc>
          <w:tcPr>
            <w:tcW w:w="1843"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0.275799</w:t>
            </w:r>
          </w:p>
        </w:tc>
        <w:tc>
          <w:tcPr>
            <w:tcW w:w="1843"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0.3504905</w:t>
            </w:r>
          </w:p>
        </w:tc>
      </w:tr>
      <w:tr w:rsidR="007C4670" w:rsidRPr="007C4670" w:rsidTr="007C4670">
        <w:trPr>
          <w:trHeight w:val="315"/>
        </w:trPr>
        <w:tc>
          <w:tcPr>
            <w:tcW w:w="564" w:type="dxa"/>
            <w:vMerge/>
            <w:tcBorders>
              <w:top w:val="nil"/>
              <w:left w:val="single" w:sz="4" w:space="0" w:color="auto"/>
              <w:bottom w:val="single" w:sz="4" w:space="0" w:color="000000"/>
              <w:right w:val="single" w:sz="4" w:space="0" w:color="auto"/>
            </w:tcBorders>
            <w:vAlign w:val="center"/>
            <w:hideMark/>
          </w:tcPr>
          <w:p w:rsidR="007C4670" w:rsidRPr="007C4670" w:rsidRDefault="007C4670" w:rsidP="007C4670">
            <w:pPr>
              <w:spacing w:after="0" w:line="240" w:lineRule="auto"/>
              <w:rPr>
                <w:rFonts w:ascii="Calibri" w:eastAsia="Times New Roman" w:hAnsi="Calibri" w:cs="Times New Roman"/>
                <w:b/>
                <w:bCs/>
                <w:color w:val="000000"/>
                <w:sz w:val="28"/>
                <w:lang w:eastAsia="en-GB"/>
              </w:rPr>
            </w:pPr>
          </w:p>
        </w:tc>
        <w:tc>
          <w:tcPr>
            <w:tcW w:w="2795"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Fixed Asset Turnover</w:t>
            </w:r>
          </w:p>
        </w:tc>
        <w:tc>
          <w:tcPr>
            <w:tcW w:w="1881"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1.297692</w:t>
            </w:r>
          </w:p>
        </w:tc>
        <w:tc>
          <w:tcPr>
            <w:tcW w:w="1843"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1.405027</w:t>
            </w:r>
          </w:p>
        </w:tc>
        <w:tc>
          <w:tcPr>
            <w:tcW w:w="1843"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1.7969514</w:t>
            </w:r>
          </w:p>
        </w:tc>
      </w:tr>
      <w:tr w:rsidR="007C4670" w:rsidRPr="007C4670" w:rsidTr="007C4670">
        <w:trPr>
          <w:trHeight w:val="315"/>
        </w:trPr>
        <w:tc>
          <w:tcPr>
            <w:tcW w:w="564" w:type="dxa"/>
            <w:vMerge/>
            <w:tcBorders>
              <w:top w:val="nil"/>
              <w:left w:val="single" w:sz="4" w:space="0" w:color="auto"/>
              <w:bottom w:val="single" w:sz="4" w:space="0" w:color="000000"/>
              <w:right w:val="single" w:sz="4" w:space="0" w:color="auto"/>
            </w:tcBorders>
            <w:vAlign w:val="center"/>
            <w:hideMark/>
          </w:tcPr>
          <w:p w:rsidR="007C4670" w:rsidRPr="007C4670" w:rsidRDefault="007C4670" w:rsidP="007C4670">
            <w:pPr>
              <w:spacing w:after="0" w:line="240" w:lineRule="auto"/>
              <w:rPr>
                <w:rFonts w:ascii="Calibri" w:eastAsia="Times New Roman" w:hAnsi="Calibri" w:cs="Times New Roman"/>
                <w:b/>
                <w:bCs/>
                <w:color w:val="000000"/>
                <w:sz w:val="28"/>
                <w:lang w:eastAsia="en-GB"/>
              </w:rPr>
            </w:pPr>
          </w:p>
        </w:tc>
        <w:tc>
          <w:tcPr>
            <w:tcW w:w="2795"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Total Asset Turnover</w:t>
            </w:r>
          </w:p>
        </w:tc>
        <w:tc>
          <w:tcPr>
            <w:tcW w:w="1881"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0.758929</w:t>
            </w:r>
          </w:p>
        </w:tc>
        <w:tc>
          <w:tcPr>
            <w:tcW w:w="1843"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0.718171</w:t>
            </w:r>
          </w:p>
        </w:tc>
        <w:tc>
          <w:tcPr>
            <w:tcW w:w="1843" w:type="dxa"/>
            <w:tcBorders>
              <w:top w:val="nil"/>
              <w:left w:val="nil"/>
              <w:bottom w:val="single" w:sz="4" w:space="0" w:color="auto"/>
              <w:right w:val="single" w:sz="4" w:space="0" w:color="auto"/>
            </w:tcBorders>
            <w:shd w:val="clear" w:color="auto" w:fill="auto"/>
            <w:noWrap/>
            <w:vAlign w:val="center"/>
            <w:hideMark/>
          </w:tcPr>
          <w:p w:rsidR="007C4670" w:rsidRPr="007C4670" w:rsidRDefault="007C4670" w:rsidP="007C4670">
            <w:pPr>
              <w:spacing w:after="0" w:line="240" w:lineRule="auto"/>
              <w:jc w:val="center"/>
              <w:rPr>
                <w:rFonts w:ascii="Calibri" w:eastAsia="Times New Roman" w:hAnsi="Calibri" w:cs="Times New Roman"/>
                <w:color w:val="000000"/>
                <w:sz w:val="24"/>
                <w:szCs w:val="24"/>
                <w:lang w:eastAsia="en-GB"/>
              </w:rPr>
            </w:pPr>
            <w:r w:rsidRPr="007C4670">
              <w:rPr>
                <w:rFonts w:ascii="Calibri" w:eastAsia="Times New Roman" w:hAnsi="Calibri" w:cs="Times New Roman"/>
                <w:color w:val="000000"/>
                <w:sz w:val="24"/>
                <w:szCs w:val="24"/>
                <w:lang w:eastAsia="en-GB"/>
              </w:rPr>
              <w:t>0.8853847</w:t>
            </w:r>
          </w:p>
        </w:tc>
      </w:tr>
    </w:tbl>
    <w:p w:rsidR="007C4670" w:rsidRDefault="007C4670" w:rsidP="00657C9E"/>
    <w:p w:rsidR="007C4670" w:rsidRDefault="007C4670" w:rsidP="00657C9E">
      <w:r>
        <w:br w:type="page"/>
      </w:r>
    </w:p>
    <w:p w:rsidR="006C43AC" w:rsidRDefault="006C43AC" w:rsidP="007C4670">
      <w:pPr>
        <w:pStyle w:val="Heading1"/>
      </w:pPr>
      <w:r>
        <w:lastRenderedPageBreak/>
        <w:t>Activity Ratios:</w:t>
      </w:r>
    </w:p>
    <w:p w:rsidR="00657C9E" w:rsidRDefault="00657C9E" w:rsidP="007C4670">
      <w:pPr>
        <w:pStyle w:val="Heading2"/>
      </w:pPr>
      <w:r>
        <w:t>Inventory Turnover:</w:t>
      </w:r>
    </w:p>
    <w:p w:rsidR="00657C9E" w:rsidRPr="00F0254F" w:rsidRDefault="00657C9E" w:rsidP="00F0254F">
      <w:pPr>
        <w:spacing w:line="276" w:lineRule="auto"/>
        <w:jc w:val="both"/>
        <w:rPr>
          <w:sz w:val="24"/>
          <w:szCs w:val="24"/>
        </w:rPr>
      </w:pPr>
      <w:r w:rsidRPr="00F0254F">
        <w:rPr>
          <w:sz w:val="24"/>
          <w:szCs w:val="24"/>
        </w:rPr>
        <w:t>Inventory turnover is a ratio showing how many times a company's inventory is sold and replaced over a period of time. The days in the period can then be divided by the inventory turnover formula to calculate the days it takes to sell the inventory on hand. It is calculated as sales divided by average inventory.</w:t>
      </w:r>
    </w:p>
    <w:p w:rsidR="00657C9E" w:rsidRPr="00F0254F" w:rsidRDefault="00657C9E" w:rsidP="00F0254F">
      <w:pPr>
        <w:spacing w:line="276" w:lineRule="auto"/>
        <w:jc w:val="both"/>
        <w:rPr>
          <w:sz w:val="24"/>
          <w:szCs w:val="24"/>
        </w:rPr>
      </w:pPr>
      <w:r w:rsidRPr="00F0254F">
        <w:rPr>
          <w:sz w:val="24"/>
          <w:szCs w:val="24"/>
        </w:rPr>
        <w:t>Inventory turnover measures how fast a company is selling inventory and is generally compared against industry averages. A low turnover implies weak sales and, therefore, excess inventory. A high ratio implies either strong sales and/or large discounts.</w:t>
      </w:r>
    </w:p>
    <w:p w:rsidR="000829A3" w:rsidRDefault="000829A3" w:rsidP="00F0254F">
      <w:pPr>
        <w:spacing w:line="276" w:lineRule="auto"/>
      </w:pPr>
    </w:p>
    <w:p w:rsidR="008215C5" w:rsidRPr="00F0254F" w:rsidRDefault="008215C5" w:rsidP="00F0254F">
      <w:pPr>
        <w:pStyle w:val="Heading3"/>
      </w:pPr>
      <w:r w:rsidRPr="00F0254F">
        <w:t>BATBC</w:t>
      </w:r>
    </w:p>
    <w:p w:rsidR="008215C5" w:rsidRPr="00F0254F" w:rsidRDefault="008215C5" w:rsidP="00F0254F">
      <w:pPr>
        <w:spacing w:line="276" w:lineRule="auto"/>
        <w:jc w:val="both"/>
        <w:rPr>
          <w:rFonts w:ascii="Calibri" w:eastAsia="Times New Roman" w:hAnsi="Calibri" w:cs="Times New Roman"/>
          <w:color w:val="000000"/>
          <w:sz w:val="24"/>
          <w:szCs w:val="24"/>
          <w:lang w:eastAsia="en-GB"/>
        </w:rPr>
      </w:pPr>
      <w:r w:rsidRPr="00F0254F">
        <w:rPr>
          <w:sz w:val="24"/>
          <w:szCs w:val="24"/>
        </w:rPr>
        <w:t>Inventory turnover of BATBC was</w:t>
      </w:r>
      <w:r w:rsidR="00D11DCB" w:rsidRPr="00F0254F">
        <w:rPr>
          <w:sz w:val="24"/>
          <w:szCs w:val="24"/>
        </w:rPr>
        <w:t xml:space="preserve"> </w:t>
      </w:r>
      <w:r w:rsidR="00D11DCB" w:rsidRPr="00F0254F">
        <w:rPr>
          <w:rFonts w:ascii="Calibri" w:eastAsia="Times New Roman" w:hAnsi="Calibri" w:cs="Times New Roman"/>
          <w:color w:val="000000"/>
          <w:sz w:val="24"/>
          <w:szCs w:val="24"/>
          <w:lang w:eastAsia="en-GB"/>
        </w:rPr>
        <w:t>2.6410313 in 2013; 1.04970697 in 2014 and 2.40346963 in 2015, which is good.</w:t>
      </w:r>
    </w:p>
    <w:p w:rsidR="00D11DCB" w:rsidRPr="00F0254F" w:rsidRDefault="00D11DCB" w:rsidP="00F0254F">
      <w:pPr>
        <w:pStyle w:val="Heading3"/>
        <w:rPr>
          <w:rFonts w:eastAsia="Times New Roman"/>
          <w:lang w:eastAsia="en-GB"/>
        </w:rPr>
      </w:pPr>
      <w:r w:rsidRPr="00F0254F">
        <w:rPr>
          <w:rFonts w:eastAsia="Times New Roman"/>
          <w:lang w:eastAsia="en-GB"/>
        </w:rPr>
        <w:t>CCL</w:t>
      </w:r>
    </w:p>
    <w:p w:rsidR="00D11DCB" w:rsidRPr="00F0254F" w:rsidRDefault="00D11DCB" w:rsidP="00F0254F">
      <w:pPr>
        <w:spacing w:line="276" w:lineRule="auto"/>
        <w:jc w:val="both"/>
        <w:rPr>
          <w:rFonts w:ascii="Calibri" w:eastAsia="Times New Roman" w:hAnsi="Calibri" w:cs="Times New Roman"/>
          <w:color w:val="000000"/>
          <w:sz w:val="24"/>
          <w:szCs w:val="24"/>
          <w:lang w:eastAsia="en-GB"/>
        </w:rPr>
      </w:pPr>
      <w:r w:rsidRPr="00F0254F">
        <w:rPr>
          <w:rFonts w:ascii="Calibri" w:eastAsia="Times New Roman" w:hAnsi="Calibri" w:cs="Times New Roman"/>
          <w:color w:val="000000"/>
          <w:sz w:val="24"/>
          <w:szCs w:val="24"/>
          <w:lang w:eastAsia="en-GB"/>
        </w:rPr>
        <w:t>Inventory turnover of CCL was 9.3156393 in 2013; 9.61886557 in 2014 and 11.9103944 in 2015, which is good.</w:t>
      </w:r>
    </w:p>
    <w:p w:rsidR="00D11DCB" w:rsidRPr="00F0254F" w:rsidRDefault="00D11DCB" w:rsidP="00F0254F">
      <w:pPr>
        <w:spacing w:line="276" w:lineRule="auto"/>
        <w:jc w:val="both"/>
        <w:rPr>
          <w:rFonts w:ascii="Calibri" w:eastAsia="Times New Roman" w:hAnsi="Calibri" w:cs="Times New Roman"/>
          <w:color w:val="000000"/>
          <w:sz w:val="24"/>
          <w:szCs w:val="24"/>
          <w:lang w:eastAsia="en-GB"/>
        </w:rPr>
      </w:pPr>
      <w:r w:rsidRPr="00F0254F">
        <w:rPr>
          <w:rFonts w:ascii="Calibri" w:eastAsia="Times New Roman" w:hAnsi="Calibri" w:cs="Times New Roman"/>
          <w:color w:val="000000"/>
          <w:sz w:val="24"/>
          <w:szCs w:val="24"/>
          <w:lang w:eastAsia="en-GB"/>
        </w:rPr>
        <w:t>Comparatively CCL is in a better condition than BATBC.</w:t>
      </w:r>
    </w:p>
    <w:p w:rsidR="00D11DCB" w:rsidRDefault="00D11DCB">
      <w:pPr>
        <w:rPr>
          <w:rFonts w:ascii="Calibri" w:eastAsia="Times New Roman" w:hAnsi="Calibri" w:cs="Times New Roman"/>
          <w:color w:val="000000"/>
          <w:szCs w:val="22"/>
          <w:lang w:eastAsia="en-GB"/>
        </w:rPr>
      </w:pPr>
      <w:r>
        <w:rPr>
          <w:rFonts w:ascii="Calibri" w:eastAsia="Times New Roman" w:hAnsi="Calibri" w:cs="Times New Roman"/>
          <w:color w:val="000000"/>
          <w:szCs w:val="22"/>
          <w:lang w:eastAsia="en-GB"/>
        </w:rPr>
        <w:br w:type="page"/>
      </w:r>
    </w:p>
    <w:p w:rsidR="00D11DCB" w:rsidRDefault="00D11DCB" w:rsidP="007C4670">
      <w:pPr>
        <w:pStyle w:val="Heading2"/>
        <w:rPr>
          <w:rFonts w:eastAsia="Times New Roman"/>
          <w:lang w:eastAsia="en-GB"/>
        </w:rPr>
      </w:pPr>
      <w:r>
        <w:rPr>
          <w:rFonts w:eastAsia="Times New Roman"/>
          <w:lang w:eastAsia="en-GB"/>
        </w:rPr>
        <w:lastRenderedPageBreak/>
        <w:t>Average Holding Period:</w:t>
      </w:r>
    </w:p>
    <w:p w:rsidR="00B83132" w:rsidRPr="00F0254F" w:rsidRDefault="00B83132" w:rsidP="00F0254F">
      <w:pPr>
        <w:spacing w:line="276" w:lineRule="auto"/>
        <w:jc w:val="both"/>
        <w:rPr>
          <w:rFonts w:ascii="Calibri" w:eastAsia="Times New Roman" w:hAnsi="Calibri" w:cs="Times New Roman"/>
          <w:color w:val="000000"/>
          <w:sz w:val="24"/>
          <w:szCs w:val="24"/>
          <w:lang w:eastAsia="en-GB"/>
        </w:rPr>
      </w:pPr>
      <w:r w:rsidRPr="00F0254F">
        <w:rPr>
          <w:rFonts w:ascii="Calibri" w:eastAsia="Times New Roman" w:hAnsi="Calibri" w:cs="Times New Roman"/>
          <w:color w:val="000000"/>
          <w:sz w:val="24"/>
          <w:szCs w:val="24"/>
          <w:lang w:eastAsia="en-GB"/>
        </w:rPr>
        <w:t>The average holding period is the average number of days it takes for a firm to sell off inventory. The formula to calculate the average holding period is C/G x 365, where C is the average cost of inventory at its present level, and G is the cost of goods sold (COGS).</w:t>
      </w:r>
    </w:p>
    <w:p w:rsidR="00B83132" w:rsidRPr="00F0254F" w:rsidRDefault="00B83132" w:rsidP="00F0254F">
      <w:pPr>
        <w:spacing w:line="276" w:lineRule="auto"/>
        <w:jc w:val="both"/>
        <w:rPr>
          <w:rFonts w:ascii="Calibri" w:eastAsia="Times New Roman" w:hAnsi="Calibri" w:cs="Times New Roman"/>
          <w:color w:val="000000"/>
          <w:sz w:val="24"/>
          <w:szCs w:val="24"/>
          <w:lang w:eastAsia="en-GB"/>
        </w:rPr>
      </w:pPr>
      <w:r w:rsidRPr="00F0254F">
        <w:rPr>
          <w:rFonts w:ascii="Calibri" w:eastAsia="Times New Roman" w:hAnsi="Calibri" w:cs="Times New Roman"/>
          <w:color w:val="000000"/>
          <w:sz w:val="24"/>
          <w:szCs w:val="24"/>
          <w:lang w:eastAsia="en-GB"/>
        </w:rPr>
        <w:t>Also referred to as days' sales in inventory (DSI), the average holding period is a metric that analysts use to determine the efficiency of sales. It tells the analyst how fast inventory is turning over at one company compared to another. The faster a company can sell inventory for a profit, the more profitable it is. However, a company could employ a strategy of maintaining higher levels of inventory for discounts or long-term planning efforts. While the metric can be used as a measure of efficiency, it should be confirmed with other measures of efficiency, such as gross profit margin, before making any conclusions.</w:t>
      </w:r>
    </w:p>
    <w:p w:rsidR="00A80727" w:rsidRDefault="00A80727" w:rsidP="00F0254F">
      <w:pPr>
        <w:spacing w:line="276" w:lineRule="auto"/>
      </w:pPr>
      <w:r>
        <w:rPr>
          <w:noProof/>
          <w:lang w:val="en-US"/>
        </w:rPr>
        <w:drawing>
          <wp:inline distT="0" distB="0" distL="0" distR="0" wp14:anchorId="12B11829" wp14:editId="14BE1089">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B83132" w:rsidRPr="00F0254F" w:rsidRDefault="00B83132" w:rsidP="00F0254F">
      <w:pPr>
        <w:pStyle w:val="Heading3"/>
      </w:pPr>
      <w:r w:rsidRPr="00F0254F">
        <w:t>BATBC</w:t>
      </w:r>
    </w:p>
    <w:p w:rsidR="00B83132" w:rsidRPr="00F0254F" w:rsidRDefault="00B83132" w:rsidP="00F0254F">
      <w:pPr>
        <w:spacing w:line="276" w:lineRule="auto"/>
        <w:jc w:val="both"/>
        <w:rPr>
          <w:rFonts w:ascii="Calibri" w:eastAsia="Times New Roman" w:hAnsi="Calibri" w:cs="Times New Roman"/>
          <w:color w:val="000000"/>
          <w:sz w:val="24"/>
          <w:szCs w:val="24"/>
          <w:lang w:eastAsia="en-GB"/>
        </w:rPr>
      </w:pPr>
      <w:r w:rsidRPr="00F0254F">
        <w:rPr>
          <w:sz w:val="24"/>
          <w:szCs w:val="24"/>
        </w:rPr>
        <w:t xml:space="preserve">Average holding period of BATBC was </w:t>
      </w:r>
      <w:r w:rsidRPr="00F0254F">
        <w:rPr>
          <w:rFonts w:ascii="Calibri" w:eastAsia="Times New Roman" w:hAnsi="Calibri" w:cs="Times New Roman"/>
          <w:color w:val="000000"/>
          <w:sz w:val="24"/>
          <w:szCs w:val="24"/>
          <w:lang w:eastAsia="en-GB"/>
        </w:rPr>
        <w:t>138.20359 in 2013; 347.716087 in 2014 and 151.863787 in 2015, which is not good.</w:t>
      </w:r>
    </w:p>
    <w:p w:rsidR="00B83132" w:rsidRPr="00F0254F" w:rsidRDefault="00B83132" w:rsidP="00F0254F">
      <w:pPr>
        <w:pStyle w:val="Heading3"/>
        <w:rPr>
          <w:rFonts w:eastAsia="Times New Roman"/>
          <w:lang w:eastAsia="en-GB"/>
        </w:rPr>
      </w:pPr>
      <w:r w:rsidRPr="00F0254F">
        <w:rPr>
          <w:rFonts w:eastAsia="Times New Roman"/>
          <w:lang w:eastAsia="en-GB"/>
        </w:rPr>
        <w:t>CCL</w:t>
      </w:r>
    </w:p>
    <w:p w:rsidR="00B83132" w:rsidRPr="00F0254F" w:rsidRDefault="00B83132" w:rsidP="00F0254F">
      <w:pPr>
        <w:spacing w:line="276" w:lineRule="auto"/>
        <w:jc w:val="both"/>
        <w:rPr>
          <w:rFonts w:ascii="Calibri" w:eastAsia="Times New Roman" w:hAnsi="Calibri" w:cs="Times New Roman"/>
          <w:color w:val="000000"/>
          <w:sz w:val="24"/>
          <w:szCs w:val="24"/>
          <w:lang w:eastAsia="en-GB"/>
        </w:rPr>
      </w:pPr>
      <w:r w:rsidRPr="00F0254F">
        <w:rPr>
          <w:rFonts w:ascii="Calibri" w:eastAsia="Times New Roman" w:hAnsi="Calibri" w:cs="Times New Roman"/>
          <w:color w:val="000000"/>
          <w:sz w:val="24"/>
          <w:szCs w:val="24"/>
          <w:lang w:eastAsia="en-GB"/>
        </w:rPr>
        <w:t>Average holding period of CCL was 39.181423 in 2013; 37.9462627 in 2014 and 30.6455006 in 2015, which is good.</w:t>
      </w:r>
    </w:p>
    <w:p w:rsidR="00B83132" w:rsidRPr="00F0254F" w:rsidRDefault="00B83132" w:rsidP="00F0254F">
      <w:pPr>
        <w:spacing w:line="276" w:lineRule="auto"/>
        <w:jc w:val="both"/>
        <w:rPr>
          <w:rFonts w:ascii="Calibri" w:eastAsia="Times New Roman" w:hAnsi="Calibri" w:cs="Times New Roman"/>
          <w:color w:val="000000"/>
          <w:sz w:val="24"/>
          <w:szCs w:val="24"/>
          <w:lang w:eastAsia="en-GB"/>
        </w:rPr>
      </w:pPr>
      <w:r w:rsidRPr="00F0254F">
        <w:rPr>
          <w:rFonts w:ascii="Calibri" w:eastAsia="Times New Roman" w:hAnsi="Calibri" w:cs="Times New Roman"/>
          <w:color w:val="000000"/>
          <w:sz w:val="24"/>
          <w:szCs w:val="24"/>
          <w:lang w:eastAsia="en-GB"/>
        </w:rPr>
        <w:t>Comparatively CCL is in better position than BATBC</w:t>
      </w:r>
      <w:r w:rsidR="00DC0D63" w:rsidRPr="00F0254F">
        <w:rPr>
          <w:rFonts w:ascii="Calibri" w:eastAsia="Times New Roman" w:hAnsi="Calibri" w:cs="Times New Roman"/>
          <w:color w:val="000000"/>
          <w:sz w:val="24"/>
          <w:szCs w:val="24"/>
          <w:lang w:eastAsia="en-GB"/>
        </w:rPr>
        <w:t>.</w:t>
      </w:r>
    </w:p>
    <w:p w:rsidR="00DC0D63" w:rsidRDefault="00DC0D63" w:rsidP="00F0254F">
      <w:pPr>
        <w:spacing w:line="276" w:lineRule="auto"/>
        <w:rPr>
          <w:rFonts w:ascii="Calibri" w:eastAsia="Times New Roman" w:hAnsi="Calibri" w:cs="Times New Roman"/>
          <w:color w:val="000000"/>
          <w:szCs w:val="22"/>
          <w:lang w:eastAsia="en-GB"/>
        </w:rPr>
      </w:pPr>
      <w:r>
        <w:rPr>
          <w:rFonts w:ascii="Calibri" w:eastAsia="Times New Roman" w:hAnsi="Calibri" w:cs="Times New Roman"/>
          <w:color w:val="000000"/>
          <w:szCs w:val="22"/>
          <w:lang w:eastAsia="en-GB"/>
        </w:rPr>
        <w:br w:type="page"/>
      </w:r>
    </w:p>
    <w:p w:rsidR="00DC0D63" w:rsidRDefault="00DC0D63" w:rsidP="007C4670">
      <w:pPr>
        <w:pStyle w:val="Heading2"/>
        <w:rPr>
          <w:rFonts w:eastAsia="Times New Roman"/>
          <w:lang w:eastAsia="en-GB"/>
        </w:rPr>
      </w:pPr>
      <w:r>
        <w:rPr>
          <w:rFonts w:eastAsia="Times New Roman"/>
          <w:lang w:eastAsia="en-GB"/>
        </w:rPr>
        <w:lastRenderedPageBreak/>
        <w:t>Receivable Turnover:</w:t>
      </w:r>
    </w:p>
    <w:p w:rsidR="00DC0D63" w:rsidRPr="00F0254F" w:rsidRDefault="00DC0D63" w:rsidP="00F0254F">
      <w:pPr>
        <w:spacing w:line="276" w:lineRule="auto"/>
        <w:jc w:val="both"/>
        <w:rPr>
          <w:rFonts w:ascii="Calibri" w:eastAsia="Times New Roman" w:hAnsi="Calibri" w:cs="Times New Roman"/>
          <w:color w:val="000000"/>
          <w:sz w:val="24"/>
          <w:szCs w:val="24"/>
          <w:lang w:eastAsia="en-GB"/>
        </w:rPr>
      </w:pPr>
      <w:r w:rsidRPr="00F0254F">
        <w:rPr>
          <w:rFonts w:ascii="Calibri" w:eastAsia="Times New Roman" w:hAnsi="Calibri" w:cs="Times New Roman"/>
          <w:color w:val="000000"/>
          <w:sz w:val="24"/>
          <w:szCs w:val="24"/>
          <w:lang w:eastAsia="en-GB"/>
        </w:rPr>
        <w:t>An accounting measure used to quantify a firm's effectiveness in extending credit and in collecting debts on that credit. The receivables turnover ratio is an activity ratio measuring how efficiently a firm uses its assets.</w:t>
      </w:r>
    </w:p>
    <w:p w:rsidR="00DC0D63" w:rsidRPr="00F0254F" w:rsidRDefault="00DC0D63" w:rsidP="00F0254F">
      <w:pPr>
        <w:spacing w:line="276" w:lineRule="auto"/>
        <w:jc w:val="both"/>
        <w:rPr>
          <w:rFonts w:ascii="Calibri" w:eastAsia="Times New Roman" w:hAnsi="Calibri" w:cs="Times New Roman"/>
          <w:color w:val="000000"/>
          <w:sz w:val="24"/>
          <w:szCs w:val="24"/>
          <w:lang w:eastAsia="en-GB"/>
        </w:rPr>
      </w:pPr>
      <w:r w:rsidRPr="00F0254F">
        <w:rPr>
          <w:rFonts w:ascii="Calibri" w:eastAsia="Times New Roman" w:hAnsi="Calibri" w:cs="Times New Roman"/>
          <w:color w:val="000000"/>
          <w:sz w:val="24"/>
          <w:szCs w:val="24"/>
          <w:lang w:eastAsia="en-GB"/>
        </w:rPr>
        <w:t>Receivables turnover ratio can be calculated by dividing the net value of credit sales during a given period by the average accounts receivable during the same period. Average accounts receivable can be calculated by adding the value of accounts receivable at the beginning of the desired period to their value at the end of the period and dividing the sum by two.</w:t>
      </w:r>
    </w:p>
    <w:p w:rsidR="00DC0D63" w:rsidRPr="00F0254F" w:rsidRDefault="00DC0D63" w:rsidP="00F0254F">
      <w:pPr>
        <w:spacing w:line="276" w:lineRule="auto"/>
        <w:jc w:val="both"/>
        <w:rPr>
          <w:rFonts w:ascii="Calibri" w:eastAsia="Times New Roman" w:hAnsi="Calibri" w:cs="Times New Roman"/>
          <w:color w:val="000000"/>
          <w:sz w:val="24"/>
          <w:szCs w:val="24"/>
          <w:lang w:eastAsia="en-GB"/>
        </w:rPr>
      </w:pPr>
      <w:r w:rsidRPr="00F0254F">
        <w:rPr>
          <w:rFonts w:ascii="Calibri" w:eastAsia="Times New Roman" w:hAnsi="Calibri" w:cs="Times New Roman"/>
          <w:color w:val="000000"/>
          <w:sz w:val="24"/>
          <w:szCs w:val="24"/>
          <w:lang w:eastAsia="en-GB"/>
        </w:rPr>
        <w:t>The receivables turnover ratio is most often calculated on an annual basis, though this can be broken down to find quarterly or monthly accounts receivable turnover as well.</w:t>
      </w:r>
    </w:p>
    <w:p w:rsidR="00DC0D63" w:rsidRPr="00F0254F" w:rsidRDefault="00DC0D63" w:rsidP="00F0254F">
      <w:pPr>
        <w:spacing w:line="276" w:lineRule="auto"/>
        <w:jc w:val="both"/>
        <w:rPr>
          <w:rFonts w:ascii="Calibri" w:eastAsia="Times New Roman" w:hAnsi="Calibri" w:cs="Times New Roman"/>
          <w:color w:val="000000"/>
          <w:sz w:val="24"/>
          <w:szCs w:val="24"/>
          <w:lang w:eastAsia="en-GB"/>
        </w:rPr>
      </w:pPr>
      <w:r w:rsidRPr="00F0254F">
        <w:rPr>
          <w:rFonts w:ascii="Calibri" w:eastAsia="Times New Roman" w:hAnsi="Calibri" w:cs="Times New Roman"/>
          <w:color w:val="000000"/>
          <w:sz w:val="24"/>
          <w:szCs w:val="24"/>
          <w:lang w:eastAsia="en-GB"/>
        </w:rPr>
        <w:t>In essence, the receivables turnover ratio indicates the efficiency with which a firm manages the credit it issues to customers and collects on that credit. Because accounts receivable are moneys owed on a credit agreement without interest, by maintaining accounts receivable firms are indirectly extending interest-free loans to their clients. As such, because of the time value of money principle, a firm loses more money the longer it takes to collect on its credit sales.</w:t>
      </w:r>
    </w:p>
    <w:p w:rsidR="00A80727" w:rsidRDefault="00A8548D" w:rsidP="00F0254F">
      <w:pPr>
        <w:spacing w:line="276" w:lineRule="auto"/>
      </w:pPr>
      <w:r>
        <w:rPr>
          <w:noProof/>
          <w:lang w:val="en-US"/>
        </w:rPr>
        <w:drawing>
          <wp:inline distT="0" distB="0" distL="0" distR="0" wp14:anchorId="37E7E517" wp14:editId="502C502C">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C0D63" w:rsidRPr="00F0254F" w:rsidRDefault="00DC0D63" w:rsidP="00F0254F">
      <w:pPr>
        <w:pStyle w:val="Heading3"/>
      </w:pPr>
      <w:r w:rsidRPr="00F0254F">
        <w:t>BATBC</w:t>
      </w:r>
    </w:p>
    <w:p w:rsidR="00DC0D63" w:rsidRPr="00F0254F" w:rsidRDefault="00DC0D63" w:rsidP="00F0254F">
      <w:pPr>
        <w:spacing w:line="276" w:lineRule="auto"/>
        <w:jc w:val="both"/>
        <w:rPr>
          <w:rFonts w:ascii="Calibri" w:eastAsia="Times New Roman" w:hAnsi="Calibri" w:cs="Times New Roman"/>
          <w:color w:val="000000"/>
          <w:sz w:val="24"/>
          <w:szCs w:val="24"/>
          <w:lang w:eastAsia="en-GB"/>
        </w:rPr>
      </w:pPr>
      <w:r w:rsidRPr="00F0254F">
        <w:rPr>
          <w:sz w:val="24"/>
          <w:szCs w:val="24"/>
        </w:rPr>
        <w:t xml:space="preserve">Receivable turnover of BATBC was </w:t>
      </w:r>
      <w:r w:rsidRPr="00F0254F">
        <w:rPr>
          <w:rFonts w:ascii="Calibri" w:eastAsia="Times New Roman" w:hAnsi="Calibri" w:cs="Times New Roman"/>
          <w:color w:val="000000"/>
          <w:sz w:val="24"/>
          <w:szCs w:val="24"/>
          <w:lang w:eastAsia="en-GB"/>
        </w:rPr>
        <w:t>0.3173429 in 2013; 0.84165401 in 2014 and 0.78021802 in 2015, which is good.</w:t>
      </w:r>
    </w:p>
    <w:p w:rsidR="00DC0D63" w:rsidRPr="00F0254F" w:rsidRDefault="00DC0D63" w:rsidP="00F0254F">
      <w:pPr>
        <w:pStyle w:val="Heading3"/>
        <w:rPr>
          <w:rFonts w:eastAsia="Times New Roman"/>
          <w:lang w:eastAsia="en-GB"/>
        </w:rPr>
      </w:pPr>
      <w:r w:rsidRPr="00F0254F">
        <w:rPr>
          <w:rFonts w:eastAsia="Times New Roman"/>
          <w:lang w:eastAsia="en-GB"/>
        </w:rPr>
        <w:t>CCL</w:t>
      </w:r>
    </w:p>
    <w:p w:rsidR="00DC0D63" w:rsidRPr="00F0254F" w:rsidRDefault="00DC0D63" w:rsidP="00F0254F">
      <w:pPr>
        <w:spacing w:line="276" w:lineRule="auto"/>
        <w:jc w:val="both"/>
        <w:rPr>
          <w:rFonts w:ascii="Calibri" w:eastAsia="Times New Roman" w:hAnsi="Calibri" w:cs="Times New Roman"/>
          <w:color w:val="000000"/>
          <w:sz w:val="24"/>
          <w:szCs w:val="24"/>
          <w:lang w:eastAsia="en-GB"/>
        </w:rPr>
      </w:pPr>
      <w:r w:rsidRPr="00F0254F">
        <w:rPr>
          <w:rFonts w:ascii="Calibri" w:eastAsia="Times New Roman" w:hAnsi="Calibri" w:cs="Times New Roman"/>
          <w:color w:val="000000"/>
          <w:sz w:val="24"/>
          <w:szCs w:val="24"/>
          <w:lang w:eastAsia="en-GB"/>
        </w:rPr>
        <w:t>Receivable turnover of CCL was 0.2668663 in 2013; 0.26049315 in 2014 and 0.0058321 in 2015</w:t>
      </w:r>
      <w:r w:rsidR="00511F61" w:rsidRPr="00F0254F">
        <w:rPr>
          <w:rFonts w:ascii="Calibri" w:eastAsia="Times New Roman" w:hAnsi="Calibri" w:cs="Times New Roman"/>
          <w:color w:val="000000"/>
          <w:sz w:val="24"/>
          <w:szCs w:val="24"/>
          <w:lang w:eastAsia="en-GB"/>
        </w:rPr>
        <w:t>, which is not good</w:t>
      </w:r>
    </w:p>
    <w:p w:rsidR="00511F61" w:rsidRPr="00F0254F" w:rsidRDefault="00511F61" w:rsidP="00F0254F">
      <w:pPr>
        <w:spacing w:line="276" w:lineRule="auto"/>
        <w:jc w:val="both"/>
        <w:rPr>
          <w:rFonts w:ascii="Calibri" w:eastAsia="Times New Roman" w:hAnsi="Calibri" w:cs="Times New Roman"/>
          <w:color w:val="000000"/>
          <w:sz w:val="24"/>
          <w:szCs w:val="24"/>
          <w:lang w:eastAsia="en-GB"/>
        </w:rPr>
      </w:pPr>
      <w:r w:rsidRPr="00F0254F">
        <w:rPr>
          <w:rFonts w:ascii="Calibri" w:eastAsia="Times New Roman" w:hAnsi="Calibri" w:cs="Times New Roman"/>
          <w:color w:val="000000"/>
          <w:sz w:val="24"/>
          <w:szCs w:val="24"/>
          <w:lang w:eastAsia="en-GB"/>
        </w:rPr>
        <w:t>Comparatively BATBC is better than CCL.</w:t>
      </w:r>
    </w:p>
    <w:p w:rsidR="00511F61" w:rsidRDefault="00511F61" w:rsidP="007C4670">
      <w:pPr>
        <w:pStyle w:val="Heading2"/>
        <w:rPr>
          <w:rFonts w:eastAsia="Times New Roman"/>
          <w:lang w:eastAsia="en-GB"/>
        </w:rPr>
      </w:pPr>
      <w:r>
        <w:rPr>
          <w:rFonts w:eastAsia="Times New Roman"/>
          <w:lang w:eastAsia="en-GB"/>
        </w:rPr>
        <w:lastRenderedPageBreak/>
        <w:t>Average Collection Period:</w:t>
      </w:r>
    </w:p>
    <w:p w:rsidR="00511F61" w:rsidRPr="00F0254F" w:rsidRDefault="00511F61" w:rsidP="00F0254F">
      <w:pPr>
        <w:spacing w:line="276" w:lineRule="auto"/>
        <w:jc w:val="both"/>
        <w:rPr>
          <w:rFonts w:ascii="Calibri" w:eastAsia="Times New Roman" w:hAnsi="Calibri" w:cs="Times New Roman"/>
          <w:color w:val="000000"/>
          <w:sz w:val="24"/>
          <w:szCs w:val="24"/>
          <w:lang w:eastAsia="en-GB"/>
        </w:rPr>
      </w:pPr>
      <w:r w:rsidRPr="00F0254F">
        <w:rPr>
          <w:rFonts w:ascii="Calibri" w:eastAsia="Times New Roman" w:hAnsi="Calibri" w:cs="Times New Roman"/>
          <w:color w:val="000000"/>
          <w:sz w:val="24"/>
          <w:szCs w:val="24"/>
          <w:lang w:eastAsia="en-GB"/>
        </w:rPr>
        <w:t>The average collection period is the approximate amount of time that it takes for a business to receive payments owed in terms of accounts receivable. The average collection period is calculated by dividing the average balance of accounts receivable by total net credit sales for the period and multiplying the quotient by the number of days in the period.</w:t>
      </w:r>
    </w:p>
    <w:p w:rsidR="00511F61" w:rsidRPr="00F0254F" w:rsidRDefault="00511F61" w:rsidP="00F0254F">
      <w:pPr>
        <w:spacing w:line="276" w:lineRule="auto"/>
        <w:jc w:val="both"/>
        <w:rPr>
          <w:rFonts w:ascii="Calibri" w:eastAsia="Times New Roman" w:hAnsi="Calibri" w:cs="Times New Roman"/>
          <w:color w:val="000000"/>
          <w:sz w:val="24"/>
          <w:szCs w:val="24"/>
          <w:lang w:eastAsia="en-GB"/>
        </w:rPr>
      </w:pPr>
      <w:r w:rsidRPr="00F0254F">
        <w:rPr>
          <w:rFonts w:ascii="Calibri" w:eastAsia="Times New Roman" w:hAnsi="Calibri" w:cs="Times New Roman"/>
          <w:color w:val="000000"/>
          <w:sz w:val="24"/>
          <w:szCs w:val="24"/>
          <w:lang w:eastAsia="en-GB"/>
        </w:rPr>
        <w:t>The average collection period represents the average number of days between the date a credit sale is made and the date payment is received from the credit sale. The average balance of accounts receivable is calculated by adding the beginning balance in accounts receivable and ending balance in accounts receivable and dividing the total by 2. When calculating the average collection period for an entire year, 360 may be used as the number of days in one year for simplicity.</w:t>
      </w:r>
    </w:p>
    <w:p w:rsidR="00A8548D" w:rsidRDefault="00A8548D" w:rsidP="00F0254F">
      <w:pPr>
        <w:spacing w:line="276" w:lineRule="auto"/>
      </w:pPr>
      <w:r>
        <w:rPr>
          <w:noProof/>
          <w:lang w:val="en-US"/>
        </w:rPr>
        <w:drawing>
          <wp:inline distT="0" distB="0" distL="0" distR="0" wp14:anchorId="5891ECDE" wp14:editId="2DA6F922">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11F61" w:rsidRPr="00F0254F" w:rsidRDefault="00511F61" w:rsidP="00F0254F">
      <w:pPr>
        <w:pStyle w:val="Heading3"/>
      </w:pPr>
      <w:r w:rsidRPr="00F0254F">
        <w:t>BATBC</w:t>
      </w:r>
    </w:p>
    <w:p w:rsidR="00511F61" w:rsidRPr="00F0254F" w:rsidRDefault="00511F61" w:rsidP="00F0254F">
      <w:pPr>
        <w:spacing w:line="276" w:lineRule="auto"/>
        <w:jc w:val="both"/>
        <w:rPr>
          <w:rFonts w:ascii="Calibri" w:eastAsia="Times New Roman" w:hAnsi="Calibri" w:cs="Times New Roman"/>
          <w:color w:val="000000"/>
          <w:sz w:val="24"/>
          <w:szCs w:val="24"/>
          <w:lang w:eastAsia="en-GB"/>
        </w:rPr>
      </w:pPr>
      <w:r w:rsidRPr="00F0254F">
        <w:rPr>
          <w:sz w:val="24"/>
          <w:szCs w:val="24"/>
        </w:rPr>
        <w:t xml:space="preserve">Average collection period of BATBC was </w:t>
      </w:r>
      <w:r w:rsidRPr="00F0254F">
        <w:rPr>
          <w:rFonts w:ascii="Calibri" w:eastAsia="Times New Roman" w:hAnsi="Calibri" w:cs="Times New Roman"/>
          <w:color w:val="000000"/>
          <w:sz w:val="24"/>
          <w:szCs w:val="24"/>
          <w:lang w:eastAsia="en-GB"/>
        </w:rPr>
        <w:t>1150.1756 in 2013; 433.669887 in 2014 and 467.817959 in 2015, which is good.</w:t>
      </w:r>
    </w:p>
    <w:p w:rsidR="00511F61" w:rsidRPr="00F0254F" w:rsidRDefault="00511F61" w:rsidP="00F0254F">
      <w:pPr>
        <w:pStyle w:val="Heading3"/>
        <w:rPr>
          <w:rFonts w:eastAsia="Times New Roman"/>
          <w:lang w:eastAsia="en-GB"/>
        </w:rPr>
      </w:pPr>
      <w:r w:rsidRPr="00F0254F">
        <w:rPr>
          <w:rFonts w:eastAsia="Times New Roman"/>
          <w:lang w:eastAsia="en-GB"/>
        </w:rPr>
        <w:t>CCL</w:t>
      </w:r>
    </w:p>
    <w:p w:rsidR="00511F61" w:rsidRPr="00F0254F" w:rsidRDefault="00511F61" w:rsidP="00F0254F">
      <w:pPr>
        <w:spacing w:line="276" w:lineRule="auto"/>
        <w:jc w:val="both"/>
        <w:rPr>
          <w:rFonts w:ascii="Calibri" w:eastAsia="Times New Roman" w:hAnsi="Calibri" w:cs="Times New Roman"/>
          <w:color w:val="000000"/>
          <w:sz w:val="24"/>
          <w:szCs w:val="24"/>
          <w:lang w:eastAsia="en-GB"/>
        </w:rPr>
      </w:pPr>
      <w:r w:rsidRPr="00F0254F">
        <w:rPr>
          <w:rFonts w:ascii="Calibri" w:eastAsia="Times New Roman" w:hAnsi="Calibri" w:cs="Times New Roman"/>
          <w:color w:val="000000"/>
          <w:sz w:val="24"/>
          <w:szCs w:val="24"/>
          <w:lang w:eastAsia="en-GB"/>
        </w:rPr>
        <w:t>Average collection period of CCL was 1367.7262 in 2013; 1401.18846 in 2014 and 62584.6547 in 2015, which is not good.</w:t>
      </w:r>
    </w:p>
    <w:p w:rsidR="00511F61" w:rsidRPr="00F0254F" w:rsidRDefault="00511F61" w:rsidP="00F0254F">
      <w:pPr>
        <w:spacing w:line="276" w:lineRule="auto"/>
        <w:jc w:val="both"/>
        <w:rPr>
          <w:rFonts w:ascii="Calibri" w:eastAsia="Times New Roman" w:hAnsi="Calibri" w:cs="Times New Roman"/>
          <w:color w:val="000000"/>
          <w:sz w:val="24"/>
          <w:szCs w:val="24"/>
          <w:lang w:eastAsia="en-GB"/>
        </w:rPr>
      </w:pPr>
      <w:r w:rsidRPr="00F0254F">
        <w:rPr>
          <w:rFonts w:ascii="Calibri" w:eastAsia="Times New Roman" w:hAnsi="Calibri" w:cs="Times New Roman"/>
          <w:color w:val="000000"/>
          <w:sz w:val="24"/>
          <w:szCs w:val="24"/>
          <w:lang w:eastAsia="en-GB"/>
        </w:rPr>
        <w:t>Comparatively BATBC is in better condition than CCL.</w:t>
      </w:r>
    </w:p>
    <w:p w:rsidR="00511F61" w:rsidRDefault="00511F61">
      <w:pPr>
        <w:rPr>
          <w:rFonts w:ascii="Calibri" w:eastAsia="Times New Roman" w:hAnsi="Calibri" w:cs="Times New Roman"/>
          <w:color w:val="000000"/>
          <w:szCs w:val="22"/>
          <w:lang w:eastAsia="en-GB"/>
        </w:rPr>
      </w:pPr>
      <w:r>
        <w:rPr>
          <w:rFonts w:ascii="Calibri" w:eastAsia="Times New Roman" w:hAnsi="Calibri" w:cs="Times New Roman"/>
          <w:color w:val="000000"/>
          <w:szCs w:val="22"/>
          <w:lang w:eastAsia="en-GB"/>
        </w:rPr>
        <w:br w:type="page"/>
      </w:r>
    </w:p>
    <w:p w:rsidR="00511F61" w:rsidRDefault="00511F61" w:rsidP="007C4670">
      <w:pPr>
        <w:pStyle w:val="Heading2"/>
        <w:rPr>
          <w:rFonts w:eastAsia="Times New Roman"/>
          <w:lang w:eastAsia="en-GB"/>
        </w:rPr>
      </w:pPr>
      <w:r>
        <w:rPr>
          <w:rFonts w:eastAsia="Times New Roman"/>
          <w:lang w:eastAsia="en-GB"/>
        </w:rPr>
        <w:lastRenderedPageBreak/>
        <w:t>Payable Turnover:</w:t>
      </w:r>
    </w:p>
    <w:p w:rsidR="00511F61" w:rsidRPr="00F0254F" w:rsidRDefault="00511F61" w:rsidP="00F0254F">
      <w:pPr>
        <w:spacing w:line="276" w:lineRule="auto"/>
        <w:jc w:val="both"/>
        <w:rPr>
          <w:rFonts w:ascii="Calibri" w:eastAsia="Times New Roman" w:hAnsi="Calibri" w:cs="Times New Roman"/>
          <w:color w:val="000000"/>
          <w:sz w:val="24"/>
          <w:szCs w:val="24"/>
          <w:lang w:eastAsia="en-GB"/>
        </w:rPr>
      </w:pPr>
      <w:r w:rsidRPr="00F0254F">
        <w:rPr>
          <w:rFonts w:ascii="Calibri" w:eastAsia="Times New Roman" w:hAnsi="Calibri" w:cs="Times New Roman"/>
          <w:color w:val="000000"/>
          <w:sz w:val="24"/>
          <w:szCs w:val="24"/>
          <w:lang w:eastAsia="en-GB"/>
        </w:rPr>
        <w:t>The accounts payable turnover ratio is a short-term liquidity measure used to quantify the rate at which a company pays off its suppliers. Accounts payable turnover ratio is calculated by taking the total purchases made from suppliers, or cost of sales, and dividing it by the average accounts payable amount during the same period.</w:t>
      </w:r>
    </w:p>
    <w:p w:rsidR="006C43AC" w:rsidRPr="00F0254F" w:rsidRDefault="006C43AC" w:rsidP="00F0254F">
      <w:pPr>
        <w:spacing w:line="276" w:lineRule="auto"/>
        <w:jc w:val="both"/>
        <w:rPr>
          <w:rFonts w:ascii="Calibri" w:eastAsia="Times New Roman" w:hAnsi="Calibri" w:cs="Times New Roman"/>
          <w:color w:val="000000"/>
          <w:sz w:val="24"/>
          <w:szCs w:val="24"/>
          <w:lang w:eastAsia="en-GB"/>
        </w:rPr>
      </w:pPr>
      <w:r w:rsidRPr="00F0254F">
        <w:rPr>
          <w:rFonts w:ascii="Calibri" w:eastAsia="Times New Roman" w:hAnsi="Calibri" w:cs="Times New Roman"/>
          <w:color w:val="000000"/>
          <w:sz w:val="24"/>
          <w:szCs w:val="24"/>
          <w:lang w:eastAsia="en-GB"/>
        </w:rPr>
        <w:t>The measure shows investors how many times per period the company pays its average payable amount. Accounts payable, also known as payables, represents short-term debt obligations that a company must pay off. The accounts payable is listed under a company's current liabilities on its balance sheet. Accounts payable are also part of households because people may be subject to pay off their short-term debt provided by creditors, such as credit card companies.</w:t>
      </w:r>
    </w:p>
    <w:p w:rsidR="00A8548D" w:rsidRDefault="00A8548D" w:rsidP="00F0254F">
      <w:pPr>
        <w:spacing w:line="276" w:lineRule="auto"/>
      </w:pPr>
      <w:r>
        <w:rPr>
          <w:noProof/>
          <w:lang w:val="en-US"/>
        </w:rPr>
        <w:drawing>
          <wp:inline distT="0" distB="0" distL="0" distR="0" wp14:anchorId="6436C96B" wp14:editId="57A656C3">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C6CA7" w:rsidRPr="00F0254F" w:rsidRDefault="008C6CA7" w:rsidP="00F0254F">
      <w:pPr>
        <w:pStyle w:val="Heading3"/>
      </w:pPr>
      <w:r w:rsidRPr="00F0254F">
        <w:t>BATBC</w:t>
      </w:r>
    </w:p>
    <w:p w:rsidR="008C6CA7" w:rsidRPr="00F0254F" w:rsidRDefault="008C6CA7" w:rsidP="00F0254F">
      <w:pPr>
        <w:spacing w:line="276" w:lineRule="auto"/>
        <w:jc w:val="both"/>
        <w:rPr>
          <w:rFonts w:ascii="Calibri" w:eastAsia="Times New Roman" w:hAnsi="Calibri" w:cs="Times New Roman"/>
          <w:color w:val="000000"/>
          <w:sz w:val="24"/>
          <w:szCs w:val="24"/>
          <w:lang w:eastAsia="en-GB"/>
        </w:rPr>
      </w:pPr>
      <w:r w:rsidRPr="00F0254F">
        <w:rPr>
          <w:sz w:val="24"/>
          <w:szCs w:val="24"/>
        </w:rPr>
        <w:t xml:space="preserve">Payable turnover of BATBC was </w:t>
      </w:r>
      <w:r w:rsidRPr="00F0254F">
        <w:rPr>
          <w:rFonts w:ascii="Calibri" w:eastAsia="Times New Roman" w:hAnsi="Calibri" w:cs="Times New Roman"/>
          <w:color w:val="000000"/>
          <w:sz w:val="24"/>
          <w:szCs w:val="24"/>
          <w:lang w:eastAsia="en-GB"/>
        </w:rPr>
        <w:t>0.446892 in 2013; 0.61723445 in 2014 and 0.4542791 in 2015, which is good.</w:t>
      </w:r>
    </w:p>
    <w:p w:rsidR="008C6CA7" w:rsidRPr="00F0254F" w:rsidRDefault="008C6CA7" w:rsidP="00F0254F">
      <w:pPr>
        <w:pStyle w:val="Heading3"/>
        <w:rPr>
          <w:rFonts w:eastAsia="Times New Roman"/>
          <w:lang w:eastAsia="en-GB"/>
        </w:rPr>
      </w:pPr>
      <w:r w:rsidRPr="00F0254F">
        <w:rPr>
          <w:rFonts w:eastAsia="Times New Roman"/>
          <w:lang w:eastAsia="en-GB"/>
        </w:rPr>
        <w:t>CCL</w:t>
      </w:r>
    </w:p>
    <w:p w:rsidR="008C6CA7" w:rsidRPr="00F0254F" w:rsidRDefault="008C6CA7" w:rsidP="00F0254F">
      <w:pPr>
        <w:spacing w:line="276" w:lineRule="auto"/>
        <w:jc w:val="both"/>
        <w:rPr>
          <w:rFonts w:ascii="Calibri" w:eastAsia="Times New Roman" w:hAnsi="Calibri" w:cs="Times New Roman"/>
          <w:color w:val="000000"/>
          <w:sz w:val="24"/>
          <w:szCs w:val="24"/>
          <w:lang w:eastAsia="en-GB"/>
        </w:rPr>
      </w:pPr>
      <w:r w:rsidRPr="00F0254F">
        <w:rPr>
          <w:rFonts w:ascii="Calibri" w:eastAsia="Times New Roman" w:hAnsi="Calibri" w:cs="Times New Roman"/>
          <w:color w:val="000000"/>
          <w:sz w:val="24"/>
          <w:szCs w:val="24"/>
          <w:lang w:eastAsia="en-GB"/>
        </w:rPr>
        <w:t>Payable turnover of CCL was 0.1747423 in 2013; 0.7263934 in 2014 and 0.37223968 in 2015, which is good.</w:t>
      </w:r>
    </w:p>
    <w:p w:rsidR="006C43AC" w:rsidRPr="008C6CA7" w:rsidRDefault="008C6CA7" w:rsidP="00F0254F">
      <w:pPr>
        <w:spacing w:line="276" w:lineRule="auto"/>
        <w:jc w:val="both"/>
        <w:rPr>
          <w:rFonts w:ascii="Calibri" w:eastAsia="Times New Roman" w:hAnsi="Calibri" w:cs="Times New Roman"/>
          <w:color w:val="000000"/>
          <w:szCs w:val="22"/>
          <w:lang w:eastAsia="en-GB"/>
        </w:rPr>
      </w:pPr>
      <w:r w:rsidRPr="00F0254F">
        <w:rPr>
          <w:rFonts w:ascii="Calibri" w:eastAsia="Times New Roman" w:hAnsi="Calibri" w:cs="Times New Roman"/>
          <w:color w:val="000000"/>
          <w:sz w:val="24"/>
          <w:szCs w:val="24"/>
          <w:lang w:eastAsia="en-GB"/>
        </w:rPr>
        <w:t>Comparatively CCL is in better condition than BATBC.</w:t>
      </w:r>
      <w:r w:rsidR="006C43AC">
        <w:br w:type="page"/>
      </w:r>
    </w:p>
    <w:p w:rsidR="006C43AC" w:rsidRDefault="006C43AC" w:rsidP="007C4670">
      <w:pPr>
        <w:pStyle w:val="Heading2"/>
      </w:pPr>
      <w:r>
        <w:lastRenderedPageBreak/>
        <w:t>Payable Deferral Period:</w:t>
      </w:r>
    </w:p>
    <w:p w:rsidR="006C43AC" w:rsidRPr="00F0254F" w:rsidRDefault="006C43AC" w:rsidP="00F0254F">
      <w:pPr>
        <w:spacing w:line="276" w:lineRule="auto"/>
        <w:jc w:val="both"/>
        <w:rPr>
          <w:sz w:val="24"/>
          <w:szCs w:val="24"/>
        </w:rPr>
      </w:pPr>
      <w:r w:rsidRPr="00F0254F">
        <w:rPr>
          <w:sz w:val="24"/>
          <w:szCs w:val="24"/>
        </w:rPr>
        <w:t xml:space="preserve">Days payable outstanding (DPO) is a company's average payable period. </w:t>
      </w:r>
      <w:proofErr w:type="gramStart"/>
      <w:r w:rsidRPr="00F0254F">
        <w:rPr>
          <w:sz w:val="24"/>
          <w:szCs w:val="24"/>
        </w:rPr>
        <w:t>Days</w:t>
      </w:r>
      <w:proofErr w:type="gramEnd"/>
      <w:r w:rsidRPr="00F0254F">
        <w:rPr>
          <w:sz w:val="24"/>
          <w:szCs w:val="24"/>
        </w:rPr>
        <w:t xml:space="preserve"> payable outstanding tells how long it takes a company to pay its invoices from trade creditors, such as suppliers. DPO is typically looked at either quarterly or yearly.</w:t>
      </w:r>
    </w:p>
    <w:p w:rsidR="006C43AC" w:rsidRPr="00F0254F" w:rsidRDefault="006C43AC" w:rsidP="00F0254F">
      <w:pPr>
        <w:spacing w:line="276" w:lineRule="auto"/>
        <w:jc w:val="both"/>
        <w:rPr>
          <w:sz w:val="24"/>
          <w:szCs w:val="24"/>
        </w:rPr>
      </w:pPr>
      <w:r w:rsidRPr="00F0254F">
        <w:rPr>
          <w:sz w:val="24"/>
          <w:szCs w:val="24"/>
        </w:rPr>
        <w:t xml:space="preserve">Companies must strike a delicate balance with DPO. The longer they take to pay their creditors, the more money the company has on hand, which is good for working capital and free cash flow. But if the company takes too long to pay its creditors, the creditors will be unhappy. They may refuse to extend credit in the future, or they may offer less </w:t>
      </w:r>
      <w:r w:rsidR="008C6CA7" w:rsidRPr="00F0254F">
        <w:rPr>
          <w:sz w:val="24"/>
          <w:szCs w:val="24"/>
        </w:rPr>
        <w:t>favourable</w:t>
      </w:r>
      <w:r w:rsidRPr="00F0254F">
        <w:rPr>
          <w:sz w:val="24"/>
          <w:szCs w:val="24"/>
        </w:rPr>
        <w:t xml:space="preserve"> terms. Also, because some creditors give companies a discount for timely payments, the company may be paying more than it needs to for its supplies. If cash is tight, however, the cost of increasing DPO may be less than the cost of foregoing that cash earlier and having to borrow the shortfall to continue operations.</w:t>
      </w:r>
    </w:p>
    <w:p w:rsidR="00A8548D" w:rsidRDefault="00A8548D" w:rsidP="00F0254F">
      <w:pPr>
        <w:spacing w:line="276" w:lineRule="auto"/>
      </w:pPr>
      <w:r>
        <w:rPr>
          <w:noProof/>
          <w:lang w:val="en-US"/>
        </w:rPr>
        <w:drawing>
          <wp:inline distT="0" distB="0" distL="0" distR="0" wp14:anchorId="65BC6755" wp14:editId="15F9D01E">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C43AC" w:rsidRPr="00F0254F" w:rsidRDefault="008C6CA7" w:rsidP="00F0254F">
      <w:pPr>
        <w:pStyle w:val="Heading3"/>
      </w:pPr>
      <w:r w:rsidRPr="00F0254F">
        <w:t>BATBC</w:t>
      </w:r>
    </w:p>
    <w:p w:rsidR="008C6CA7" w:rsidRPr="00F0254F" w:rsidRDefault="008C6CA7" w:rsidP="00F0254F">
      <w:pPr>
        <w:spacing w:line="276" w:lineRule="auto"/>
        <w:jc w:val="both"/>
        <w:rPr>
          <w:rFonts w:ascii="Calibri" w:eastAsia="Times New Roman" w:hAnsi="Calibri" w:cs="Times New Roman"/>
          <w:color w:val="000000"/>
          <w:sz w:val="24"/>
          <w:szCs w:val="24"/>
          <w:lang w:eastAsia="en-GB"/>
        </w:rPr>
      </w:pPr>
      <w:r w:rsidRPr="00F0254F">
        <w:rPr>
          <w:sz w:val="24"/>
          <w:szCs w:val="24"/>
        </w:rPr>
        <w:t xml:space="preserve">Payable deferral period of BATBC was </w:t>
      </w:r>
      <w:r w:rsidRPr="00F0254F">
        <w:rPr>
          <w:rFonts w:ascii="Calibri" w:eastAsia="Times New Roman" w:hAnsi="Calibri" w:cs="Times New Roman"/>
          <w:color w:val="000000"/>
          <w:sz w:val="24"/>
          <w:szCs w:val="24"/>
          <w:lang w:eastAsia="en-GB"/>
        </w:rPr>
        <w:t>816.75206 in 2013; 591.347416 in 2014 and 803.470823 in 2015, which is good.</w:t>
      </w:r>
    </w:p>
    <w:p w:rsidR="008C6CA7" w:rsidRPr="00F0254F" w:rsidRDefault="008C6CA7" w:rsidP="00F0254F">
      <w:pPr>
        <w:pStyle w:val="Heading3"/>
        <w:rPr>
          <w:rFonts w:eastAsia="Times New Roman"/>
          <w:lang w:eastAsia="en-GB"/>
        </w:rPr>
      </w:pPr>
      <w:r w:rsidRPr="00F0254F">
        <w:rPr>
          <w:rFonts w:eastAsia="Times New Roman"/>
          <w:lang w:eastAsia="en-GB"/>
        </w:rPr>
        <w:t>CCL</w:t>
      </w:r>
    </w:p>
    <w:p w:rsidR="008C6CA7" w:rsidRPr="00F0254F" w:rsidRDefault="008C6CA7" w:rsidP="00F0254F">
      <w:pPr>
        <w:spacing w:line="276" w:lineRule="auto"/>
        <w:jc w:val="both"/>
        <w:rPr>
          <w:rFonts w:ascii="Calibri" w:eastAsia="Times New Roman" w:hAnsi="Calibri" w:cs="Times New Roman"/>
          <w:color w:val="000000"/>
          <w:sz w:val="24"/>
          <w:szCs w:val="24"/>
          <w:lang w:eastAsia="en-GB"/>
        </w:rPr>
      </w:pPr>
      <w:r w:rsidRPr="00F0254F">
        <w:rPr>
          <w:rFonts w:ascii="Calibri" w:eastAsia="Times New Roman" w:hAnsi="Calibri" w:cs="Times New Roman"/>
          <w:color w:val="000000"/>
          <w:sz w:val="24"/>
          <w:szCs w:val="24"/>
          <w:lang w:eastAsia="en-GB"/>
        </w:rPr>
        <w:t>Payable deferral period of CCL was 2088.7907 in 2013; 502.482536 in 2014 and 980.551028 in 2015, which is good.</w:t>
      </w:r>
    </w:p>
    <w:p w:rsidR="008C6CA7" w:rsidRPr="00F0254F" w:rsidRDefault="008C6CA7" w:rsidP="00F0254F">
      <w:pPr>
        <w:spacing w:line="276" w:lineRule="auto"/>
        <w:jc w:val="both"/>
        <w:rPr>
          <w:rFonts w:ascii="Calibri" w:eastAsia="Times New Roman" w:hAnsi="Calibri" w:cs="Times New Roman"/>
          <w:color w:val="000000"/>
          <w:sz w:val="24"/>
          <w:szCs w:val="24"/>
          <w:lang w:eastAsia="en-GB"/>
        </w:rPr>
      </w:pPr>
      <w:r w:rsidRPr="00F0254F">
        <w:rPr>
          <w:rFonts w:ascii="Calibri" w:eastAsia="Times New Roman" w:hAnsi="Calibri" w:cs="Times New Roman"/>
          <w:color w:val="000000"/>
          <w:sz w:val="24"/>
          <w:szCs w:val="24"/>
          <w:lang w:eastAsia="en-GB"/>
        </w:rPr>
        <w:t>Comparatively CCL is in better condition than BATBC.</w:t>
      </w:r>
    </w:p>
    <w:p w:rsidR="008C6CA7" w:rsidRDefault="008C6CA7">
      <w:pPr>
        <w:rPr>
          <w:rFonts w:ascii="Calibri" w:eastAsia="Times New Roman" w:hAnsi="Calibri" w:cs="Times New Roman"/>
          <w:color w:val="000000"/>
          <w:szCs w:val="22"/>
          <w:lang w:eastAsia="en-GB"/>
        </w:rPr>
      </w:pPr>
      <w:r>
        <w:rPr>
          <w:rFonts w:ascii="Calibri" w:eastAsia="Times New Roman" w:hAnsi="Calibri" w:cs="Times New Roman"/>
          <w:color w:val="000000"/>
          <w:szCs w:val="22"/>
          <w:lang w:eastAsia="en-GB"/>
        </w:rPr>
        <w:br w:type="page"/>
      </w:r>
    </w:p>
    <w:p w:rsidR="008C6CA7" w:rsidRDefault="00725233" w:rsidP="007C4670">
      <w:pPr>
        <w:pStyle w:val="Heading2"/>
        <w:rPr>
          <w:rFonts w:eastAsia="Times New Roman"/>
          <w:lang w:eastAsia="en-GB"/>
        </w:rPr>
      </w:pPr>
      <w:r>
        <w:rPr>
          <w:rFonts w:eastAsia="Times New Roman"/>
          <w:lang w:eastAsia="en-GB"/>
        </w:rPr>
        <w:lastRenderedPageBreak/>
        <w:t>Working Capital Turnover:</w:t>
      </w:r>
    </w:p>
    <w:p w:rsidR="00725233" w:rsidRPr="00F0254F" w:rsidRDefault="00725233" w:rsidP="00F0254F">
      <w:pPr>
        <w:spacing w:line="276" w:lineRule="auto"/>
        <w:jc w:val="both"/>
        <w:rPr>
          <w:rFonts w:ascii="Calibri" w:eastAsia="Times New Roman" w:hAnsi="Calibri" w:cs="Times New Roman"/>
          <w:color w:val="000000"/>
          <w:sz w:val="24"/>
          <w:szCs w:val="24"/>
          <w:lang w:eastAsia="en-GB"/>
        </w:rPr>
      </w:pPr>
      <w:r w:rsidRPr="00F0254F">
        <w:rPr>
          <w:rFonts w:ascii="Calibri" w:eastAsia="Times New Roman" w:hAnsi="Calibri" w:cs="Times New Roman"/>
          <w:color w:val="000000"/>
          <w:sz w:val="24"/>
          <w:szCs w:val="24"/>
          <w:lang w:eastAsia="en-GB"/>
        </w:rPr>
        <w:t xml:space="preserve">Working capital turnover is a measurement comparing the depletion of working capital used to fund operations and purchase inventory, which is then converted into sales revenue for the company. The working capital turnover ratio is used to </w:t>
      </w:r>
      <w:proofErr w:type="spellStart"/>
      <w:r w:rsidRPr="00F0254F">
        <w:rPr>
          <w:rFonts w:ascii="Calibri" w:eastAsia="Times New Roman" w:hAnsi="Calibri" w:cs="Times New Roman"/>
          <w:color w:val="000000"/>
          <w:sz w:val="24"/>
          <w:szCs w:val="24"/>
          <w:lang w:eastAsia="en-GB"/>
        </w:rPr>
        <w:t>analyze</w:t>
      </w:r>
      <w:proofErr w:type="spellEnd"/>
      <w:r w:rsidRPr="00F0254F">
        <w:rPr>
          <w:rFonts w:ascii="Calibri" w:eastAsia="Times New Roman" w:hAnsi="Calibri" w:cs="Times New Roman"/>
          <w:color w:val="000000"/>
          <w:sz w:val="24"/>
          <w:szCs w:val="24"/>
          <w:lang w:eastAsia="en-GB"/>
        </w:rPr>
        <w:t xml:space="preserve"> the relationship between the money that funds operations and the sales generated from these operations.</w:t>
      </w:r>
    </w:p>
    <w:p w:rsidR="00725233" w:rsidRPr="00F0254F" w:rsidRDefault="00725233" w:rsidP="00F0254F">
      <w:pPr>
        <w:spacing w:line="276" w:lineRule="auto"/>
        <w:jc w:val="both"/>
        <w:rPr>
          <w:rFonts w:ascii="Calibri" w:eastAsia="Times New Roman" w:hAnsi="Calibri" w:cs="Times New Roman"/>
          <w:color w:val="000000"/>
          <w:sz w:val="24"/>
          <w:szCs w:val="24"/>
          <w:lang w:eastAsia="en-GB"/>
        </w:rPr>
      </w:pPr>
      <w:r w:rsidRPr="00F0254F">
        <w:rPr>
          <w:rFonts w:ascii="Calibri" w:eastAsia="Times New Roman" w:hAnsi="Calibri" w:cs="Times New Roman"/>
          <w:color w:val="000000"/>
          <w:sz w:val="24"/>
          <w:szCs w:val="24"/>
          <w:lang w:eastAsia="en-GB"/>
        </w:rPr>
        <w:t>The working capital turnover ratio measures how well a company is utilizing its working capital for supporting a given level of sales. Because working capital is current assets minus current liabilities, a high turnover ratio shows that management is being very efficient in using a company’s short-term assets and liabilities for supporting sales. In contrast, a low ratio shows a business is investing in too many accounts receivable (AR) and inventory assets for supporting its sales. This may lead to an excessive amount of bad debts and obsolete inventory.</w:t>
      </w:r>
    </w:p>
    <w:p w:rsidR="00A8548D" w:rsidRDefault="00EC7678" w:rsidP="00F0254F">
      <w:pPr>
        <w:spacing w:line="276" w:lineRule="auto"/>
      </w:pPr>
      <w:r>
        <w:rPr>
          <w:noProof/>
          <w:lang w:val="en-US"/>
        </w:rPr>
        <w:drawing>
          <wp:inline distT="0" distB="0" distL="0" distR="0" wp14:anchorId="3F4EF304" wp14:editId="3B78E983">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25233" w:rsidRPr="00F0254F" w:rsidRDefault="00725233" w:rsidP="00F0254F">
      <w:pPr>
        <w:pStyle w:val="Heading3"/>
      </w:pPr>
      <w:r w:rsidRPr="00F0254F">
        <w:t>BATBC</w:t>
      </w:r>
    </w:p>
    <w:p w:rsidR="00725233" w:rsidRPr="00F0254F" w:rsidRDefault="00725233" w:rsidP="00F0254F">
      <w:pPr>
        <w:spacing w:line="276" w:lineRule="auto"/>
        <w:jc w:val="both"/>
        <w:rPr>
          <w:rFonts w:ascii="Calibri" w:eastAsia="Times New Roman" w:hAnsi="Calibri" w:cs="Times New Roman"/>
          <w:color w:val="000000"/>
          <w:sz w:val="24"/>
          <w:szCs w:val="24"/>
          <w:lang w:eastAsia="en-GB"/>
        </w:rPr>
      </w:pPr>
      <w:r w:rsidRPr="00F0254F">
        <w:rPr>
          <w:sz w:val="24"/>
          <w:szCs w:val="24"/>
        </w:rPr>
        <w:t xml:space="preserve">Working capital turnover of BATBC was </w:t>
      </w:r>
      <w:r w:rsidRPr="00F0254F">
        <w:rPr>
          <w:rFonts w:ascii="Calibri" w:eastAsia="Times New Roman" w:hAnsi="Calibri" w:cs="Times New Roman"/>
          <w:color w:val="000000"/>
          <w:sz w:val="24"/>
          <w:szCs w:val="24"/>
          <w:lang w:eastAsia="en-GB"/>
        </w:rPr>
        <w:t>9.6300771 in 2013; 8.5961579 in 2014 and 7.9076964 in 2015, which is good.</w:t>
      </w:r>
    </w:p>
    <w:p w:rsidR="00725233" w:rsidRPr="00F0254F" w:rsidRDefault="00725233" w:rsidP="00F0254F">
      <w:pPr>
        <w:pStyle w:val="Heading3"/>
        <w:rPr>
          <w:rFonts w:eastAsia="Times New Roman"/>
          <w:lang w:eastAsia="en-GB"/>
        </w:rPr>
      </w:pPr>
      <w:r w:rsidRPr="00F0254F">
        <w:rPr>
          <w:rFonts w:eastAsia="Times New Roman"/>
          <w:lang w:eastAsia="en-GB"/>
        </w:rPr>
        <w:t>CCL</w:t>
      </w:r>
    </w:p>
    <w:p w:rsidR="00725233" w:rsidRPr="00F0254F" w:rsidRDefault="00725233" w:rsidP="00F0254F">
      <w:pPr>
        <w:spacing w:line="276" w:lineRule="auto"/>
        <w:jc w:val="both"/>
        <w:rPr>
          <w:rFonts w:ascii="Calibri" w:eastAsia="Times New Roman" w:hAnsi="Calibri" w:cs="Times New Roman"/>
          <w:color w:val="000000"/>
          <w:sz w:val="24"/>
          <w:szCs w:val="24"/>
          <w:lang w:eastAsia="en-GB"/>
        </w:rPr>
      </w:pPr>
      <w:r w:rsidRPr="00F0254F">
        <w:rPr>
          <w:rFonts w:ascii="Calibri" w:eastAsia="Times New Roman" w:hAnsi="Calibri" w:cs="Times New Roman"/>
          <w:color w:val="000000"/>
          <w:sz w:val="24"/>
          <w:szCs w:val="24"/>
          <w:lang w:eastAsia="en-GB"/>
        </w:rPr>
        <w:t>Working capital turnover of CCL was 0.433239 in 2013; 0.27579882 in 2014 and 0.35049046 in2015, which is not good.</w:t>
      </w:r>
    </w:p>
    <w:p w:rsidR="00725233" w:rsidRPr="00F0254F" w:rsidRDefault="00725233" w:rsidP="00F0254F">
      <w:pPr>
        <w:spacing w:line="276" w:lineRule="auto"/>
        <w:jc w:val="both"/>
        <w:rPr>
          <w:rFonts w:ascii="Calibri" w:eastAsia="Times New Roman" w:hAnsi="Calibri" w:cs="Times New Roman"/>
          <w:color w:val="000000"/>
          <w:sz w:val="24"/>
          <w:szCs w:val="24"/>
          <w:lang w:eastAsia="en-GB"/>
        </w:rPr>
      </w:pPr>
      <w:r w:rsidRPr="00F0254F">
        <w:rPr>
          <w:rFonts w:ascii="Calibri" w:eastAsia="Times New Roman" w:hAnsi="Calibri" w:cs="Times New Roman"/>
          <w:color w:val="000000"/>
          <w:sz w:val="24"/>
          <w:szCs w:val="24"/>
          <w:lang w:eastAsia="en-GB"/>
        </w:rPr>
        <w:t>Comparatively BATBC is in better condition than CCL.</w:t>
      </w:r>
    </w:p>
    <w:p w:rsidR="00725233" w:rsidRDefault="00725233">
      <w:pPr>
        <w:rPr>
          <w:rFonts w:ascii="Calibri" w:eastAsia="Times New Roman" w:hAnsi="Calibri" w:cs="Times New Roman"/>
          <w:color w:val="000000"/>
          <w:szCs w:val="22"/>
          <w:lang w:eastAsia="en-GB"/>
        </w:rPr>
      </w:pPr>
      <w:r>
        <w:rPr>
          <w:rFonts w:ascii="Calibri" w:eastAsia="Times New Roman" w:hAnsi="Calibri" w:cs="Times New Roman"/>
          <w:color w:val="000000"/>
          <w:szCs w:val="22"/>
          <w:lang w:eastAsia="en-GB"/>
        </w:rPr>
        <w:br w:type="page"/>
      </w:r>
    </w:p>
    <w:p w:rsidR="00725233" w:rsidRDefault="00725233" w:rsidP="007C4670">
      <w:pPr>
        <w:pStyle w:val="Heading2"/>
        <w:rPr>
          <w:rFonts w:eastAsia="Times New Roman"/>
          <w:lang w:eastAsia="en-GB"/>
        </w:rPr>
      </w:pPr>
      <w:r>
        <w:rPr>
          <w:rFonts w:eastAsia="Times New Roman"/>
          <w:lang w:eastAsia="en-GB"/>
        </w:rPr>
        <w:lastRenderedPageBreak/>
        <w:t>Fixed Asset Turnover:</w:t>
      </w:r>
    </w:p>
    <w:p w:rsidR="00725233" w:rsidRPr="00F0254F" w:rsidRDefault="00725233" w:rsidP="00F0254F">
      <w:pPr>
        <w:spacing w:line="276" w:lineRule="auto"/>
        <w:jc w:val="both"/>
        <w:rPr>
          <w:rFonts w:ascii="Calibri" w:eastAsia="Times New Roman" w:hAnsi="Calibri" w:cs="Times New Roman"/>
          <w:color w:val="000000"/>
          <w:sz w:val="24"/>
          <w:szCs w:val="24"/>
          <w:lang w:eastAsia="en-GB"/>
        </w:rPr>
      </w:pPr>
      <w:r w:rsidRPr="00F0254F">
        <w:rPr>
          <w:rFonts w:ascii="Calibri" w:eastAsia="Times New Roman" w:hAnsi="Calibri" w:cs="Times New Roman"/>
          <w:color w:val="000000"/>
          <w:sz w:val="24"/>
          <w:szCs w:val="24"/>
          <w:lang w:eastAsia="en-GB"/>
        </w:rPr>
        <w:t>The fixed-asset turnover ratio is, in general, used by analysts to measure operating performance. It is a ratio of net sales to fixed assets. This ratio specifically measures how able a company is to generate net sales from fixed-asset investments, namely property, plant and equipment (PP&amp;E), net of depreciation. In a general sense, a higher fixed-asset turnover ratio indicates that a company has more effectively utilized investment in fixed assets to generate revenue.</w:t>
      </w:r>
    </w:p>
    <w:p w:rsidR="00725233" w:rsidRPr="00F0254F" w:rsidRDefault="00725233" w:rsidP="00F0254F">
      <w:pPr>
        <w:spacing w:line="276" w:lineRule="auto"/>
        <w:jc w:val="both"/>
        <w:rPr>
          <w:rFonts w:ascii="Calibri" w:eastAsia="Times New Roman" w:hAnsi="Calibri" w:cs="Times New Roman"/>
          <w:color w:val="000000"/>
          <w:sz w:val="24"/>
          <w:szCs w:val="24"/>
          <w:lang w:eastAsia="en-GB"/>
        </w:rPr>
      </w:pPr>
      <w:r w:rsidRPr="00F0254F">
        <w:rPr>
          <w:rFonts w:ascii="Calibri" w:eastAsia="Times New Roman" w:hAnsi="Calibri" w:cs="Times New Roman"/>
          <w:color w:val="000000"/>
          <w:sz w:val="24"/>
          <w:szCs w:val="24"/>
          <w:lang w:eastAsia="en-GB"/>
        </w:rPr>
        <w:t>The fixed-asset turnover ratio is commonly used as a metric in manufacturing industries that make substantial purchases for PP&amp;E in order to drive up output. When a company makes such significant purchases, wise investors closely monitor this ratio in subsequent years, to observe the effectiveness of such an investment in fixed assets.</w:t>
      </w:r>
    </w:p>
    <w:p w:rsidR="00725233" w:rsidRPr="00F0254F" w:rsidRDefault="00725233" w:rsidP="00F0254F">
      <w:pPr>
        <w:spacing w:line="276" w:lineRule="auto"/>
        <w:jc w:val="both"/>
        <w:rPr>
          <w:rFonts w:ascii="Calibri" w:eastAsia="Times New Roman" w:hAnsi="Calibri" w:cs="Times New Roman"/>
          <w:color w:val="000000"/>
          <w:sz w:val="24"/>
          <w:szCs w:val="24"/>
          <w:lang w:eastAsia="en-GB"/>
        </w:rPr>
      </w:pPr>
      <w:r w:rsidRPr="00F0254F">
        <w:rPr>
          <w:rFonts w:ascii="Calibri" w:eastAsia="Times New Roman" w:hAnsi="Calibri" w:cs="Times New Roman"/>
          <w:color w:val="000000"/>
          <w:sz w:val="24"/>
          <w:szCs w:val="24"/>
          <w:lang w:eastAsia="en-GB"/>
        </w:rPr>
        <w:t>In general, investments in fixed assets are representative of the sole, largest component of the company’s total assets. The ratio, calculated on an annual basis, is constructed in a way that is purposeful in reflecting how efficiently a company, primarily the company’s management team, has used these substantial assets to generate revenue for the firm.</w:t>
      </w:r>
    </w:p>
    <w:p w:rsidR="00EC7678" w:rsidRDefault="00EC7678" w:rsidP="00F0254F">
      <w:pPr>
        <w:spacing w:line="276" w:lineRule="auto"/>
      </w:pPr>
      <w:r>
        <w:rPr>
          <w:noProof/>
          <w:lang w:val="en-US"/>
        </w:rPr>
        <w:drawing>
          <wp:inline distT="0" distB="0" distL="0" distR="0" wp14:anchorId="5BE2DDCA" wp14:editId="669F18FF">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25233" w:rsidRPr="00F0254F" w:rsidRDefault="00725233" w:rsidP="00F0254F">
      <w:pPr>
        <w:pStyle w:val="Heading3"/>
      </w:pPr>
      <w:r w:rsidRPr="00F0254F">
        <w:t>BATBC</w:t>
      </w:r>
    </w:p>
    <w:p w:rsidR="00725233" w:rsidRPr="00F0254F" w:rsidRDefault="007852AC" w:rsidP="00F0254F">
      <w:pPr>
        <w:spacing w:line="276" w:lineRule="auto"/>
        <w:jc w:val="both"/>
        <w:rPr>
          <w:rFonts w:ascii="Calibri" w:eastAsia="Times New Roman" w:hAnsi="Calibri" w:cs="Times New Roman"/>
          <w:color w:val="000000"/>
          <w:sz w:val="24"/>
          <w:szCs w:val="24"/>
          <w:lang w:eastAsia="en-GB"/>
        </w:rPr>
      </w:pPr>
      <w:r w:rsidRPr="00F0254F">
        <w:rPr>
          <w:sz w:val="24"/>
          <w:szCs w:val="24"/>
        </w:rPr>
        <w:t xml:space="preserve">Fixed asset turnover of BATBC was </w:t>
      </w:r>
      <w:r w:rsidRPr="00F0254F">
        <w:rPr>
          <w:rFonts w:ascii="Calibri" w:eastAsia="Times New Roman" w:hAnsi="Calibri" w:cs="Times New Roman"/>
          <w:color w:val="000000"/>
          <w:sz w:val="24"/>
          <w:szCs w:val="24"/>
          <w:lang w:eastAsia="en-GB"/>
        </w:rPr>
        <w:t>12.872026 in 2013; 12.3520537 in 2014 and 11.1909319 in 2015, which is good.</w:t>
      </w:r>
    </w:p>
    <w:p w:rsidR="007852AC" w:rsidRPr="00F0254F" w:rsidRDefault="007852AC" w:rsidP="00F0254F">
      <w:pPr>
        <w:pStyle w:val="Heading3"/>
        <w:rPr>
          <w:rFonts w:eastAsia="Times New Roman"/>
          <w:lang w:eastAsia="en-GB"/>
        </w:rPr>
      </w:pPr>
      <w:r w:rsidRPr="00F0254F">
        <w:rPr>
          <w:rFonts w:eastAsia="Times New Roman"/>
          <w:lang w:eastAsia="en-GB"/>
        </w:rPr>
        <w:t>CCL</w:t>
      </w:r>
    </w:p>
    <w:p w:rsidR="007852AC" w:rsidRPr="00F0254F" w:rsidRDefault="007852AC" w:rsidP="00F0254F">
      <w:pPr>
        <w:spacing w:line="276" w:lineRule="auto"/>
        <w:jc w:val="both"/>
        <w:rPr>
          <w:rFonts w:ascii="Calibri" w:eastAsia="Times New Roman" w:hAnsi="Calibri" w:cs="Times New Roman"/>
          <w:color w:val="000000"/>
          <w:sz w:val="24"/>
          <w:szCs w:val="24"/>
          <w:lang w:eastAsia="en-GB"/>
        </w:rPr>
      </w:pPr>
      <w:r w:rsidRPr="00F0254F">
        <w:rPr>
          <w:rFonts w:ascii="Calibri" w:eastAsia="Times New Roman" w:hAnsi="Calibri" w:cs="Times New Roman"/>
          <w:color w:val="000000"/>
          <w:sz w:val="24"/>
          <w:szCs w:val="24"/>
          <w:lang w:eastAsia="en-GB"/>
        </w:rPr>
        <w:t>Fixed asset turnover of CCL was 1.2976918 in 2013; 1.40502661 in 2014 and 1.79695135 in 2015, which is good.</w:t>
      </w:r>
    </w:p>
    <w:p w:rsidR="007852AC" w:rsidRPr="00F0254F" w:rsidRDefault="007852AC" w:rsidP="00F0254F">
      <w:pPr>
        <w:spacing w:line="276" w:lineRule="auto"/>
        <w:jc w:val="both"/>
        <w:rPr>
          <w:rFonts w:ascii="Calibri" w:eastAsia="Times New Roman" w:hAnsi="Calibri" w:cs="Times New Roman"/>
          <w:color w:val="000000"/>
          <w:sz w:val="24"/>
          <w:szCs w:val="24"/>
          <w:lang w:eastAsia="en-GB"/>
        </w:rPr>
      </w:pPr>
      <w:r w:rsidRPr="00F0254F">
        <w:rPr>
          <w:rFonts w:ascii="Calibri" w:eastAsia="Times New Roman" w:hAnsi="Calibri" w:cs="Times New Roman"/>
          <w:color w:val="000000"/>
          <w:sz w:val="24"/>
          <w:szCs w:val="24"/>
          <w:lang w:eastAsia="en-GB"/>
        </w:rPr>
        <w:t>Comparatively BATBC is in good condition than CCL.</w:t>
      </w:r>
    </w:p>
    <w:p w:rsidR="007852AC" w:rsidRDefault="007852AC" w:rsidP="00F0254F">
      <w:pPr>
        <w:spacing w:line="276" w:lineRule="auto"/>
        <w:rPr>
          <w:rFonts w:ascii="Calibri" w:eastAsia="Times New Roman" w:hAnsi="Calibri" w:cs="Times New Roman"/>
          <w:color w:val="000000"/>
          <w:szCs w:val="22"/>
          <w:lang w:eastAsia="en-GB"/>
        </w:rPr>
      </w:pPr>
      <w:r>
        <w:rPr>
          <w:rFonts w:ascii="Calibri" w:eastAsia="Times New Roman" w:hAnsi="Calibri" w:cs="Times New Roman"/>
          <w:color w:val="000000"/>
          <w:szCs w:val="22"/>
          <w:lang w:eastAsia="en-GB"/>
        </w:rPr>
        <w:br w:type="page"/>
      </w:r>
    </w:p>
    <w:p w:rsidR="007852AC" w:rsidRDefault="007852AC" w:rsidP="007C4670">
      <w:pPr>
        <w:pStyle w:val="Heading2"/>
        <w:rPr>
          <w:rFonts w:eastAsia="Times New Roman"/>
          <w:lang w:eastAsia="en-GB"/>
        </w:rPr>
      </w:pPr>
      <w:r>
        <w:rPr>
          <w:rFonts w:eastAsia="Times New Roman"/>
          <w:lang w:eastAsia="en-GB"/>
        </w:rPr>
        <w:lastRenderedPageBreak/>
        <w:t>Total Asset Turnover:</w:t>
      </w:r>
    </w:p>
    <w:p w:rsidR="007852AC" w:rsidRPr="00F0254F" w:rsidRDefault="007852AC" w:rsidP="00F0254F">
      <w:pPr>
        <w:spacing w:line="276" w:lineRule="auto"/>
        <w:jc w:val="both"/>
        <w:rPr>
          <w:rFonts w:ascii="Calibri" w:eastAsia="Times New Roman" w:hAnsi="Calibri" w:cs="Times New Roman"/>
          <w:color w:val="000000"/>
          <w:sz w:val="24"/>
          <w:szCs w:val="24"/>
          <w:lang w:eastAsia="en-GB"/>
        </w:rPr>
      </w:pPr>
      <w:r w:rsidRPr="00F0254F">
        <w:rPr>
          <w:rFonts w:ascii="Calibri" w:eastAsia="Times New Roman" w:hAnsi="Calibri" w:cs="Times New Roman"/>
          <w:color w:val="000000"/>
          <w:sz w:val="24"/>
          <w:szCs w:val="24"/>
          <w:lang w:eastAsia="en-GB"/>
        </w:rPr>
        <w:t>Asset turnover ratio is the ratio of the value of a company’s sales or revenues generated relative to the value of its assets. The Asset Turnover ratio can often be used as an indicator of the efficiency with which a company is deploying its assets in generating revenue.</w:t>
      </w:r>
    </w:p>
    <w:p w:rsidR="007852AC" w:rsidRPr="00F0254F" w:rsidRDefault="007852AC" w:rsidP="00F0254F">
      <w:pPr>
        <w:spacing w:line="276" w:lineRule="auto"/>
        <w:jc w:val="both"/>
        <w:rPr>
          <w:rFonts w:ascii="Calibri" w:eastAsia="Times New Roman" w:hAnsi="Calibri" w:cs="Times New Roman"/>
          <w:color w:val="000000"/>
          <w:sz w:val="24"/>
          <w:szCs w:val="24"/>
          <w:lang w:eastAsia="en-GB"/>
        </w:rPr>
      </w:pPr>
      <w:r w:rsidRPr="00F0254F">
        <w:rPr>
          <w:rFonts w:ascii="Calibri" w:eastAsia="Times New Roman" w:hAnsi="Calibri" w:cs="Times New Roman"/>
          <w:color w:val="000000"/>
          <w:sz w:val="24"/>
          <w:szCs w:val="24"/>
          <w:lang w:eastAsia="en-GB"/>
        </w:rPr>
        <w:t>Asset Turnover = Sales or Revenues / Total Assets</w:t>
      </w:r>
    </w:p>
    <w:p w:rsidR="007852AC" w:rsidRPr="00F0254F" w:rsidRDefault="007852AC" w:rsidP="00F0254F">
      <w:pPr>
        <w:spacing w:line="276" w:lineRule="auto"/>
        <w:jc w:val="both"/>
        <w:rPr>
          <w:rFonts w:ascii="Calibri" w:eastAsia="Times New Roman" w:hAnsi="Calibri" w:cs="Times New Roman"/>
          <w:color w:val="000000"/>
          <w:sz w:val="24"/>
          <w:szCs w:val="24"/>
          <w:lang w:eastAsia="en-GB"/>
        </w:rPr>
      </w:pPr>
      <w:r w:rsidRPr="00F0254F">
        <w:rPr>
          <w:rFonts w:ascii="Calibri" w:eastAsia="Times New Roman" w:hAnsi="Calibri" w:cs="Times New Roman"/>
          <w:color w:val="000000"/>
          <w:sz w:val="24"/>
          <w:szCs w:val="24"/>
          <w:lang w:eastAsia="en-GB"/>
        </w:rPr>
        <w:t>Generally speaking, the higher the asset turnover ratio, the better the company is performing, since higher ratios imply that the company is generating more revenue per dollar of assets. Yet, this ratio can vary widely from one industry to the next. As such, considering the asset turnover ratios of an energy company and a telecommunications company will not make for an accurate comparison. Comparisons are only meaningful when they are made for different companies within the same sector.</w:t>
      </w:r>
    </w:p>
    <w:p w:rsidR="007852AC" w:rsidRPr="00F0254F" w:rsidRDefault="007852AC" w:rsidP="00F0254F">
      <w:pPr>
        <w:spacing w:line="276" w:lineRule="auto"/>
        <w:jc w:val="both"/>
        <w:rPr>
          <w:rFonts w:ascii="Calibri" w:eastAsia="Times New Roman" w:hAnsi="Calibri" w:cs="Times New Roman"/>
          <w:color w:val="000000"/>
          <w:sz w:val="24"/>
          <w:szCs w:val="24"/>
          <w:lang w:eastAsia="en-GB"/>
        </w:rPr>
      </w:pPr>
      <w:r w:rsidRPr="00F0254F">
        <w:rPr>
          <w:rFonts w:ascii="Calibri" w:eastAsia="Times New Roman" w:hAnsi="Calibri" w:cs="Times New Roman"/>
          <w:color w:val="000000"/>
          <w:sz w:val="24"/>
          <w:szCs w:val="24"/>
          <w:lang w:eastAsia="en-GB"/>
        </w:rPr>
        <w:t>Asset turnover is typically calculated over an annual basis using either the fiscal or calendar year. The total assets number used in the denominator can be calculated by taking the average of assets held by a company at the beginning of the year and at the year’s end.</w:t>
      </w:r>
    </w:p>
    <w:p w:rsidR="00EC7678" w:rsidRDefault="00EC7678" w:rsidP="00F0254F">
      <w:pPr>
        <w:spacing w:line="276" w:lineRule="auto"/>
      </w:pPr>
      <w:r>
        <w:rPr>
          <w:noProof/>
          <w:lang w:val="en-US"/>
        </w:rPr>
        <w:drawing>
          <wp:inline distT="0" distB="0" distL="0" distR="0" wp14:anchorId="4A7B2101" wp14:editId="5DD4A5B1">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852AC" w:rsidRPr="00F0254F" w:rsidRDefault="007852AC" w:rsidP="00F0254F">
      <w:pPr>
        <w:pStyle w:val="Heading3"/>
      </w:pPr>
      <w:r w:rsidRPr="00F0254F">
        <w:t>BATBC</w:t>
      </w:r>
    </w:p>
    <w:p w:rsidR="007852AC" w:rsidRPr="00F0254F" w:rsidRDefault="007852AC" w:rsidP="00F0254F">
      <w:pPr>
        <w:spacing w:line="276" w:lineRule="auto"/>
        <w:jc w:val="both"/>
        <w:rPr>
          <w:rFonts w:ascii="Calibri" w:eastAsia="Times New Roman" w:hAnsi="Calibri" w:cs="Times New Roman"/>
          <w:color w:val="000000"/>
          <w:sz w:val="24"/>
          <w:szCs w:val="24"/>
          <w:lang w:eastAsia="en-GB"/>
        </w:rPr>
      </w:pPr>
      <w:r w:rsidRPr="00F0254F">
        <w:rPr>
          <w:sz w:val="24"/>
          <w:szCs w:val="24"/>
        </w:rPr>
        <w:t xml:space="preserve">Total asset turnover of BATBC was </w:t>
      </w:r>
      <w:r w:rsidRPr="00F0254F">
        <w:rPr>
          <w:rFonts w:ascii="Calibri" w:eastAsia="Times New Roman" w:hAnsi="Calibri" w:cs="Times New Roman"/>
          <w:color w:val="000000"/>
          <w:sz w:val="24"/>
          <w:szCs w:val="24"/>
          <w:lang w:eastAsia="en-GB"/>
        </w:rPr>
        <w:t>5.9349496 in 2013; 4.68345385 in 2014 and 4.85662819 in 2015, which is good.</w:t>
      </w:r>
    </w:p>
    <w:p w:rsidR="007852AC" w:rsidRPr="00F0254F" w:rsidRDefault="007852AC" w:rsidP="00F0254F">
      <w:pPr>
        <w:pStyle w:val="Heading3"/>
        <w:rPr>
          <w:rFonts w:eastAsia="Times New Roman"/>
          <w:lang w:eastAsia="en-GB"/>
        </w:rPr>
      </w:pPr>
      <w:r w:rsidRPr="00F0254F">
        <w:rPr>
          <w:rFonts w:eastAsia="Times New Roman"/>
          <w:lang w:eastAsia="en-GB"/>
        </w:rPr>
        <w:t>CCL</w:t>
      </w:r>
    </w:p>
    <w:p w:rsidR="007852AC" w:rsidRPr="00F0254F" w:rsidRDefault="007852AC" w:rsidP="00F0254F">
      <w:pPr>
        <w:spacing w:line="276" w:lineRule="auto"/>
        <w:jc w:val="both"/>
        <w:rPr>
          <w:rFonts w:ascii="Calibri" w:eastAsia="Times New Roman" w:hAnsi="Calibri" w:cs="Times New Roman"/>
          <w:color w:val="000000"/>
          <w:sz w:val="24"/>
          <w:szCs w:val="24"/>
          <w:lang w:eastAsia="en-GB"/>
        </w:rPr>
      </w:pPr>
      <w:r w:rsidRPr="00F0254F">
        <w:rPr>
          <w:rFonts w:ascii="Calibri" w:eastAsia="Times New Roman" w:hAnsi="Calibri" w:cs="Times New Roman"/>
          <w:color w:val="000000"/>
          <w:sz w:val="24"/>
          <w:szCs w:val="24"/>
          <w:lang w:eastAsia="en-GB"/>
        </w:rPr>
        <w:t>Total asset turnover of CCL was 0.7589289 in 2013; 0.71817108</w:t>
      </w:r>
      <w:r w:rsidR="00EA3404" w:rsidRPr="00F0254F">
        <w:rPr>
          <w:rFonts w:ascii="Calibri" w:eastAsia="Times New Roman" w:hAnsi="Calibri" w:cs="Times New Roman"/>
          <w:color w:val="000000"/>
          <w:sz w:val="24"/>
          <w:szCs w:val="24"/>
          <w:lang w:eastAsia="en-GB"/>
        </w:rPr>
        <w:t xml:space="preserve"> in 2014</w:t>
      </w:r>
      <w:r w:rsidRPr="00F0254F">
        <w:rPr>
          <w:rFonts w:ascii="Calibri" w:eastAsia="Times New Roman" w:hAnsi="Calibri" w:cs="Times New Roman"/>
          <w:color w:val="000000"/>
          <w:sz w:val="24"/>
          <w:szCs w:val="24"/>
          <w:lang w:eastAsia="en-GB"/>
        </w:rPr>
        <w:t xml:space="preserve"> and </w:t>
      </w:r>
      <w:r w:rsidR="00EA3404" w:rsidRPr="00F0254F">
        <w:rPr>
          <w:rFonts w:ascii="Calibri" w:eastAsia="Times New Roman" w:hAnsi="Calibri" w:cs="Times New Roman"/>
          <w:color w:val="000000"/>
          <w:sz w:val="24"/>
          <w:szCs w:val="24"/>
          <w:lang w:eastAsia="en-GB"/>
        </w:rPr>
        <w:t>0.88538468 in 2015, which is good.</w:t>
      </w:r>
    </w:p>
    <w:p w:rsidR="00EA3404" w:rsidRPr="00F0254F" w:rsidRDefault="00EA3404" w:rsidP="00F0254F">
      <w:pPr>
        <w:spacing w:line="276" w:lineRule="auto"/>
        <w:jc w:val="both"/>
        <w:rPr>
          <w:rFonts w:ascii="Calibri" w:eastAsia="Times New Roman" w:hAnsi="Calibri" w:cs="Times New Roman"/>
          <w:color w:val="000000"/>
          <w:sz w:val="24"/>
          <w:szCs w:val="24"/>
          <w:lang w:eastAsia="en-GB"/>
        </w:rPr>
      </w:pPr>
      <w:r w:rsidRPr="00F0254F">
        <w:rPr>
          <w:rFonts w:ascii="Calibri" w:eastAsia="Times New Roman" w:hAnsi="Calibri" w:cs="Times New Roman"/>
          <w:color w:val="000000"/>
          <w:sz w:val="24"/>
          <w:szCs w:val="24"/>
          <w:lang w:eastAsia="en-GB"/>
        </w:rPr>
        <w:t>Comparatively BATBC is in good condition than CCL.</w:t>
      </w:r>
    </w:p>
    <w:sectPr w:rsidR="00EA3404" w:rsidRPr="00F02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Vrinda">
    <w:altName w:val="Bahnschrift Light"/>
    <w:panose1 w:val="020B0502040204020203"/>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8CC"/>
    <w:rsid w:val="000829A3"/>
    <w:rsid w:val="0011371E"/>
    <w:rsid w:val="00164098"/>
    <w:rsid w:val="003A5508"/>
    <w:rsid w:val="004878CC"/>
    <w:rsid w:val="00511F61"/>
    <w:rsid w:val="00657C9E"/>
    <w:rsid w:val="006C43AC"/>
    <w:rsid w:val="00725233"/>
    <w:rsid w:val="007852AC"/>
    <w:rsid w:val="007C4670"/>
    <w:rsid w:val="008215C5"/>
    <w:rsid w:val="008C6CA7"/>
    <w:rsid w:val="00A80727"/>
    <w:rsid w:val="00A8548D"/>
    <w:rsid w:val="00B83132"/>
    <w:rsid w:val="00D11DCB"/>
    <w:rsid w:val="00DC0D63"/>
    <w:rsid w:val="00E14606"/>
    <w:rsid w:val="00EA3404"/>
    <w:rsid w:val="00EC7678"/>
    <w:rsid w:val="00F0254F"/>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GB" w:eastAsia="en-US" w:bidi="bn-B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4670"/>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7C4670"/>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F0254F"/>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7C9E"/>
    <w:pPr>
      <w:spacing w:after="0" w:line="240" w:lineRule="auto"/>
    </w:pPr>
  </w:style>
  <w:style w:type="character" w:customStyle="1" w:styleId="apple-converted-space">
    <w:name w:val="apple-converted-space"/>
    <w:basedOn w:val="DefaultParagraphFont"/>
    <w:rsid w:val="00D11DCB"/>
  </w:style>
  <w:style w:type="character" w:styleId="Hyperlink">
    <w:name w:val="Hyperlink"/>
    <w:basedOn w:val="DefaultParagraphFont"/>
    <w:uiPriority w:val="99"/>
    <w:semiHidden/>
    <w:unhideWhenUsed/>
    <w:rsid w:val="00D11DCB"/>
    <w:rPr>
      <w:color w:val="0000FF"/>
      <w:u w:val="single"/>
    </w:rPr>
  </w:style>
  <w:style w:type="character" w:customStyle="1" w:styleId="Heading1Char">
    <w:name w:val="Heading 1 Char"/>
    <w:basedOn w:val="DefaultParagraphFont"/>
    <w:link w:val="Heading1"/>
    <w:uiPriority w:val="9"/>
    <w:rsid w:val="007C4670"/>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7C4670"/>
    <w:rPr>
      <w:rFonts w:asciiTheme="majorHAnsi" w:eastAsiaTheme="majorEastAsia" w:hAnsiTheme="majorHAnsi" w:cstheme="majorBidi"/>
      <w:color w:val="2E74B5" w:themeColor="accent1" w:themeShade="BF"/>
      <w:sz w:val="26"/>
      <w:szCs w:val="33"/>
    </w:rPr>
  </w:style>
  <w:style w:type="character" w:customStyle="1" w:styleId="Heading3Char">
    <w:name w:val="Heading 3 Char"/>
    <w:basedOn w:val="DefaultParagraphFont"/>
    <w:link w:val="Heading3"/>
    <w:uiPriority w:val="9"/>
    <w:rsid w:val="00F0254F"/>
    <w:rPr>
      <w:rFonts w:asciiTheme="majorHAnsi" w:eastAsiaTheme="majorEastAsia" w:hAnsiTheme="majorHAnsi" w:cstheme="majorBidi"/>
      <w:color w:val="1F4D78" w:themeColor="accent1" w:themeShade="7F"/>
      <w:sz w:val="24"/>
      <w:szCs w:val="30"/>
    </w:rPr>
  </w:style>
  <w:style w:type="paragraph" w:styleId="BalloonText">
    <w:name w:val="Balloon Text"/>
    <w:basedOn w:val="Normal"/>
    <w:link w:val="BalloonTextChar"/>
    <w:uiPriority w:val="99"/>
    <w:semiHidden/>
    <w:unhideWhenUsed/>
    <w:rsid w:val="00E14606"/>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E14606"/>
    <w:rPr>
      <w:rFonts w:ascii="Tahoma" w:hAnsi="Tahoma" w:cs="Tahoma"/>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GB" w:eastAsia="en-US" w:bidi="bn-B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4670"/>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7C4670"/>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F0254F"/>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7C9E"/>
    <w:pPr>
      <w:spacing w:after="0" w:line="240" w:lineRule="auto"/>
    </w:pPr>
  </w:style>
  <w:style w:type="character" w:customStyle="1" w:styleId="apple-converted-space">
    <w:name w:val="apple-converted-space"/>
    <w:basedOn w:val="DefaultParagraphFont"/>
    <w:rsid w:val="00D11DCB"/>
  </w:style>
  <w:style w:type="character" w:styleId="Hyperlink">
    <w:name w:val="Hyperlink"/>
    <w:basedOn w:val="DefaultParagraphFont"/>
    <w:uiPriority w:val="99"/>
    <w:semiHidden/>
    <w:unhideWhenUsed/>
    <w:rsid w:val="00D11DCB"/>
    <w:rPr>
      <w:color w:val="0000FF"/>
      <w:u w:val="single"/>
    </w:rPr>
  </w:style>
  <w:style w:type="character" w:customStyle="1" w:styleId="Heading1Char">
    <w:name w:val="Heading 1 Char"/>
    <w:basedOn w:val="DefaultParagraphFont"/>
    <w:link w:val="Heading1"/>
    <w:uiPriority w:val="9"/>
    <w:rsid w:val="007C4670"/>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7C4670"/>
    <w:rPr>
      <w:rFonts w:asciiTheme="majorHAnsi" w:eastAsiaTheme="majorEastAsia" w:hAnsiTheme="majorHAnsi" w:cstheme="majorBidi"/>
      <w:color w:val="2E74B5" w:themeColor="accent1" w:themeShade="BF"/>
      <w:sz w:val="26"/>
      <w:szCs w:val="33"/>
    </w:rPr>
  </w:style>
  <w:style w:type="character" w:customStyle="1" w:styleId="Heading3Char">
    <w:name w:val="Heading 3 Char"/>
    <w:basedOn w:val="DefaultParagraphFont"/>
    <w:link w:val="Heading3"/>
    <w:uiPriority w:val="9"/>
    <w:rsid w:val="00F0254F"/>
    <w:rPr>
      <w:rFonts w:asciiTheme="majorHAnsi" w:eastAsiaTheme="majorEastAsia" w:hAnsiTheme="majorHAnsi" w:cstheme="majorBidi"/>
      <w:color w:val="1F4D78" w:themeColor="accent1" w:themeShade="7F"/>
      <w:sz w:val="24"/>
      <w:szCs w:val="30"/>
    </w:rPr>
  </w:style>
  <w:style w:type="paragraph" w:styleId="BalloonText">
    <w:name w:val="Balloon Text"/>
    <w:basedOn w:val="Normal"/>
    <w:link w:val="BalloonTextChar"/>
    <w:uiPriority w:val="99"/>
    <w:semiHidden/>
    <w:unhideWhenUsed/>
    <w:rsid w:val="00E14606"/>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E14606"/>
    <w:rPr>
      <w:rFonts w:ascii="Tahoma" w:hAnsi="Tahoma" w:cs="Tahoma"/>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02036">
      <w:bodyDiv w:val="1"/>
      <w:marLeft w:val="0"/>
      <w:marRight w:val="0"/>
      <w:marTop w:val="0"/>
      <w:marBottom w:val="0"/>
      <w:divBdr>
        <w:top w:val="none" w:sz="0" w:space="0" w:color="auto"/>
        <w:left w:val="none" w:sz="0" w:space="0" w:color="auto"/>
        <w:bottom w:val="none" w:sz="0" w:space="0" w:color="auto"/>
        <w:right w:val="none" w:sz="0" w:space="0" w:color="auto"/>
      </w:divBdr>
    </w:div>
    <w:div w:id="23216616">
      <w:bodyDiv w:val="1"/>
      <w:marLeft w:val="0"/>
      <w:marRight w:val="0"/>
      <w:marTop w:val="0"/>
      <w:marBottom w:val="0"/>
      <w:divBdr>
        <w:top w:val="none" w:sz="0" w:space="0" w:color="auto"/>
        <w:left w:val="none" w:sz="0" w:space="0" w:color="auto"/>
        <w:bottom w:val="none" w:sz="0" w:space="0" w:color="auto"/>
        <w:right w:val="none" w:sz="0" w:space="0" w:color="auto"/>
      </w:divBdr>
    </w:div>
    <w:div w:id="124660809">
      <w:bodyDiv w:val="1"/>
      <w:marLeft w:val="0"/>
      <w:marRight w:val="0"/>
      <w:marTop w:val="0"/>
      <w:marBottom w:val="0"/>
      <w:divBdr>
        <w:top w:val="none" w:sz="0" w:space="0" w:color="auto"/>
        <w:left w:val="none" w:sz="0" w:space="0" w:color="auto"/>
        <w:bottom w:val="none" w:sz="0" w:space="0" w:color="auto"/>
        <w:right w:val="none" w:sz="0" w:space="0" w:color="auto"/>
      </w:divBdr>
    </w:div>
    <w:div w:id="214436399">
      <w:bodyDiv w:val="1"/>
      <w:marLeft w:val="0"/>
      <w:marRight w:val="0"/>
      <w:marTop w:val="0"/>
      <w:marBottom w:val="0"/>
      <w:divBdr>
        <w:top w:val="none" w:sz="0" w:space="0" w:color="auto"/>
        <w:left w:val="none" w:sz="0" w:space="0" w:color="auto"/>
        <w:bottom w:val="none" w:sz="0" w:space="0" w:color="auto"/>
        <w:right w:val="none" w:sz="0" w:space="0" w:color="auto"/>
      </w:divBdr>
    </w:div>
    <w:div w:id="256596779">
      <w:bodyDiv w:val="1"/>
      <w:marLeft w:val="0"/>
      <w:marRight w:val="0"/>
      <w:marTop w:val="0"/>
      <w:marBottom w:val="0"/>
      <w:divBdr>
        <w:top w:val="none" w:sz="0" w:space="0" w:color="auto"/>
        <w:left w:val="none" w:sz="0" w:space="0" w:color="auto"/>
        <w:bottom w:val="none" w:sz="0" w:space="0" w:color="auto"/>
        <w:right w:val="none" w:sz="0" w:space="0" w:color="auto"/>
      </w:divBdr>
    </w:div>
    <w:div w:id="311562593">
      <w:bodyDiv w:val="1"/>
      <w:marLeft w:val="0"/>
      <w:marRight w:val="0"/>
      <w:marTop w:val="0"/>
      <w:marBottom w:val="0"/>
      <w:divBdr>
        <w:top w:val="none" w:sz="0" w:space="0" w:color="auto"/>
        <w:left w:val="none" w:sz="0" w:space="0" w:color="auto"/>
        <w:bottom w:val="none" w:sz="0" w:space="0" w:color="auto"/>
        <w:right w:val="none" w:sz="0" w:space="0" w:color="auto"/>
      </w:divBdr>
    </w:div>
    <w:div w:id="340621021">
      <w:bodyDiv w:val="1"/>
      <w:marLeft w:val="0"/>
      <w:marRight w:val="0"/>
      <w:marTop w:val="0"/>
      <w:marBottom w:val="0"/>
      <w:divBdr>
        <w:top w:val="none" w:sz="0" w:space="0" w:color="auto"/>
        <w:left w:val="none" w:sz="0" w:space="0" w:color="auto"/>
        <w:bottom w:val="none" w:sz="0" w:space="0" w:color="auto"/>
        <w:right w:val="none" w:sz="0" w:space="0" w:color="auto"/>
      </w:divBdr>
    </w:div>
    <w:div w:id="368337392">
      <w:bodyDiv w:val="1"/>
      <w:marLeft w:val="0"/>
      <w:marRight w:val="0"/>
      <w:marTop w:val="0"/>
      <w:marBottom w:val="0"/>
      <w:divBdr>
        <w:top w:val="none" w:sz="0" w:space="0" w:color="auto"/>
        <w:left w:val="none" w:sz="0" w:space="0" w:color="auto"/>
        <w:bottom w:val="none" w:sz="0" w:space="0" w:color="auto"/>
        <w:right w:val="none" w:sz="0" w:space="0" w:color="auto"/>
      </w:divBdr>
    </w:div>
    <w:div w:id="382800520">
      <w:bodyDiv w:val="1"/>
      <w:marLeft w:val="0"/>
      <w:marRight w:val="0"/>
      <w:marTop w:val="0"/>
      <w:marBottom w:val="0"/>
      <w:divBdr>
        <w:top w:val="none" w:sz="0" w:space="0" w:color="auto"/>
        <w:left w:val="none" w:sz="0" w:space="0" w:color="auto"/>
        <w:bottom w:val="none" w:sz="0" w:space="0" w:color="auto"/>
        <w:right w:val="none" w:sz="0" w:space="0" w:color="auto"/>
      </w:divBdr>
    </w:div>
    <w:div w:id="386489796">
      <w:bodyDiv w:val="1"/>
      <w:marLeft w:val="0"/>
      <w:marRight w:val="0"/>
      <w:marTop w:val="0"/>
      <w:marBottom w:val="0"/>
      <w:divBdr>
        <w:top w:val="none" w:sz="0" w:space="0" w:color="auto"/>
        <w:left w:val="none" w:sz="0" w:space="0" w:color="auto"/>
        <w:bottom w:val="none" w:sz="0" w:space="0" w:color="auto"/>
        <w:right w:val="none" w:sz="0" w:space="0" w:color="auto"/>
      </w:divBdr>
    </w:div>
    <w:div w:id="400491572">
      <w:bodyDiv w:val="1"/>
      <w:marLeft w:val="0"/>
      <w:marRight w:val="0"/>
      <w:marTop w:val="0"/>
      <w:marBottom w:val="0"/>
      <w:divBdr>
        <w:top w:val="none" w:sz="0" w:space="0" w:color="auto"/>
        <w:left w:val="none" w:sz="0" w:space="0" w:color="auto"/>
        <w:bottom w:val="none" w:sz="0" w:space="0" w:color="auto"/>
        <w:right w:val="none" w:sz="0" w:space="0" w:color="auto"/>
      </w:divBdr>
    </w:div>
    <w:div w:id="410736144">
      <w:bodyDiv w:val="1"/>
      <w:marLeft w:val="0"/>
      <w:marRight w:val="0"/>
      <w:marTop w:val="0"/>
      <w:marBottom w:val="0"/>
      <w:divBdr>
        <w:top w:val="none" w:sz="0" w:space="0" w:color="auto"/>
        <w:left w:val="none" w:sz="0" w:space="0" w:color="auto"/>
        <w:bottom w:val="none" w:sz="0" w:space="0" w:color="auto"/>
        <w:right w:val="none" w:sz="0" w:space="0" w:color="auto"/>
      </w:divBdr>
    </w:div>
    <w:div w:id="552161287">
      <w:bodyDiv w:val="1"/>
      <w:marLeft w:val="0"/>
      <w:marRight w:val="0"/>
      <w:marTop w:val="0"/>
      <w:marBottom w:val="0"/>
      <w:divBdr>
        <w:top w:val="none" w:sz="0" w:space="0" w:color="auto"/>
        <w:left w:val="none" w:sz="0" w:space="0" w:color="auto"/>
        <w:bottom w:val="none" w:sz="0" w:space="0" w:color="auto"/>
        <w:right w:val="none" w:sz="0" w:space="0" w:color="auto"/>
      </w:divBdr>
    </w:div>
    <w:div w:id="556211470">
      <w:bodyDiv w:val="1"/>
      <w:marLeft w:val="0"/>
      <w:marRight w:val="0"/>
      <w:marTop w:val="0"/>
      <w:marBottom w:val="0"/>
      <w:divBdr>
        <w:top w:val="none" w:sz="0" w:space="0" w:color="auto"/>
        <w:left w:val="none" w:sz="0" w:space="0" w:color="auto"/>
        <w:bottom w:val="none" w:sz="0" w:space="0" w:color="auto"/>
        <w:right w:val="none" w:sz="0" w:space="0" w:color="auto"/>
      </w:divBdr>
    </w:div>
    <w:div w:id="698697415">
      <w:bodyDiv w:val="1"/>
      <w:marLeft w:val="0"/>
      <w:marRight w:val="0"/>
      <w:marTop w:val="0"/>
      <w:marBottom w:val="0"/>
      <w:divBdr>
        <w:top w:val="none" w:sz="0" w:space="0" w:color="auto"/>
        <w:left w:val="none" w:sz="0" w:space="0" w:color="auto"/>
        <w:bottom w:val="none" w:sz="0" w:space="0" w:color="auto"/>
        <w:right w:val="none" w:sz="0" w:space="0" w:color="auto"/>
      </w:divBdr>
    </w:div>
    <w:div w:id="727411394">
      <w:bodyDiv w:val="1"/>
      <w:marLeft w:val="0"/>
      <w:marRight w:val="0"/>
      <w:marTop w:val="0"/>
      <w:marBottom w:val="0"/>
      <w:divBdr>
        <w:top w:val="none" w:sz="0" w:space="0" w:color="auto"/>
        <w:left w:val="none" w:sz="0" w:space="0" w:color="auto"/>
        <w:bottom w:val="none" w:sz="0" w:space="0" w:color="auto"/>
        <w:right w:val="none" w:sz="0" w:space="0" w:color="auto"/>
      </w:divBdr>
    </w:div>
    <w:div w:id="730157826">
      <w:bodyDiv w:val="1"/>
      <w:marLeft w:val="0"/>
      <w:marRight w:val="0"/>
      <w:marTop w:val="0"/>
      <w:marBottom w:val="0"/>
      <w:divBdr>
        <w:top w:val="none" w:sz="0" w:space="0" w:color="auto"/>
        <w:left w:val="none" w:sz="0" w:space="0" w:color="auto"/>
        <w:bottom w:val="none" w:sz="0" w:space="0" w:color="auto"/>
        <w:right w:val="none" w:sz="0" w:space="0" w:color="auto"/>
      </w:divBdr>
    </w:div>
    <w:div w:id="745231052">
      <w:bodyDiv w:val="1"/>
      <w:marLeft w:val="0"/>
      <w:marRight w:val="0"/>
      <w:marTop w:val="0"/>
      <w:marBottom w:val="0"/>
      <w:divBdr>
        <w:top w:val="none" w:sz="0" w:space="0" w:color="auto"/>
        <w:left w:val="none" w:sz="0" w:space="0" w:color="auto"/>
        <w:bottom w:val="none" w:sz="0" w:space="0" w:color="auto"/>
        <w:right w:val="none" w:sz="0" w:space="0" w:color="auto"/>
      </w:divBdr>
    </w:div>
    <w:div w:id="766851965">
      <w:bodyDiv w:val="1"/>
      <w:marLeft w:val="0"/>
      <w:marRight w:val="0"/>
      <w:marTop w:val="0"/>
      <w:marBottom w:val="0"/>
      <w:divBdr>
        <w:top w:val="none" w:sz="0" w:space="0" w:color="auto"/>
        <w:left w:val="none" w:sz="0" w:space="0" w:color="auto"/>
        <w:bottom w:val="none" w:sz="0" w:space="0" w:color="auto"/>
        <w:right w:val="none" w:sz="0" w:space="0" w:color="auto"/>
      </w:divBdr>
    </w:div>
    <w:div w:id="786511282">
      <w:bodyDiv w:val="1"/>
      <w:marLeft w:val="0"/>
      <w:marRight w:val="0"/>
      <w:marTop w:val="0"/>
      <w:marBottom w:val="0"/>
      <w:divBdr>
        <w:top w:val="none" w:sz="0" w:space="0" w:color="auto"/>
        <w:left w:val="none" w:sz="0" w:space="0" w:color="auto"/>
        <w:bottom w:val="none" w:sz="0" w:space="0" w:color="auto"/>
        <w:right w:val="none" w:sz="0" w:space="0" w:color="auto"/>
      </w:divBdr>
    </w:div>
    <w:div w:id="795489588">
      <w:bodyDiv w:val="1"/>
      <w:marLeft w:val="0"/>
      <w:marRight w:val="0"/>
      <w:marTop w:val="0"/>
      <w:marBottom w:val="0"/>
      <w:divBdr>
        <w:top w:val="none" w:sz="0" w:space="0" w:color="auto"/>
        <w:left w:val="none" w:sz="0" w:space="0" w:color="auto"/>
        <w:bottom w:val="none" w:sz="0" w:space="0" w:color="auto"/>
        <w:right w:val="none" w:sz="0" w:space="0" w:color="auto"/>
      </w:divBdr>
    </w:div>
    <w:div w:id="816872676">
      <w:bodyDiv w:val="1"/>
      <w:marLeft w:val="0"/>
      <w:marRight w:val="0"/>
      <w:marTop w:val="0"/>
      <w:marBottom w:val="0"/>
      <w:divBdr>
        <w:top w:val="none" w:sz="0" w:space="0" w:color="auto"/>
        <w:left w:val="none" w:sz="0" w:space="0" w:color="auto"/>
        <w:bottom w:val="none" w:sz="0" w:space="0" w:color="auto"/>
        <w:right w:val="none" w:sz="0" w:space="0" w:color="auto"/>
      </w:divBdr>
    </w:div>
    <w:div w:id="818495877">
      <w:bodyDiv w:val="1"/>
      <w:marLeft w:val="0"/>
      <w:marRight w:val="0"/>
      <w:marTop w:val="0"/>
      <w:marBottom w:val="0"/>
      <w:divBdr>
        <w:top w:val="none" w:sz="0" w:space="0" w:color="auto"/>
        <w:left w:val="none" w:sz="0" w:space="0" w:color="auto"/>
        <w:bottom w:val="none" w:sz="0" w:space="0" w:color="auto"/>
        <w:right w:val="none" w:sz="0" w:space="0" w:color="auto"/>
      </w:divBdr>
    </w:div>
    <w:div w:id="852064252">
      <w:bodyDiv w:val="1"/>
      <w:marLeft w:val="0"/>
      <w:marRight w:val="0"/>
      <w:marTop w:val="0"/>
      <w:marBottom w:val="0"/>
      <w:divBdr>
        <w:top w:val="none" w:sz="0" w:space="0" w:color="auto"/>
        <w:left w:val="none" w:sz="0" w:space="0" w:color="auto"/>
        <w:bottom w:val="none" w:sz="0" w:space="0" w:color="auto"/>
        <w:right w:val="none" w:sz="0" w:space="0" w:color="auto"/>
      </w:divBdr>
    </w:div>
    <w:div w:id="915020474">
      <w:bodyDiv w:val="1"/>
      <w:marLeft w:val="0"/>
      <w:marRight w:val="0"/>
      <w:marTop w:val="0"/>
      <w:marBottom w:val="0"/>
      <w:divBdr>
        <w:top w:val="none" w:sz="0" w:space="0" w:color="auto"/>
        <w:left w:val="none" w:sz="0" w:space="0" w:color="auto"/>
        <w:bottom w:val="none" w:sz="0" w:space="0" w:color="auto"/>
        <w:right w:val="none" w:sz="0" w:space="0" w:color="auto"/>
      </w:divBdr>
    </w:div>
    <w:div w:id="976181441">
      <w:bodyDiv w:val="1"/>
      <w:marLeft w:val="0"/>
      <w:marRight w:val="0"/>
      <w:marTop w:val="0"/>
      <w:marBottom w:val="0"/>
      <w:divBdr>
        <w:top w:val="none" w:sz="0" w:space="0" w:color="auto"/>
        <w:left w:val="none" w:sz="0" w:space="0" w:color="auto"/>
        <w:bottom w:val="none" w:sz="0" w:space="0" w:color="auto"/>
        <w:right w:val="none" w:sz="0" w:space="0" w:color="auto"/>
      </w:divBdr>
    </w:div>
    <w:div w:id="980891240">
      <w:bodyDiv w:val="1"/>
      <w:marLeft w:val="0"/>
      <w:marRight w:val="0"/>
      <w:marTop w:val="0"/>
      <w:marBottom w:val="0"/>
      <w:divBdr>
        <w:top w:val="none" w:sz="0" w:space="0" w:color="auto"/>
        <w:left w:val="none" w:sz="0" w:space="0" w:color="auto"/>
        <w:bottom w:val="none" w:sz="0" w:space="0" w:color="auto"/>
        <w:right w:val="none" w:sz="0" w:space="0" w:color="auto"/>
      </w:divBdr>
    </w:div>
    <w:div w:id="1006783927">
      <w:bodyDiv w:val="1"/>
      <w:marLeft w:val="0"/>
      <w:marRight w:val="0"/>
      <w:marTop w:val="0"/>
      <w:marBottom w:val="0"/>
      <w:divBdr>
        <w:top w:val="none" w:sz="0" w:space="0" w:color="auto"/>
        <w:left w:val="none" w:sz="0" w:space="0" w:color="auto"/>
        <w:bottom w:val="none" w:sz="0" w:space="0" w:color="auto"/>
        <w:right w:val="none" w:sz="0" w:space="0" w:color="auto"/>
      </w:divBdr>
    </w:div>
    <w:div w:id="1044715285">
      <w:bodyDiv w:val="1"/>
      <w:marLeft w:val="0"/>
      <w:marRight w:val="0"/>
      <w:marTop w:val="0"/>
      <w:marBottom w:val="0"/>
      <w:divBdr>
        <w:top w:val="none" w:sz="0" w:space="0" w:color="auto"/>
        <w:left w:val="none" w:sz="0" w:space="0" w:color="auto"/>
        <w:bottom w:val="none" w:sz="0" w:space="0" w:color="auto"/>
        <w:right w:val="none" w:sz="0" w:space="0" w:color="auto"/>
      </w:divBdr>
    </w:div>
    <w:div w:id="1099370256">
      <w:bodyDiv w:val="1"/>
      <w:marLeft w:val="0"/>
      <w:marRight w:val="0"/>
      <w:marTop w:val="0"/>
      <w:marBottom w:val="0"/>
      <w:divBdr>
        <w:top w:val="none" w:sz="0" w:space="0" w:color="auto"/>
        <w:left w:val="none" w:sz="0" w:space="0" w:color="auto"/>
        <w:bottom w:val="none" w:sz="0" w:space="0" w:color="auto"/>
        <w:right w:val="none" w:sz="0" w:space="0" w:color="auto"/>
      </w:divBdr>
    </w:div>
    <w:div w:id="1107580103">
      <w:bodyDiv w:val="1"/>
      <w:marLeft w:val="0"/>
      <w:marRight w:val="0"/>
      <w:marTop w:val="0"/>
      <w:marBottom w:val="0"/>
      <w:divBdr>
        <w:top w:val="none" w:sz="0" w:space="0" w:color="auto"/>
        <w:left w:val="none" w:sz="0" w:space="0" w:color="auto"/>
        <w:bottom w:val="none" w:sz="0" w:space="0" w:color="auto"/>
        <w:right w:val="none" w:sz="0" w:space="0" w:color="auto"/>
      </w:divBdr>
    </w:div>
    <w:div w:id="1113748902">
      <w:bodyDiv w:val="1"/>
      <w:marLeft w:val="0"/>
      <w:marRight w:val="0"/>
      <w:marTop w:val="0"/>
      <w:marBottom w:val="0"/>
      <w:divBdr>
        <w:top w:val="none" w:sz="0" w:space="0" w:color="auto"/>
        <w:left w:val="none" w:sz="0" w:space="0" w:color="auto"/>
        <w:bottom w:val="none" w:sz="0" w:space="0" w:color="auto"/>
        <w:right w:val="none" w:sz="0" w:space="0" w:color="auto"/>
      </w:divBdr>
    </w:div>
    <w:div w:id="1121997434">
      <w:bodyDiv w:val="1"/>
      <w:marLeft w:val="0"/>
      <w:marRight w:val="0"/>
      <w:marTop w:val="0"/>
      <w:marBottom w:val="0"/>
      <w:divBdr>
        <w:top w:val="none" w:sz="0" w:space="0" w:color="auto"/>
        <w:left w:val="none" w:sz="0" w:space="0" w:color="auto"/>
        <w:bottom w:val="none" w:sz="0" w:space="0" w:color="auto"/>
        <w:right w:val="none" w:sz="0" w:space="0" w:color="auto"/>
      </w:divBdr>
    </w:div>
    <w:div w:id="1127167123">
      <w:bodyDiv w:val="1"/>
      <w:marLeft w:val="0"/>
      <w:marRight w:val="0"/>
      <w:marTop w:val="0"/>
      <w:marBottom w:val="0"/>
      <w:divBdr>
        <w:top w:val="none" w:sz="0" w:space="0" w:color="auto"/>
        <w:left w:val="none" w:sz="0" w:space="0" w:color="auto"/>
        <w:bottom w:val="none" w:sz="0" w:space="0" w:color="auto"/>
        <w:right w:val="none" w:sz="0" w:space="0" w:color="auto"/>
      </w:divBdr>
    </w:div>
    <w:div w:id="1140684181">
      <w:bodyDiv w:val="1"/>
      <w:marLeft w:val="0"/>
      <w:marRight w:val="0"/>
      <w:marTop w:val="0"/>
      <w:marBottom w:val="0"/>
      <w:divBdr>
        <w:top w:val="none" w:sz="0" w:space="0" w:color="auto"/>
        <w:left w:val="none" w:sz="0" w:space="0" w:color="auto"/>
        <w:bottom w:val="none" w:sz="0" w:space="0" w:color="auto"/>
        <w:right w:val="none" w:sz="0" w:space="0" w:color="auto"/>
      </w:divBdr>
    </w:div>
    <w:div w:id="1141197113">
      <w:bodyDiv w:val="1"/>
      <w:marLeft w:val="0"/>
      <w:marRight w:val="0"/>
      <w:marTop w:val="0"/>
      <w:marBottom w:val="0"/>
      <w:divBdr>
        <w:top w:val="none" w:sz="0" w:space="0" w:color="auto"/>
        <w:left w:val="none" w:sz="0" w:space="0" w:color="auto"/>
        <w:bottom w:val="none" w:sz="0" w:space="0" w:color="auto"/>
        <w:right w:val="none" w:sz="0" w:space="0" w:color="auto"/>
      </w:divBdr>
    </w:div>
    <w:div w:id="1179008551">
      <w:bodyDiv w:val="1"/>
      <w:marLeft w:val="0"/>
      <w:marRight w:val="0"/>
      <w:marTop w:val="0"/>
      <w:marBottom w:val="0"/>
      <w:divBdr>
        <w:top w:val="none" w:sz="0" w:space="0" w:color="auto"/>
        <w:left w:val="none" w:sz="0" w:space="0" w:color="auto"/>
        <w:bottom w:val="none" w:sz="0" w:space="0" w:color="auto"/>
        <w:right w:val="none" w:sz="0" w:space="0" w:color="auto"/>
      </w:divBdr>
    </w:div>
    <w:div w:id="1294948299">
      <w:bodyDiv w:val="1"/>
      <w:marLeft w:val="0"/>
      <w:marRight w:val="0"/>
      <w:marTop w:val="0"/>
      <w:marBottom w:val="0"/>
      <w:divBdr>
        <w:top w:val="none" w:sz="0" w:space="0" w:color="auto"/>
        <w:left w:val="none" w:sz="0" w:space="0" w:color="auto"/>
        <w:bottom w:val="none" w:sz="0" w:space="0" w:color="auto"/>
        <w:right w:val="none" w:sz="0" w:space="0" w:color="auto"/>
      </w:divBdr>
    </w:div>
    <w:div w:id="1322464043">
      <w:bodyDiv w:val="1"/>
      <w:marLeft w:val="0"/>
      <w:marRight w:val="0"/>
      <w:marTop w:val="0"/>
      <w:marBottom w:val="0"/>
      <w:divBdr>
        <w:top w:val="none" w:sz="0" w:space="0" w:color="auto"/>
        <w:left w:val="none" w:sz="0" w:space="0" w:color="auto"/>
        <w:bottom w:val="none" w:sz="0" w:space="0" w:color="auto"/>
        <w:right w:val="none" w:sz="0" w:space="0" w:color="auto"/>
      </w:divBdr>
    </w:div>
    <w:div w:id="1348368339">
      <w:bodyDiv w:val="1"/>
      <w:marLeft w:val="0"/>
      <w:marRight w:val="0"/>
      <w:marTop w:val="0"/>
      <w:marBottom w:val="0"/>
      <w:divBdr>
        <w:top w:val="none" w:sz="0" w:space="0" w:color="auto"/>
        <w:left w:val="none" w:sz="0" w:space="0" w:color="auto"/>
        <w:bottom w:val="none" w:sz="0" w:space="0" w:color="auto"/>
        <w:right w:val="none" w:sz="0" w:space="0" w:color="auto"/>
      </w:divBdr>
    </w:div>
    <w:div w:id="1412851596">
      <w:bodyDiv w:val="1"/>
      <w:marLeft w:val="0"/>
      <w:marRight w:val="0"/>
      <w:marTop w:val="0"/>
      <w:marBottom w:val="0"/>
      <w:divBdr>
        <w:top w:val="none" w:sz="0" w:space="0" w:color="auto"/>
        <w:left w:val="none" w:sz="0" w:space="0" w:color="auto"/>
        <w:bottom w:val="none" w:sz="0" w:space="0" w:color="auto"/>
        <w:right w:val="none" w:sz="0" w:space="0" w:color="auto"/>
      </w:divBdr>
    </w:div>
    <w:div w:id="1545555389">
      <w:bodyDiv w:val="1"/>
      <w:marLeft w:val="0"/>
      <w:marRight w:val="0"/>
      <w:marTop w:val="0"/>
      <w:marBottom w:val="0"/>
      <w:divBdr>
        <w:top w:val="none" w:sz="0" w:space="0" w:color="auto"/>
        <w:left w:val="none" w:sz="0" w:space="0" w:color="auto"/>
        <w:bottom w:val="none" w:sz="0" w:space="0" w:color="auto"/>
        <w:right w:val="none" w:sz="0" w:space="0" w:color="auto"/>
      </w:divBdr>
    </w:div>
    <w:div w:id="1560747796">
      <w:bodyDiv w:val="1"/>
      <w:marLeft w:val="0"/>
      <w:marRight w:val="0"/>
      <w:marTop w:val="0"/>
      <w:marBottom w:val="0"/>
      <w:divBdr>
        <w:top w:val="none" w:sz="0" w:space="0" w:color="auto"/>
        <w:left w:val="none" w:sz="0" w:space="0" w:color="auto"/>
        <w:bottom w:val="none" w:sz="0" w:space="0" w:color="auto"/>
        <w:right w:val="none" w:sz="0" w:space="0" w:color="auto"/>
      </w:divBdr>
    </w:div>
    <w:div w:id="1572932210">
      <w:bodyDiv w:val="1"/>
      <w:marLeft w:val="0"/>
      <w:marRight w:val="0"/>
      <w:marTop w:val="0"/>
      <w:marBottom w:val="0"/>
      <w:divBdr>
        <w:top w:val="none" w:sz="0" w:space="0" w:color="auto"/>
        <w:left w:val="none" w:sz="0" w:space="0" w:color="auto"/>
        <w:bottom w:val="none" w:sz="0" w:space="0" w:color="auto"/>
        <w:right w:val="none" w:sz="0" w:space="0" w:color="auto"/>
      </w:divBdr>
    </w:div>
    <w:div w:id="1625187561">
      <w:bodyDiv w:val="1"/>
      <w:marLeft w:val="0"/>
      <w:marRight w:val="0"/>
      <w:marTop w:val="0"/>
      <w:marBottom w:val="0"/>
      <w:divBdr>
        <w:top w:val="none" w:sz="0" w:space="0" w:color="auto"/>
        <w:left w:val="none" w:sz="0" w:space="0" w:color="auto"/>
        <w:bottom w:val="none" w:sz="0" w:space="0" w:color="auto"/>
        <w:right w:val="none" w:sz="0" w:space="0" w:color="auto"/>
      </w:divBdr>
    </w:div>
    <w:div w:id="1628583314">
      <w:bodyDiv w:val="1"/>
      <w:marLeft w:val="0"/>
      <w:marRight w:val="0"/>
      <w:marTop w:val="0"/>
      <w:marBottom w:val="0"/>
      <w:divBdr>
        <w:top w:val="none" w:sz="0" w:space="0" w:color="auto"/>
        <w:left w:val="none" w:sz="0" w:space="0" w:color="auto"/>
        <w:bottom w:val="none" w:sz="0" w:space="0" w:color="auto"/>
        <w:right w:val="none" w:sz="0" w:space="0" w:color="auto"/>
      </w:divBdr>
    </w:div>
    <w:div w:id="1686128684">
      <w:bodyDiv w:val="1"/>
      <w:marLeft w:val="0"/>
      <w:marRight w:val="0"/>
      <w:marTop w:val="0"/>
      <w:marBottom w:val="0"/>
      <w:divBdr>
        <w:top w:val="none" w:sz="0" w:space="0" w:color="auto"/>
        <w:left w:val="none" w:sz="0" w:space="0" w:color="auto"/>
        <w:bottom w:val="none" w:sz="0" w:space="0" w:color="auto"/>
        <w:right w:val="none" w:sz="0" w:space="0" w:color="auto"/>
      </w:divBdr>
    </w:div>
    <w:div w:id="1693412402">
      <w:bodyDiv w:val="1"/>
      <w:marLeft w:val="0"/>
      <w:marRight w:val="0"/>
      <w:marTop w:val="0"/>
      <w:marBottom w:val="0"/>
      <w:divBdr>
        <w:top w:val="none" w:sz="0" w:space="0" w:color="auto"/>
        <w:left w:val="none" w:sz="0" w:space="0" w:color="auto"/>
        <w:bottom w:val="none" w:sz="0" w:space="0" w:color="auto"/>
        <w:right w:val="none" w:sz="0" w:space="0" w:color="auto"/>
      </w:divBdr>
    </w:div>
    <w:div w:id="1710034392">
      <w:bodyDiv w:val="1"/>
      <w:marLeft w:val="0"/>
      <w:marRight w:val="0"/>
      <w:marTop w:val="0"/>
      <w:marBottom w:val="0"/>
      <w:divBdr>
        <w:top w:val="none" w:sz="0" w:space="0" w:color="auto"/>
        <w:left w:val="none" w:sz="0" w:space="0" w:color="auto"/>
        <w:bottom w:val="none" w:sz="0" w:space="0" w:color="auto"/>
        <w:right w:val="none" w:sz="0" w:space="0" w:color="auto"/>
      </w:divBdr>
    </w:div>
    <w:div w:id="1736930403">
      <w:bodyDiv w:val="1"/>
      <w:marLeft w:val="0"/>
      <w:marRight w:val="0"/>
      <w:marTop w:val="0"/>
      <w:marBottom w:val="0"/>
      <w:divBdr>
        <w:top w:val="none" w:sz="0" w:space="0" w:color="auto"/>
        <w:left w:val="none" w:sz="0" w:space="0" w:color="auto"/>
        <w:bottom w:val="none" w:sz="0" w:space="0" w:color="auto"/>
        <w:right w:val="none" w:sz="0" w:space="0" w:color="auto"/>
      </w:divBdr>
    </w:div>
    <w:div w:id="1905987727">
      <w:bodyDiv w:val="1"/>
      <w:marLeft w:val="0"/>
      <w:marRight w:val="0"/>
      <w:marTop w:val="0"/>
      <w:marBottom w:val="0"/>
      <w:divBdr>
        <w:top w:val="none" w:sz="0" w:space="0" w:color="auto"/>
        <w:left w:val="none" w:sz="0" w:space="0" w:color="auto"/>
        <w:bottom w:val="none" w:sz="0" w:space="0" w:color="auto"/>
        <w:right w:val="none" w:sz="0" w:space="0" w:color="auto"/>
      </w:divBdr>
    </w:div>
    <w:div w:id="1929457879">
      <w:bodyDiv w:val="1"/>
      <w:marLeft w:val="0"/>
      <w:marRight w:val="0"/>
      <w:marTop w:val="0"/>
      <w:marBottom w:val="0"/>
      <w:divBdr>
        <w:top w:val="none" w:sz="0" w:space="0" w:color="auto"/>
        <w:left w:val="none" w:sz="0" w:space="0" w:color="auto"/>
        <w:bottom w:val="none" w:sz="0" w:space="0" w:color="auto"/>
        <w:right w:val="none" w:sz="0" w:space="0" w:color="auto"/>
      </w:divBdr>
    </w:div>
    <w:div w:id="1936016222">
      <w:bodyDiv w:val="1"/>
      <w:marLeft w:val="0"/>
      <w:marRight w:val="0"/>
      <w:marTop w:val="0"/>
      <w:marBottom w:val="0"/>
      <w:divBdr>
        <w:top w:val="none" w:sz="0" w:space="0" w:color="auto"/>
        <w:left w:val="none" w:sz="0" w:space="0" w:color="auto"/>
        <w:bottom w:val="none" w:sz="0" w:space="0" w:color="auto"/>
        <w:right w:val="none" w:sz="0" w:space="0" w:color="auto"/>
      </w:divBdr>
    </w:div>
    <w:div w:id="1940333132">
      <w:bodyDiv w:val="1"/>
      <w:marLeft w:val="0"/>
      <w:marRight w:val="0"/>
      <w:marTop w:val="0"/>
      <w:marBottom w:val="0"/>
      <w:divBdr>
        <w:top w:val="none" w:sz="0" w:space="0" w:color="auto"/>
        <w:left w:val="none" w:sz="0" w:space="0" w:color="auto"/>
        <w:bottom w:val="none" w:sz="0" w:space="0" w:color="auto"/>
        <w:right w:val="none" w:sz="0" w:space="0" w:color="auto"/>
      </w:divBdr>
    </w:div>
    <w:div w:id="1950509791">
      <w:bodyDiv w:val="1"/>
      <w:marLeft w:val="0"/>
      <w:marRight w:val="0"/>
      <w:marTop w:val="0"/>
      <w:marBottom w:val="0"/>
      <w:divBdr>
        <w:top w:val="none" w:sz="0" w:space="0" w:color="auto"/>
        <w:left w:val="none" w:sz="0" w:space="0" w:color="auto"/>
        <w:bottom w:val="none" w:sz="0" w:space="0" w:color="auto"/>
        <w:right w:val="none" w:sz="0" w:space="0" w:color="auto"/>
      </w:divBdr>
    </w:div>
    <w:div w:id="1991252848">
      <w:bodyDiv w:val="1"/>
      <w:marLeft w:val="0"/>
      <w:marRight w:val="0"/>
      <w:marTop w:val="0"/>
      <w:marBottom w:val="0"/>
      <w:divBdr>
        <w:top w:val="none" w:sz="0" w:space="0" w:color="auto"/>
        <w:left w:val="none" w:sz="0" w:space="0" w:color="auto"/>
        <w:bottom w:val="none" w:sz="0" w:space="0" w:color="auto"/>
        <w:right w:val="none" w:sz="0" w:space="0" w:color="auto"/>
      </w:divBdr>
    </w:div>
    <w:div w:id="2118715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a:t>Average Holding Period</a:t>
            </a:r>
          </a:p>
        </c:rich>
      </c:tx>
      <c:overlay val="0"/>
      <c:spPr>
        <a:noFill/>
        <a:ln>
          <a:noFill/>
        </a:ln>
        <a:effectLst/>
      </c:spPr>
    </c:title>
    <c:autoTitleDeleted val="0"/>
    <c:plotArea>
      <c:layout/>
      <c:lineChart>
        <c:grouping val="standard"/>
        <c:varyColors val="0"/>
        <c:ser>
          <c:idx val="0"/>
          <c:order val="0"/>
          <c:tx>
            <c:v>BATBC</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Sheet1!$H$3:$J$3</c:f>
              <c:numCache>
                <c:formatCode>General</c:formatCode>
                <c:ptCount val="3"/>
                <c:pt idx="0">
                  <c:v>2013</c:v>
                </c:pt>
                <c:pt idx="1">
                  <c:v>2014</c:v>
                </c:pt>
                <c:pt idx="2">
                  <c:v>2015</c:v>
                </c:pt>
              </c:numCache>
            </c:numRef>
          </c:cat>
          <c:val>
            <c:numRef>
              <c:f>Sheet1!$H$5:$J$5</c:f>
              <c:numCache>
                <c:formatCode>General</c:formatCode>
                <c:ptCount val="3"/>
                <c:pt idx="0">
                  <c:v>138.2035876701942</c:v>
                </c:pt>
                <c:pt idx="1">
                  <c:v>347.71608659431939</c:v>
                </c:pt>
                <c:pt idx="2">
                  <c:v>151.86378713015162</c:v>
                </c:pt>
              </c:numCache>
            </c:numRef>
          </c:val>
          <c:smooth val="0"/>
        </c:ser>
        <c:ser>
          <c:idx val="1"/>
          <c:order val="1"/>
          <c:tx>
            <c:v>CCL</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Sheet1!$H$3:$J$3</c:f>
              <c:numCache>
                <c:formatCode>General</c:formatCode>
                <c:ptCount val="3"/>
                <c:pt idx="0">
                  <c:v>2013</c:v>
                </c:pt>
                <c:pt idx="1">
                  <c:v>2014</c:v>
                </c:pt>
                <c:pt idx="2">
                  <c:v>2015</c:v>
                </c:pt>
              </c:numCache>
            </c:numRef>
          </c:cat>
          <c:val>
            <c:numRef>
              <c:f>Sheet1!$H$15:$J$15</c:f>
              <c:numCache>
                <c:formatCode>General</c:formatCode>
                <c:ptCount val="3"/>
                <c:pt idx="0">
                  <c:v>39.181422662112404</c:v>
                </c:pt>
                <c:pt idx="1">
                  <c:v>37.946262712608082</c:v>
                </c:pt>
                <c:pt idx="2">
                  <c:v>30.645500617132623</c:v>
                </c:pt>
              </c:numCache>
            </c:numRef>
          </c:val>
          <c:smooth val="0"/>
        </c:ser>
        <c:dLbls>
          <c:showLegendKey val="0"/>
          <c:showVal val="0"/>
          <c:showCatName val="0"/>
          <c:showSerName val="0"/>
          <c:showPercent val="0"/>
          <c:showBubbleSize val="0"/>
        </c:dLbls>
        <c:marker val="1"/>
        <c:smooth val="0"/>
        <c:axId val="336904960"/>
        <c:axId val="336906496"/>
      </c:lineChart>
      <c:catAx>
        <c:axId val="3369049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36906496"/>
        <c:crosses val="autoZero"/>
        <c:auto val="1"/>
        <c:lblAlgn val="ctr"/>
        <c:lblOffset val="100"/>
        <c:noMultiLvlLbl val="0"/>
      </c:catAx>
      <c:valAx>
        <c:axId val="33690649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904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a:t>Receivable Turnover</a:t>
            </a:r>
          </a:p>
        </c:rich>
      </c:tx>
      <c:overlay val="0"/>
      <c:spPr>
        <a:noFill/>
        <a:ln>
          <a:noFill/>
        </a:ln>
        <a:effectLst/>
      </c:spPr>
    </c:title>
    <c:autoTitleDeleted val="0"/>
    <c:plotArea>
      <c:layout>
        <c:manualLayout>
          <c:layoutTarget val="inner"/>
          <c:xMode val="edge"/>
          <c:yMode val="edge"/>
          <c:x val="7.0108705161854773E-2"/>
          <c:y val="0.20412037037037037"/>
          <c:w val="0.89655796150481193"/>
          <c:h val="0.61498432487605714"/>
        </c:manualLayout>
      </c:layout>
      <c:lineChart>
        <c:grouping val="standard"/>
        <c:varyColors val="0"/>
        <c:ser>
          <c:idx val="0"/>
          <c:order val="0"/>
          <c:tx>
            <c:v>BATBC</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Sheet1!$H$3:$J$3</c:f>
              <c:numCache>
                <c:formatCode>General</c:formatCode>
                <c:ptCount val="3"/>
                <c:pt idx="0">
                  <c:v>2013</c:v>
                </c:pt>
                <c:pt idx="1">
                  <c:v>2014</c:v>
                </c:pt>
                <c:pt idx="2">
                  <c:v>2015</c:v>
                </c:pt>
              </c:numCache>
            </c:numRef>
          </c:cat>
          <c:val>
            <c:numRef>
              <c:f>Sheet1!$H$6:$J$6</c:f>
              <c:numCache>
                <c:formatCode>General</c:formatCode>
                <c:ptCount val="3"/>
                <c:pt idx="0">
                  <c:v>0.31734285273252505</c:v>
                </c:pt>
                <c:pt idx="1">
                  <c:v>0.84165401101927939</c:v>
                </c:pt>
                <c:pt idx="2">
                  <c:v>0.78021801721791695</c:v>
                </c:pt>
              </c:numCache>
            </c:numRef>
          </c:val>
          <c:smooth val="0"/>
        </c:ser>
        <c:ser>
          <c:idx val="1"/>
          <c:order val="1"/>
          <c:tx>
            <c:v>CCL</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Sheet1!$H$3:$J$3</c:f>
              <c:numCache>
                <c:formatCode>General</c:formatCode>
                <c:ptCount val="3"/>
                <c:pt idx="0">
                  <c:v>2013</c:v>
                </c:pt>
                <c:pt idx="1">
                  <c:v>2014</c:v>
                </c:pt>
                <c:pt idx="2">
                  <c:v>2015</c:v>
                </c:pt>
              </c:numCache>
            </c:numRef>
          </c:cat>
          <c:val>
            <c:numRef>
              <c:f>Sheet1!$H$16:$J$16</c:f>
              <c:numCache>
                <c:formatCode>General</c:formatCode>
                <c:ptCount val="3"/>
                <c:pt idx="0">
                  <c:v>0.26686627848251537</c:v>
                </c:pt>
                <c:pt idx="1">
                  <c:v>0.26049315291596148</c:v>
                </c:pt>
                <c:pt idx="2">
                  <c:v>5.8321005621546317E-3</c:v>
                </c:pt>
              </c:numCache>
            </c:numRef>
          </c:val>
          <c:smooth val="0"/>
        </c:ser>
        <c:dLbls>
          <c:showLegendKey val="0"/>
          <c:showVal val="0"/>
          <c:showCatName val="0"/>
          <c:showSerName val="0"/>
          <c:showPercent val="0"/>
          <c:showBubbleSize val="0"/>
        </c:dLbls>
        <c:marker val="1"/>
        <c:smooth val="0"/>
        <c:axId val="337066240"/>
        <c:axId val="337076608"/>
      </c:lineChart>
      <c:catAx>
        <c:axId val="337066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37076608"/>
        <c:crosses val="autoZero"/>
        <c:auto val="1"/>
        <c:lblAlgn val="ctr"/>
        <c:lblOffset val="100"/>
        <c:noMultiLvlLbl val="0"/>
      </c:catAx>
      <c:valAx>
        <c:axId val="33707660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70662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a:t>Average Collection Period</a:t>
            </a:r>
          </a:p>
        </c:rich>
      </c:tx>
      <c:overlay val="0"/>
      <c:spPr>
        <a:noFill/>
        <a:ln>
          <a:noFill/>
        </a:ln>
        <a:effectLst/>
      </c:spPr>
    </c:title>
    <c:autoTitleDeleted val="0"/>
    <c:plotArea>
      <c:layout/>
      <c:lineChart>
        <c:grouping val="standard"/>
        <c:varyColors val="0"/>
        <c:ser>
          <c:idx val="0"/>
          <c:order val="0"/>
          <c:tx>
            <c:v>BATBC</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Sheet1!$H$3:$J$3</c:f>
              <c:numCache>
                <c:formatCode>General</c:formatCode>
                <c:ptCount val="3"/>
                <c:pt idx="0">
                  <c:v>2013</c:v>
                </c:pt>
                <c:pt idx="1">
                  <c:v>2014</c:v>
                </c:pt>
                <c:pt idx="2">
                  <c:v>2015</c:v>
                </c:pt>
              </c:numCache>
            </c:numRef>
          </c:cat>
          <c:val>
            <c:numRef>
              <c:f>Sheet1!$H$7:$J$7</c:f>
              <c:numCache>
                <c:formatCode>General</c:formatCode>
                <c:ptCount val="3"/>
                <c:pt idx="0">
                  <c:v>1150.1755809438164</c:v>
                </c:pt>
                <c:pt idx="1">
                  <c:v>433.66988717604903</c:v>
                </c:pt>
                <c:pt idx="2">
                  <c:v>467.81795850025151</c:v>
                </c:pt>
              </c:numCache>
            </c:numRef>
          </c:val>
          <c:smooth val="0"/>
        </c:ser>
        <c:ser>
          <c:idx val="1"/>
          <c:order val="1"/>
          <c:tx>
            <c:v>CCL</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Sheet1!$H$3:$J$3</c:f>
              <c:numCache>
                <c:formatCode>General</c:formatCode>
                <c:ptCount val="3"/>
                <c:pt idx="0">
                  <c:v>2013</c:v>
                </c:pt>
                <c:pt idx="1">
                  <c:v>2014</c:v>
                </c:pt>
                <c:pt idx="2">
                  <c:v>2015</c:v>
                </c:pt>
              </c:numCache>
            </c:numRef>
          </c:cat>
          <c:val>
            <c:numRef>
              <c:f>Sheet1!$H$17:$J$17</c:f>
              <c:numCache>
                <c:formatCode>General</c:formatCode>
                <c:ptCount val="3"/>
                <c:pt idx="0">
                  <c:v>1367.7261963388685</c:v>
                </c:pt>
                <c:pt idx="1">
                  <c:v>1401.1884608642815</c:v>
                </c:pt>
                <c:pt idx="2">
                  <c:v>62584.654724326821</c:v>
                </c:pt>
              </c:numCache>
            </c:numRef>
          </c:val>
          <c:smooth val="0"/>
        </c:ser>
        <c:dLbls>
          <c:showLegendKey val="0"/>
          <c:showVal val="0"/>
          <c:showCatName val="0"/>
          <c:showSerName val="0"/>
          <c:showPercent val="0"/>
          <c:showBubbleSize val="0"/>
        </c:dLbls>
        <c:marker val="1"/>
        <c:smooth val="0"/>
        <c:axId val="418067200"/>
        <c:axId val="418069120"/>
      </c:lineChart>
      <c:catAx>
        <c:axId val="4180672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8069120"/>
        <c:crosses val="autoZero"/>
        <c:auto val="1"/>
        <c:lblAlgn val="ctr"/>
        <c:lblOffset val="100"/>
        <c:noMultiLvlLbl val="0"/>
      </c:catAx>
      <c:valAx>
        <c:axId val="41806912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80672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a:t>Payable Turnover</a:t>
            </a:r>
          </a:p>
        </c:rich>
      </c:tx>
      <c:overlay val="0"/>
      <c:spPr>
        <a:noFill/>
        <a:ln>
          <a:noFill/>
        </a:ln>
        <a:effectLst/>
      </c:spPr>
    </c:title>
    <c:autoTitleDeleted val="0"/>
    <c:plotArea>
      <c:layout/>
      <c:lineChart>
        <c:grouping val="standard"/>
        <c:varyColors val="0"/>
        <c:ser>
          <c:idx val="0"/>
          <c:order val="0"/>
          <c:tx>
            <c:v>BATBC</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Sheet1!$H$3:$J$3</c:f>
              <c:numCache>
                <c:formatCode>General</c:formatCode>
                <c:ptCount val="3"/>
                <c:pt idx="0">
                  <c:v>2013</c:v>
                </c:pt>
                <c:pt idx="1">
                  <c:v>2014</c:v>
                </c:pt>
                <c:pt idx="2">
                  <c:v>2015</c:v>
                </c:pt>
              </c:numCache>
            </c:numRef>
          </c:cat>
          <c:val>
            <c:numRef>
              <c:f>Sheet1!$H$8:$J$8</c:f>
              <c:numCache>
                <c:formatCode>General</c:formatCode>
                <c:ptCount val="3"/>
                <c:pt idx="0">
                  <c:v>0.44689204823674938</c:v>
                </c:pt>
                <c:pt idx="1">
                  <c:v>0.61723445491098916</c:v>
                </c:pt>
                <c:pt idx="2">
                  <c:v>0.45427909717522474</c:v>
                </c:pt>
              </c:numCache>
            </c:numRef>
          </c:val>
          <c:smooth val="0"/>
        </c:ser>
        <c:ser>
          <c:idx val="1"/>
          <c:order val="1"/>
          <c:tx>
            <c:v>CCL</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Sheet1!$H$3:$J$3</c:f>
              <c:numCache>
                <c:formatCode>General</c:formatCode>
                <c:ptCount val="3"/>
                <c:pt idx="0">
                  <c:v>2013</c:v>
                </c:pt>
                <c:pt idx="1">
                  <c:v>2014</c:v>
                </c:pt>
                <c:pt idx="2">
                  <c:v>2015</c:v>
                </c:pt>
              </c:numCache>
            </c:numRef>
          </c:cat>
          <c:val>
            <c:numRef>
              <c:f>Sheet1!$H$18:$J$18</c:f>
              <c:numCache>
                <c:formatCode>General</c:formatCode>
                <c:ptCount val="3"/>
                <c:pt idx="0">
                  <c:v>0.17474226019266612</c:v>
                </c:pt>
                <c:pt idx="1">
                  <c:v>0.72639340435511823</c:v>
                </c:pt>
                <c:pt idx="2">
                  <c:v>0.37223967915797762</c:v>
                </c:pt>
              </c:numCache>
            </c:numRef>
          </c:val>
          <c:smooth val="0"/>
        </c:ser>
        <c:dLbls>
          <c:showLegendKey val="0"/>
          <c:showVal val="0"/>
          <c:showCatName val="0"/>
          <c:showSerName val="0"/>
          <c:showPercent val="0"/>
          <c:showBubbleSize val="0"/>
        </c:dLbls>
        <c:marker val="1"/>
        <c:smooth val="0"/>
        <c:axId val="418094080"/>
        <c:axId val="418096256"/>
      </c:lineChart>
      <c:catAx>
        <c:axId val="4180940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8096256"/>
        <c:crosses val="autoZero"/>
        <c:auto val="1"/>
        <c:lblAlgn val="ctr"/>
        <c:lblOffset val="100"/>
        <c:noMultiLvlLbl val="0"/>
      </c:catAx>
      <c:valAx>
        <c:axId val="41809625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809408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a:t>payable</a:t>
            </a:r>
            <a:r>
              <a:rPr lang="en-GB" baseline="0"/>
              <a:t> DEferral period</a:t>
            </a:r>
            <a:endParaRPr lang="en-GB"/>
          </a:p>
        </c:rich>
      </c:tx>
      <c:overlay val="0"/>
      <c:spPr>
        <a:noFill/>
        <a:ln>
          <a:noFill/>
        </a:ln>
        <a:effectLst/>
      </c:spPr>
    </c:title>
    <c:autoTitleDeleted val="0"/>
    <c:plotArea>
      <c:layout/>
      <c:lineChart>
        <c:grouping val="standard"/>
        <c:varyColors val="0"/>
        <c:ser>
          <c:idx val="0"/>
          <c:order val="0"/>
          <c:tx>
            <c:v>BATBC</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Sheet1!$H$3:$J$3</c:f>
              <c:numCache>
                <c:formatCode>General</c:formatCode>
                <c:ptCount val="3"/>
                <c:pt idx="0">
                  <c:v>2013</c:v>
                </c:pt>
                <c:pt idx="1">
                  <c:v>2014</c:v>
                </c:pt>
                <c:pt idx="2">
                  <c:v>2015</c:v>
                </c:pt>
              </c:numCache>
            </c:numRef>
          </c:cat>
          <c:val>
            <c:numRef>
              <c:f>Sheet1!$H$9:$J$9</c:f>
              <c:numCache>
                <c:formatCode>General</c:formatCode>
                <c:ptCount val="3"/>
                <c:pt idx="0">
                  <c:v>816.75205777354631</c:v>
                </c:pt>
                <c:pt idx="1">
                  <c:v>591.34741603599616</c:v>
                </c:pt>
                <c:pt idx="2">
                  <c:v>803.4708228259334</c:v>
                </c:pt>
              </c:numCache>
            </c:numRef>
          </c:val>
          <c:smooth val="0"/>
        </c:ser>
        <c:ser>
          <c:idx val="1"/>
          <c:order val="1"/>
          <c:tx>
            <c:v>CCL</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Sheet1!$H$3:$J$3</c:f>
              <c:numCache>
                <c:formatCode>General</c:formatCode>
                <c:ptCount val="3"/>
                <c:pt idx="0">
                  <c:v>2013</c:v>
                </c:pt>
                <c:pt idx="1">
                  <c:v>2014</c:v>
                </c:pt>
                <c:pt idx="2">
                  <c:v>2015</c:v>
                </c:pt>
              </c:numCache>
            </c:numRef>
          </c:cat>
          <c:val>
            <c:numRef>
              <c:f>Sheet1!$H$19:$J$19</c:f>
              <c:numCache>
                <c:formatCode>General</c:formatCode>
                <c:ptCount val="3"/>
                <c:pt idx="0">
                  <c:v>2088.790654290272</c:v>
                </c:pt>
                <c:pt idx="1">
                  <c:v>502.4825360632808</c:v>
                </c:pt>
                <c:pt idx="2">
                  <c:v>980.55102783681173</c:v>
                </c:pt>
              </c:numCache>
            </c:numRef>
          </c:val>
          <c:smooth val="0"/>
        </c:ser>
        <c:dLbls>
          <c:showLegendKey val="0"/>
          <c:showVal val="0"/>
          <c:showCatName val="0"/>
          <c:showSerName val="0"/>
          <c:showPercent val="0"/>
          <c:showBubbleSize val="0"/>
        </c:dLbls>
        <c:marker val="1"/>
        <c:smooth val="0"/>
        <c:axId val="297260544"/>
        <c:axId val="297262464"/>
      </c:lineChart>
      <c:catAx>
        <c:axId val="2972605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97262464"/>
        <c:crosses val="autoZero"/>
        <c:auto val="1"/>
        <c:lblAlgn val="ctr"/>
        <c:lblOffset val="100"/>
        <c:noMultiLvlLbl val="0"/>
      </c:catAx>
      <c:valAx>
        <c:axId val="29726246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72605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a:t>working</a:t>
            </a:r>
            <a:r>
              <a:rPr lang="en-GB" baseline="0"/>
              <a:t> capital turnover</a:t>
            </a:r>
            <a:endParaRPr lang="en-GB"/>
          </a:p>
        </c:rich>
      </c:tx>
      <c:overlay val="0"/>
      <c:spPr>
        <a:noFill/>
        <a:ln>
          <a:noFill/>
        </a:ln>
        <a:effectLst/>
      </c:spPr>
    </c:title>
    <c:autoTitleDeleted val="0"/>
    <c:plotArea>
      <c:layout/>
      <c:lineChart>
        <c:grouping val="standard"/>
        <c:varyColors val="0"/>
        <c:ser>
          <c:idx val="0"/>
          <c:order val="0"/>
          <c:tx>
            <c:v>BATBC</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Sheet1!$H$3:$J$3</c:f>
              <c:numCache>
                <c:formatCode>General</c:formatCode>
                <c:ptCount val="3"/>
                <c:pt idx="0">
                  <c:v>2013</c:v>
                </c:pt>
                <c:pt idx="1">
                  <c:v>2014</c:v>
                </c:pt>
                <c:pt idx="2">
                  <c:v>2015</c:v>
                </c:pt>
              </c:numCache>
            </c:numRef>
          </c:cat>
          <c:val>
            <c:numRef>
              <c:f>Sheet1!$H$10:$J$10</c:f>
              <c:numCache>
                <c:formatCode>General</c:formatCode>
                <c:ptCount val="3"/>
                <c:pt idx="0">
                  <c:v>9.6300770915446527</c:v>
                </c:pt>
                <c:pt idx="1">
                  <c:v>8.5961579034670024</c:v>
                </c:pt>
                <c:pt idx="2">
                  <c:v>7.9076964043294451</c:v>
                </c:pt>
              </c:numCache>
            </c:numRef>
          </c:val>
          <c:smooth val="0"/>
        </c:ser>
        <c:ser>
          <c:idx val="1"/>
          <c:order val="1"/>
          <c:tx>
            <c:v>CCL</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Sheet1!$H$3:$J$3</c:f>
              <c:numCache>
                <c:formatCode>General</c:formatCode>
                <c:ptCount val="3"/>
                <c:pt idx="0">
                  <c:v>2013</c:v>
                </c:pt>
                <c:pt idx="1">
                  <c:v>2014</c:v>
                </c:pt>
                <c:pt idx="2">
                  <c:v>2015</c:v>
                </c:pt>
              </c:numCache>
            </c:numRef>
          </c:cat>
          <c:val>
            <c:numRef>
              <c:f>Sheet1!$H$20:$J$20</c:f>
              <c:numCache>
                <c:formatCode>General</c:formatCode>
                <c:ptCount val="3"/>
                <c:pt idx="0">
                  <c:v>0.43323899660591259</c:v>
                </c:pt>
                <c:pt idx="1">
                  <c:v>0.27579882264977268</c:v>
                </c:pt>
                <c:pt idx="2">
                  <c:v>0.35049046180138427</c:v>
                </c:pt>
              </c:numCache>
            </c:numRef>
          </c:val>
          <c:smooth val="0"/>
        </c:ser>
        <c:dLbls>
          <c:showLegendKey val="0"/>
          <c:showVal val="0"/>
          <c:showCatName val="0"/>
          <c:showSerName val="0"/>
          <c:showPercent val="0"/>
          <c:showBubbleSize val="0"/>
        </c:dLbls>
        <c:marker val="1"/>
        <c:smooth val="0"/>
        <c:axId val="297308160"/>
        <c:axId val="297310080"/>
      </c:lineChart>
      <c:catAx>
        <c:axId val="2973081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97310080"/>
        <c:crosses val="autoZero"/>
        <c:auto val="1"/>
        <c:lblAlgn val="ctr"/>
        <c:lblOffset val="100"/>
        <c:noMultiLvlLbl val="0"/>
      </c:catAx>
      <c:valAx>
        <c:axId val="29731008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73081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a:t>fixed</a:t>
            </a:r>
            <a:r>
              <a:rPr lang="en-GB" baseline="0"/>
              <a:t> asset turnover</a:t>
            </a:r>
            <a:endParaRPr lang="en-GB"/>
          </a:p>
        </c:rich>
      </c:tx>
      <c:overlay val="0"/>
      <c:spPr>
        <a:noFill/>
        <a:ln>
          <a:noFill/>
        </a:ln>
        <a:effectLst/>
      </c:spPr>
    </c:title>
    <c:autoTitleDeleted val="0"/>
    <c:plotArea>
      <c:layout/>
      <c:lineChart>
        <c:grouping val="standard"/>
        <c:varyColors val="0"/>
        <c:ser>
          <c:idx val="0"/>
          <c:order val="0"/>
          <c:tx>
            <c:v>BATBC</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Sheet1!$H$3:$J$3</c:f>
              <c:numCache>
                <c:formatCode>General</c:formatCode>
                <c:ptCount val="3"/>
                <c:pt idx="0">
                  <c:v>2013</c:v>
                </c:pt>
                <c:pt idx="1">
                  <c:v>2014</c:v>
                </c:pt>
                <c:pt idx="2">
                  <c:v>2015</c:v>
                </c:pt>
              </c:numCache>
            </c:numRef>
          </c:cat>
          <c:val>
            <c:numRef>
              <c:f>Sheet1!$H$11:$J$11</c:f>
              <c:numCache>
                <c:formatCode>General</c:formatCode>
                <c:ptCount val="3"/>
                <c:pt idx="0">
                  <c:v>12.872026356348936</c:v>
                </c:pt>
                <c:pt idx="1">
                  <c:v>12.352053678440566</c:v>
                </c:pt>
                <c:pt idx="2">
                  <c:v>11.190931860309881</c:v>
                </c:pt>
              </c:numCache>
            </c:numRef>
          </c:val>
          <c:smooth val="0"/>
        </c:ser>
        <c:ser>
          <c:idx val="1"/>
          <c:order val="1"/>
          <c:tx>
            <c:v>CCL</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Sheet1!$H$3:$J$3</c:f>
              <c:numCache>
                <c:formatCode>General</c:formatCode>
                <c:ptCount val="3"/>
                <c:pt idx="0">
                  <c:v>2013</c:v>
                </c:pt>
                <c:pt idx="1">
                  <c:v>2014</c:v>
                </c:pt>
                <c:pt idx="2">
                  <c:v>2015</c:v>
                </c:pt>
              </c:numCache>
            </c:numRef>
          </c:cat>
          <c:val>
            <c:numRef>
              <c:f>Sheet1!$H$21:$J$21</c:f>
              <c:numCache>
                <c:formatCode>General</c:formatCode>
                <c:ptCount val="3"/>
                <c:pt idx="0">
                  <c:v>1.2976917975905256</c:v>
                </c:pt>
                <c:pt idx="1">
                  <c:v>1.4050266111092882</c:v>
                </c:pt>
                <c:pt idx="2">
                  <c:v>1.7969513524431124</c:v>
                </c:pt>
              </c:numCache>
            </c:numRef>
          </c:val>
          <c:smooth val="0"/>
        </c:ser>
        <c:dLbls>
          <c:showLegendKey val="0"/>
          <c:showVal val="0"/>
          <c:showCatName val="0"/>
          <c:showSerName val="0"/>
          <c:showPercent val="0"/>
          <c:showBubbleSize val="0"/>
        </c:dLbls>
        <c:marker val="1"/>
        <c:smooth val="0"/>
        <c:axId val="297326848"/>
        <c:axId val="337416576"/>
      </c:lineChart>
      <c:catAx>
        <c:axId val="2973268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37416576"/>
        <c:crosses val="autoZero"/>
        <c:auto val="1"/>
        <c:lblAlgn val="ctr"/>
        <c:lblOffset val="100"/>
        <c:noMultiLvlLbl val="0"/>
      </c:catAx>
      <c:valAx>
        <c:axId val="33741657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73268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a:t>total</a:t>
            </a:r>
            <a:r>
              <a:rPr lang="en-GB" baseline="0"/>
              <a:t> asset turnover</a:t>
            </a:r>
            <a:endParaRPr lang="en-GB"/>
          </a:p>
        </c:rich>
      </c:tx>
      <c:overlay val="0"/>
      <c:spPr>
        <a:noFill/>
        <a:ln>
          <a:noFill/>
        </a:ln>
        <a:effectLst/>
      </c:spPr>
    </c:title>
    <c:autoTitleDeleted val="0"/>
    <c:plotArea>
      <c:layout/>
      <c:lineChart>
        <c:grouping val="standard"/>
        <c:varyColors val="0"/>
        <c:ser>
          <c:idx val="0"/>
          <c:order val="0"/>
          <c:tx>
            <c:v>BATBC</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Sheet1!$H$3:$J$3</c:f>
              <c:numCache>
                <c:formatCode>General</c:formatCode>
                <c:ptCount val="3"/>
                <c:pt idx="0">
                  <c:v>2013</c:v>
                </c:pt>
                <c:pt idx="1">
                  <c:v>2014</c:v>
                </c:pt>
                <c:pt idx="2">
                  <c:v>2015</c:v>
                </c:pt>
              </c:numCache>
            </c:numRef>
          </c:cat>
          <c:val>
            <c:numRef>
              <c:f>Sheet1!$H$12:$J$12</c:f>
              <c:numCache>
                <c:formatCode>General</c:formatCode>
                <c:ptCount val="3"/>
                <c:pt idx="0">
                  <c:v>5.9349495699638828</c:v>
                </c:pt>
                <c:pt idx="1">
                  <c:v>4.6834538509465125</c:v>
                </c:pt>
                <c:pt idx="2">
                  <c:v>4.856628189995746</c:v>
                </c:pt>
              </c:numCache>
            </c:numRef>
          </c:val>
          <c:smooth val="0"/>
        </c:ser>
        <c:ser>
          <c:idx val="1"/>
          <c:order val="1"/>
          <c:tx>
            <c:v>CCL</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Sheet1!$H$3:$J$3</c:f>
              <c:numCache>
                <c:formatCode>General</c:formatCode>
                <c:ptCount val="3"/>
                <c:pt idx="0">
                  <c:v>2013</c:v>
                </c:pt>
                <c:pt idx="1">
                  <c:v>2014</c:v>
                </c:pt>
                <c:pt idx="2">
                  <c:v>2015</c:v>
                </c:pt>
              </c:numCache>
            </c:numRef>
          </c:cat>
          <c:val>
            <c:numRef>
              <c:f>Sheet1!$H$22:$J$22</c:f>
              <c:numCache>
                <c:formatCode>General</c:formatCode>
                <c:ptCount val="3"/>
                <c:pt idx="0">
                  <c:v>0.75892891784048278</c:v>
                </c:pt>
                <c:pt idx="1">
                  <c:v>0.71817108391240836</c:v>
                </c:pt>
                <c:pt idx="2">
                  <c:v>0.88538467617872496</c:v>
                </c:pt>
              </c:numCache>
            </c:numRef>
          </c:val>
          <c:smooth val="0"/>
        </c:ser>
        <c:dLbls>
          <c:showLegendKey val="0"/>
          <c:showVal val="0"/>
          <c:showCatName val="0"/>
          <c:showSerName val="0"/>
          <c:showPercent val="0"/>
          <c:showBubbleSize val="0"/>
        </c:dLbls>
        <c:marker val="1"/>
        <c:smooth val="0"/>
        <c:axId val="297349888"/>
        <c:axId val="297351808"/>
      </c:lineChart>
      <c:catAx>
        <c:axId val="2973498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97351808"/>
        <c:crosses val="autoZero"/>
        <c:auto val="1"/>
        <c:lblAlgn val="ctr"/>
        <c:lblOffset val="100"/>
        <c:noMultiLvlLbl val="0"/>
      </c:catAx>
      <c:valAx>
        <c:axId val="29735180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73498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Pages>
  <Words>2039</Words>
  <Characters>11627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Safayat Arefin</dc:creator>
  <cp:lastModifiedBy>Safayat Arefin</cp:lastModifiedBy>
  <cp:revision>2</cp:revision>
  <dcterms:created xsi:type="dcterms:W3CDTF">2017-04-01T06:51:00Z</dcterms:created>
  <dcterms:modified xsi:type="dcterms:W3CDTF">2018-05-19T15:13:00Z</dcterms:modified>
</cp:coreProperties>
</file>