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Finance KPI Dashboard</w:t>
      </w:r>
    </w:p>
    <w:p>
      <w:pPr>
        <w:pStyle w:val="Heading2"/>
        <w:spacing w:after="200" w:before="200"/>
      </w:pPr>
      <w:r>
        <w:t xml:space="preserve">Accounts Payable (AP)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%"/>
            <w:shd w:fill="4472C4" w:val="clear"/>
            <w:vAlign w:val="center"/>
          </w:tcPr>
          <w:p>
            <w:pPr>
              <w:pStyle w:val="TableHeader"/>
              <w:jc w:val="center"/>
            </w:pPr>
            <w:r>
              <w:t xml:space="preserve">KPI</w:t>
            </w:r>
          </w:p>
        </w:tc>
        <w:tc>
          <w:tcPr>
            <w:tcW w:type="pct" w:w="14%"/>
            <w:shd w:fill="4472C4" w:val="clear"/>
            <w:vAlign w:val="center"/>
          </w:tcPr>
          <w:p>
            <w:pPr>
              <w:pStyle w:val="TableHeader"/>
              <w:jc w:val="center"/>
            </w:pPr>
            <w:r>
              <w:t xml:space="preserve">Target</w:t>
            </w:r>
          </w:p>
        </w:tc>
        <w:tc>
          <w:tcPr>
            <w:tcW w:type="pct" w:w="14%"/>
            <w:shd w:fill="4472C4" w:val="clear"/>
            <w:vAlign w:val="center"/>
          </w:tcPr>
          <w:p>
            <w:pPr>
              <w:pStyle w:val="TableHeader"/>
              <w:jc w:val="center"/>
            </w:pPr>
            <w:r>
              <w:t xml:space="preserve">Current Month</w:t>
            </w:r>
          </w:p>
        </w:tc>
        <w:tc>
          <w:tcPr>
            <w:tcW w:type="pct" w:w="14%"/>
            <w:shd w:fill="4472C4" w:val="clear"/>
            <w:vAlign w:val="center"/>
          </w:tcPr>
          <w:p>
            <w:pPr>
              <w:pStyle w:val="TableHeader"/>
              <w:jc w:val="center"/>
            </w:pPr>
            <w:r>
              <w:t xml:space="preserve">Previous Month</w:t>
            </w:r>
          </w:p>
        </w:tc>
        <w:tc>
          <w:tcPr>
            <w:tcW w:type="pct" w:w="14%"/>
            <w:shd w:fill="4472C4" w:val="clear"/>
            <w:vAlign w:val="center"/>
          </w:tcPr>
          <w:p>
            <w:pPr>
              <w:pStyle w:val="TableHeader"/>
              <w:jc w:val="center"/>
            </w:pPr>
            <w:r>
              <w:t xml:space="preserve">Variance</w:t>
            </w:r>
          </w:p>
        </w:tc>
        <w:tc>
          <w:tcPr>
            <w:tcW w:type="pct" w:w="14%"/>
            <w:shd w:fill="4472C4" w:val="clear"/>
            <w:vAlign w:val="center"/>
          </w:tcPr>
          <w:p>
            <w:pPr>
              <w:pStyle w:val="TableHeader"/>
              <w:jc w:val="center"/>
            </w:pPr>
            <w:r>
              <w:t xml:space="preserve">Status</w:t>
            </w:r>
          </w:p>
        </w:tc>
        <w:tc>
          <w:tcPr>
            <w:tcW w:type="pct" w:w="14%"/>
            <w:shd w:fill="4472C4" w:val="clear"/>
            <w:vAlign w:val="center"/>
          </w:tcPr>
          <w:p>
            <w:pPr>
              <w:pStyle w:val="TableHeader"/>
              <w:jc w:val="center"/>
            </w:pPr>
            <w:r>
              <w:t xml:space="preserve">Trend</w:t>
            </w:r>
          </w:p>
        </w:tc>
      </w:tr>
      <w:tr>
        <w:tc>
          <w:tcPr>
            <w:tcW w:type="pct" w:w="14%"/>
            <w:shd w:fill="F2F2F2" w:val="clear"/>
            <w:vAlign w:val="center"/>
          </w:tcPr>
          <w:p>
            <w:pPr>
              <w:jc w:val="left"/>
            </w:pPr>
            <w:r>
              <w:t xml:space="preserve">Days Payable Outstanding (DPO)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45-60 days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52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48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pct" w:w="14%"/>
            <w:shd w:fill="E2EFDA" w:val="clear"/>
            <w:vAlign w:val="center"/>
          </w:tcPr>
          <w:p>
            <w:pPr>
              <w:jc w:val="center"/>
            </w:pPr>
            <w:r>
              <w:t xml:space="preserve">On Target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↑</w:t>
            </w:r>
          </w:p>
        </w:tc>
      </w:tr>
      <w:tr>
        <w:tc>
          <w:tcPr>
            <w:tcW w:type="pct" w:w="14%"/>
            <w:shd w:fill="FFFFFF" w:val="clear"/>
            <w:vAlign w:val="center"/>
          </w:tcPr>
          <w:p>
            <w:pPr>
              <w:jc w:val="left"/>
            </w:pPr>
            <w:r>
              <w:t xml:space="preserve">Invoice Processing Cycle Time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&lt; 5 days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4.2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4.8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-0.6</w:t>
            </w:r>
          </w:p>
        </w:tc>
        <w:tc>
          <w:tcPr>
            <w:tcW w:type="pct" w:w="14%"/>
            <w:shd w:fill="E2EFDA" w:val="clear"/>
            <w:vAlign w:val="center"/>
          </w:tcPr>
          <w:p>
            <w:pPr>
              <w:jc w:val="center"/>
            </w:pPr>
            <w:r>
              <w:t xml:space="preserve">On Target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↓</w:t>
            </w:r>
          </w:p>
        </w:tc>
      </w:tr>
      <w:tr>
        <w:tc>
          <w:tcPr>
            <w:tcW w:type="pct" w:w="14%"/>
            <w:shd w:fill="F2F2F2" w:val="clear"/>
            <w:vAlign w:val="center"/>
          </w:tcPr>
          <w:p>
            <w:pPr>
              <w:jc w:val="left"/>
            </w:pPr>
            <w:r>
              <w:t xml:space="preserve">Invoice Exception Rate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&lt; 5%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3.8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4.2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-0.4</w:t>
            </w:r>
          </w:p>
        </w:tc>
        <w:tc>
          <w:tcPr>
            <w:tcW w:type="pct" w:w="14%"/>
            <w:shd w:fill="E2EFDA" w:val="clear"/>
            <w:vAlign w:val="center"/>
          </w:tcPr>
          <w:p>
            <w:pPr>
              <w:jc w:val="center"/>
            </w:pPr>
            <w:r>
              <w:t xml:space="preserve">On Target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↓</w:t>
            </w:r>
          </w:p>
        </w:tc>
      </w:tr>
      <w:tr>
        <w:tc>
          <w:tcPr>
            <w:tcW w:type="pct" w:w="14%"/>
            <w:shd w:fill="FFFFFF" w:val="clear"/>
            <w:vAlign w:val="center"/>
          </w:tcPr>
          <w:p>
            <w:pPr>
              <w:jc w:val="left"/>
            </w:pPr>
            <w:r>
              <w:t xml:space="preserve">Payment on Time Rate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&gt; 95%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97.5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96.2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1.3</w:t>
            </w:r>
          </w:p>
        </w:tc>
        <w:tc>
          <w:tcPr>
            <w:tcW w:type="pct" w:w="14%"/>
            <w:shd w:fill="E2EFDA" w:val="clear"/>
            <w:vAlign w:val="center"/>
          </w:tcPr>
          <w:p>
            <w:pPr>
              <w:jc w:val="center"/>
            </w:pPr>
            <w:r>
              <w:t xml:space="preserve">On Target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↑</w:t>
            </w:r>
          </w:p>
        </w:tc>
      </w:tr>
      <w:tr>
        <w:tc>
          <w:tcPr>
            <w:tcW w:type="pct" w:w="14%"/>
            <w:shd w:fill="F2F2F2" w:val="clear"/>
            <w:vAlign w:val="center"/>
          </w:tcPr>
          <w:p>
            <w:pPr>
              <w:jc w:val="left"/>
            </w:pPr>
            <w:r>
              <w:t xml:space="preserve">Vendor Query Resolution Time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&lt; 3 days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2.5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2.8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-0.3</w:t>
            </w:r>
          </w:p>
        </w:tc>
        <w:tc>
          <w:tcPr>
            <w:tcW w:type="pct" w:w="14%"/>
            <w:shd w:fill="E2EFDA" w:val="clear"/>
            <w:vAlign w:val="center"/>
          </w:tcPr>
          <w:p>
            <w:pPr>
              <w:jc w:val="center"/>
            </w:pPr>
            <w:r>
              <w:t xml:space="preserve">On Target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↓</w:t>
            </w:r>
          </w:p>
        </w:tc>
      </w:tr>
      <w:tr>
        <w:tc>
          <w:tcPr>
            <w:tcW w:type="pct" w:w="14%"/>
            <w:shd w:fill="FFFFFF" w:val="clear"/>
            <w:vAlign w:val="center"/>
          </w:tcPr>
          <w:p>
            <w:pPr>
              <w:jc w:val="left"/>
            </w:pPr>
            <w:r>
              <w:t xml:space="preserve">GRN Compliance Rate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100%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98.5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97.8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0.7</w:t>
            </w:r>
          </w:p>
        </w:tc>
        <w:tc>
          <w:tcPr>
            <w:tcW w:type="pct" w:w="14%"/>
            <w:shd w:fill="FFF2CC" w:val="clear"/>
            <w:vAlign w:val="center"/>
          </w:tcPr>
          <w:p>
            <w:pPr>
              <w:jc w:val="center"/>
            </w:pPr>
            <w:r>
              <w:t xml:space="preserve">Warning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↑</w:t>
            </w:r>
          </w:p>
        </w:tc>
      </w:tr>
      <w:tr>
        <w:tc>
          <w:tcPr>
            <w:tcW w:type="pct" w:w="14%"/>
            <w:shd w:fill="F2F2F2" w:val="clear"/>
            <w:vAlign w:val="center"/>
          </w:tcPr>
          <w:p>
            <w:pPr>
              <w:jc w:val="left"/>
            </w:pPr>
            <w:r>
              <w:t xml:space="preserve">3-Way Match Accuracy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100%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99.2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98.5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0.7</w:t>
            </w:r>
          </w:p>
        </w:tc>
        <w:tc>
          <w:tcPr>
            <w:tcW w:type="pct" w:w="14%"/>
            <w:shd w:fill="E2EFDA" w:val="clear"/>
            <w:vAlign w:val="center"/>
          </w:tcPr>
          <w:p>
            <w:pPr>
              <w:jc w:val="center"/>
            </w:pPr>
            <w:r>
              <w:t xml:space="preserve">On Target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↑</w:t>
            </w:r>
          </w:p>
        </w:tc>
      </w:tr>
      <w:tr>
        <w:tc>
          <w:tcPr>
            <w:tcW w:type="pct" w:w="14%"/>
            <w:shd w:fill="FFFFFF" w:val="clear"/>
            <w:vAlign w:val="center"/>
          </w:tcPr>
          <w:p>
            <w:pPr>
              <w:jc w:val="left"/>
            </w:pPr>
            <w:r>
              <w:t xml:space="preserve">Accrual Accuracy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&gt; 95%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96.8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95.5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1.3</w:t>
            </w:r>
          </w:p>
        </w:tc>
        <w:tc>
          <w:tcPr>
            <w:tcW w:type="pct" w:w="14%"/>
            <w:shd w:fill="E2EFDA" w:val="clear"/>
            <w:vAlign w:val="center"/>
          </w:tcPr>
          <w:p>
            <w:pPr>
              <w:jc w:val="center"/>
            </w:pPr>
            <w:r>
              <w:t xml:space="preserve">On Target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↑</w:t>
            </w:r>
          </w:p>
        </w:tc>
      </w:tr>
    </w:tbl>
    <w:p>
      <w:pPr>
        <w:spacing w:after="200"/>
      </w:pPr>
    </w:p>
    <w:p>
      <w:pPr>
        <w:pStyle w:val="Heading2"/>
        <w:spacing w:after="200" w:before="200"/>
      </w:pPr>
      <w:r>
        <w:t xml:space="preserve">Accounts Receivable (AR)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%"/>
            <w:shd w:fill="4472C4" w:val="clear"/>
            <w:vAlign w:val="center"/>
          </w:tcPr>
          <w:p>
            <w:pPr>
              <w:pStyle w:val="TableHeader"/>
              <w:jc w:val="center"/>
            </w:pPr>
            <w:r>
              <w:t xml:space="preserve">KPI</w:t>
            </w:r>
          </w:p>
        </w:tc>
        <w:tc>
          <w:tcPr>
            <w:tcW w:type="pct" w:w="14%"/>
            <w:shd w:fill="4472C4" w:val="clear"/>
            <w:vAlign w:val="center"/>
          </w:tcPr>
          <w:p>
            <w:pPr>
              <w:pStyle w:val="TableHeader"/>
              <w:jc w:val="center"/>
            </w:pPr>
            <w:r>
              <w:t xml:space="preserve">Target</w:t>
            </w:r>
          </w:p>
        </w:tc>
        <w:tc>
          <w:tcPr>
            <w:tcW w:type="pct" w:w="14%"/>
            <w:shd w:fill="4472C4" w:val="clear"/>
            <w:vAlign w:val="center"/>
          </w:tcPr>
          <w:p>
            <w:pPr>
              <w:pStyle w:val="TableHeader"/>
              <w:jc w:val="center"/>
            </w:pPr>
            <w:r>
              <w:t xml:space="preserve">Current Month</w:t>
            </w:r>
          </w:p>
        </w:tc>
        <w:tc>
          <w:tcPr>
            <w:tcW w:type="pct" w:w="14%"/>
            <w:shd w:fill="4472C4" w:val="clear"/>
            <w:vAlign w:val="center"/>
          </w:tcPr>
          <w:p>
            <w:pPr>
              <w:pStyle w:val="TableHeader"/>
              <w:jc w:val="center"/>
            </w:pPr>
            <w:r>
              <w:t xml:space="preserve">Previous Month</w:t>
            </w:r>
          </w:p>
        </w:tc>
        <w:tc>
          <w:tcPr>
            <w:tcW w:type="pct" w:w="14%"/>
            <w:shd w:fill="4472C4" w:val="clear"/>
            <w:vAlign w:val="center"/>
          </w:tcPr>
          <w:p>
            <w:pPr>
              <w:pStyle w:val="TableHeader"/>
              <w:jc w:val="center"/>
            </w:pPr>
            <w:r>
              <w:t xml:space="preserve">Variance</w:t>
            </w:r>
          </w:p>
        </w:tc>
        <w:tc>
          <w:tcPr>
            <w:tcW w:type="pct" w:w="14%"/>
            <w:shd w:fill="4472C4" w:val="clear"/>
            <w:vAlign w:val="center"/>
          </w:tcPr>
          <w:p>
            <w:pPr>
              <w:pStyle w:val="TableHeader"/>
              <w:jc w:val="center"/>
            </w:pPr>
            <w:r>
              <w:t xml:space="preserve">Status</w:t>
            </w:r>
          </w:p>
        </w:tc>
        <w:tc>
          <w:tcPr>
            <w:tcW w:type="pct" w:w="14%"/>
            <w:shd w:fill="4472C4" w:val="clear"/>
            <w:vAlign w:val="center"/>
          </w:tcPr>
          <w:p>
            <w:pPr>
              <w:pStyle w:val="TableHeader"/>
              <w:jc w:val="center"/>
            </w:pPr>
            <w:r>
              <w:t xml:space="preserve">Trend</w:t>
            </w:r>
          </w:p>
        </w:tc>
      </w:tr>
      <w:tr>
        <w:tc>
          <w:tcPr>
            <w:tcW w:type="pct" w:w="14%"/>
            <w:shd w:fill="F2F2F2" w:val="clear"/>
            <w:vAlign w:val="center"/>
          </w:tcPr>
          <w:p>
            <w:pPr>
              <w:jc w:val="left"/>
            </w:pPr>
            <w:r>
              <w:t xml:space="preserve">Days Sales Outstanding (DSO)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&lt; 30 days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28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31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-3</w:t>
            </w:r>
          </w:p>
        </w:tc>
        <w:tc>
          <w:tcPr>
            <w:tcW w:type="pct" w:w="14%"/>
            <w:shd w:fill="E2EFDA" w:val="clear"/>
            <w:vAlign w:val="center"/>
          </w:tcPr>
          <w:p>
            <w:pPr>
              <w:jc w:val="center"/>
            </w:pPr>
            <w:r>
              <w:t xml:space="preserve">On Target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↓</w:t>
            </w:r>
          </w:p>
        </w:tc>
      </w:tr>
      <w:tr>
        <w:tc>
          <w:tcPr>
            <w:tcW w:type="pct" w:w="14%"/>
            <w:shd w:fill="FFFFFF" w:val="clear"/>
            <w:vAlign w:val="center"/>
          </w:tcPr>
          <w:p>
            <w:pPr>
              <w:jc w:val="left"/>
            </w:pPr>
            <w:r>
              <w:t xml:space="preserve">Collection Effectiveness Index (CEI)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&gt; 90%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92.5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91.2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1.3</w:t>
            </w:r>
          </w:p>
        </w:tc>
        <w:tc>
          <w:tcPr>
            <w:tcW w:type="pct" w:w="14%"/>
            <w:shd w:fill="E2EFDA" w:val="clear"/>
            <w:vAlign w:val="center"/>
          </w:tcPr>
          <w:p>
            <w:pPr>
              <w:jc w:val="center"/>
            </w:pPr>
            <w:r>
              <w:t xml:space="preserve">On Target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↑</w:t>
            </w:r>
          </w:p>
        </w:tc>
      </w:tr>
      <w:tr>
        <w:tc>
          <w:tcPr>
            <w:tcW w:type="pct" w:w="14%"/>
            <w:shd w:fill="F2F2F2" w:val="clear"/>
            <w:vAlign w:val="center"/>
          </w:tcPr>
          <w:p>
            <w:pPr>
              <w:jc w:val="left"/>
            </w:pPr>
            <w:r>
              <w:t xml:space="preserve">Aging &gt; 90 Days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&lt; 5% of total AR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4.2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4.8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-0.6</w:t>
            </w:r>
          </w:p>
        </w:tc>
        <w:tc>
          <w:tcPr>
            <w:tcW w:type="pct" w:w="14%"/>
            <w:shd w:fill="E2EFDA" w:val="clear"/>
            <w:vAlign w:val="center"/>
          </w:tcPr>
          <w:p>
            <w:pPr>
              <w:jc w:val="center"/>
            </w:pPr>
            <w:r>
              <w:t xml:space="preserve">On Target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↓</w:t>
            </w:r>
          </w:p>
        </w:tc>
      </w:tr>
      <w:tr>
        <w:tc>
          <w:tcPr>
            <w:tcW w:type="pct" w:w="14%"/>
            <w:shd w:fill="FFFFFF" w:val="clear"/>
            <w:vAlign w:val="center"/>
          </w:tcPr>
          <w:p>
            <w:pPr>
              <w:jc w:val="left"/>
            </w:pPr>
            <w:r>
              <w:t xml:space="preserve">Bad Debt Write-off Rate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&lt; 1% of revenue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0.6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0.7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-0.1</w:t>
            </w:r>
          </w:p>
        </w:tc>
        <w:tc>
          <w:tcPr>
            <w:tcW w:type="pct" w:w="14%"/>
            <w:shd w:fill="E2EFDA" w:val="clear"/>
            <w:vAlign w:val="center"/>
          </w:tcPr>
          <w:p>
            <w:pPr>
              <w:jc w:val="center"/>
            </w:pPr>
            <w:r>
              <w:t xml:space="preserve">On Target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↓</w:t>
            </w:r>
          </w:p>
        </w:tc>
      </w:tr>
      <w:tr>
        <w:tc>
          <w:tcPr>
            <w:tcW w:type="pct" w:w="14%"/>
            <w:shd w:fill="F2F2F2" w:val="clear"/>
            <w:vAlign w:val="center"/>
          </w:tcPr>
          <w:p>
            <w:pPr>
              <w:jc w:val="left"/>
            </w:pPr>
            <w:r>
              <w:t xml:space="preserve">Receipt Issuance Time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&lt; 24 hours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20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-2</w:t>
            </w:r>
          </w:p>
        </w:tc>
        <w:tc>
          <w:tcPr>
            <w:tcW w:type="pct" w:w="14%"/>
            <w:shd w:fill="E2EFDA" w:val="clear"/>
            <w:vAlign w:val="center"/>
          </w:tcPr>
          <w:p>
            <w:pPr>
              <w:jc w:val="center"/>
            </w:pPr>
            <w:r>
              <w:t xml:space="preserve">On Target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↓</w:t>
            </w:r>
          </w:p>
        </w:tc>
      </w:tr>
      <w:tr>
        <w:tc>
          <w:tcPr>
            <w:tcW w:type="pct" w:w="14%"/>
            <w:shd w:fill="FFFFFF" w:val="clear"/>
            <w:vAlign w:val="center"/>
          </w:tcPr>
          <w:p>
            <w:pPr>
              <w:jc w:val="left"/>
            </w:pPr>
            <w:r>
              <w:t xml:space="preserve">Cheque Return Rate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&lt; 2%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1.5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1.8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-0.3</w:t>
            </w:r>
          </w:p>
        </w:tc>
        <w:tc>
          <w:tcPr>
            <w:tcW w:type="pct" w:w="14%"/>
            <w:shd w:fill="E2EFDA" w:val="clear"/>
            <w:vAlign w:val="center"/>
          </w:tcPr>
          <w:p>
            <w:pPr>
              <w:jc w:val="center"/>
            </w:pPr>
            <w:r>
              <w:t xml:space="preserve">On Target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↓</w:t>
            </w:r>
          </w:p>
        </w:tc>
      </w:tr>
      <w:tr>
        <w:tc>
          <w:tcPr>
            <w:tcW w:type="pct" w:w="14%"/>
            <w:shd w:fill="F2F2F2" w:val="clear"/>
            <w:vAlign w:val="center"/>
          </w:tcPr>
          <w:p>
            <w:pPr>
              <w:jc w:val="left"/>
            </w:pPr>
            <w:r>
              <w:t xml:space="preserve">Customer Statement Accuracy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100%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99.5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99.2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0.3</w:t>
            </w:r>
          </w:p>
        </w:tc>
        <w:tc>
          <w:tcPr>
            <w:tcW w:type="pct" w:w="14%"/>
            <w:shd w:fill="E2EFDA" w:val="clear"/>
            <w:vAlign w:val="center"/>
          </w:tcPr>
          <w:p>
            <w:pPr>
              <w:jc w:val="center"/>
            </w:pPr>
            <w:r>
              <w:t xml:space="preserve">On Target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↑</w:t>
            </w:r>
          </w:p>
        </w:tc>
      </w:tr>
      <w:tr>
        <w:tc>
          <w:tcPr>
            <w:tcW w:type="pct" w:w="14%"/>
            <w:shd w:fill="FFFFFF" w:val="clear"/>
            <w:vAlign w:val="center"/>
          </w:tcPr>
          <w:p>
            <w:pPr>
              <w:jc w:val="left"/>
            </w:pPr>
            <w:r>
              <w:t xml:space="preserve">Penalty Collection Rate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&gt; 80%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85.5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83.2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2.3</w:t>
            </w:r>
          </w:p>
        </w:tc>
        <w:tc>
          <w:tcPr>
            <w:tcW w:type="pct" w:w="14%"/>
            <w:shd w:fill="E2EFDA" w:val="clear"/>
            <w:vAlign w:val="center"/>
          </w:tcPr>
          <w:p>
            <w:pPr>
              <w:jc w:val="center"/>
            </w:pPr>
            <w:r>
              <w:t xml:space="preserve">On Target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↑</w:t>
            </w:r>
          </w:p>
        </w:tc>
      </w:tr>
    </w:tbl>
    <w:p>
      <w:pPr>
        <w:spacing w:after="200"/>
      </w:pPr>
    </w:p>
    <w:p>
      <w:pPr>
        <w:pStyle w:val="Heading2"/>
        <w:spacing w:after="200" w:before="200"/>
      </w:pPr>
      <w:r>
        <w:t xml:space="preserve">Payroll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%"/>
            <w:shd w:fill="4472C4" w:val="clear"/>
            <w:vAlign w:val="center"/>
          </w:tcPr>
          <w:p>
            <w:pPr>
              <w:pStyle w:val="TableHeader"/>
              <w:jc w:val="center"/>
            </w:pPr>
            <w:r>
              <w:t xml:space="preserve">KPI</w:t>
            </w:r>
          </w:p>
        </w:tc>
        <w:tc>
          <w:tcPr>
            <w:tcW w:type="pct" w:w="14%"/>
            <w:shd w:fill="4472C4" w:val="clear"/>
            <w:vAlign w:val="center"/>
          </w:tcPr>
          <w:p>
            <w:pPr>
              <w:pStyle w:val="TableHeader"/>
              <w:jc w:val="center"/>
            </w:pPr>
            <w:r>
              <w:t xml:space="preserve">Target</w:t>
            </w:r>
          </w:p>
        </w:tc>
        <w:tc>
          <w:tcPr>
            <w:tcW w:type="pct" w:w="14%"/>
            <w:shd w:fill="4472C4" w:val="clear"/>
            <w:vAlign w:val="center"/>
          </w:tcPr>
          <w:p>
            <w:pPr>
              <w:pStyle w:val="TableHeader"/>
              <w:jc w:val="center"/>
            </w:pPr>
            <w:r>
              <w:t xml:space="preserve">Current Month</w:t>
            </w:r>
          </w:p>
        </w:tc>
        <w:tc>
          <w:tcPr>
            <w:tcW w:type="pct" w:w="14%"/>
            <w:shd w:fill="4472C4" w:val="clear"/>
            <w:vAlign w:val="center"/>
          </w:tcPr>
          <w:p>
            <w:pPr>
              <w:pStyle w:val="TableHeader"/>
              <w:jc w:val="center"/>
            </w:pPr>
            <w:r>
              <w:t xml:space="preserve">Previous Month</w:t>
            </w:r>
          </w:p>
        </w:tc>
        <w:tc>
          <w:tcPr>
            <w:tcW w:type="pct" w:w="14%"/>
            <w:shd w:fill="4472C4" w:val="clear"/>
            <w:vAlign w:val="center"/>
          </w:tcPr>
          <w:p>
            <w:pPr>
              <w:pStyle w:val="TableHeader"/>
              <w:jc w:val="center"/>
            </w:pPr>
            <w:r>
              <w:t xml:space="preserve">Variance</w:t>
            </w:r>
          </w:p>
        </w:tc>
        <w:tc>
          <w:tcPr>
            <w:tcW w:type="pct" w:w="14%"/>
            <w:shd w:fill="4472C4" w:val="clear"/>
            <w:vAlign w:val="center"/>
          </w:tcPr>
          <w:p>
            <w:pPr>
              <w:pStyle w:val="TableHeader"/>
              <w:jc w:val="center"/>
            </w:pPr>
            <w:r>
              <w:t xml:space="preserve">Status</w:t>
            </w:r>
          </w:p>
        </w:tc>
        <w:tc>
          <w:tcPr>
            <w:tcW w:type="pct" w:w="14%"/>
            <w:shd w:fill="4472C4" w:val="clear"/>
            <w:vAlign w:val="center"/>
          </w:tcPr>
          <w:p>
            <w:pPr>
              <w:pStyle w:val="TableHeader"/>
              <w:jc w:val="center"/>
            </w:pPr>
            <w:r>
              <w:t xml:space="preserve">Trend</w:t>
            </w:r>
          </w:p>
        </w:tc>
      </w:tr>
      <w:tr>
        <w:tc>
          <w:tcPr>
            <w:tcW w:type="pct" w:w="14%"/>
            <w:shd w:fill="F2F2F2" w:val="clear"/>
            <w:vAlign w:val="center"/>
          </w:tcPr>
          <w:p>
            <w:pPr>
              <w:jc w:val="left"/>
            </w:pPr>
            <w:r>
              <w:t xml:space="preserve">Payroll Processing Accuracy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100%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100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100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pct" w:w="14%"/>
            <w:shd w:fill="E2EFDA" w:val="clear"/>
            <w:vAlign w:val="center"/>
          </w:tcPr>
          <w:p>
            <w:pPr>
              <w:jc w:val="center"/>
            </w:pPr>
            <w:r>
              <w:t xml:space="preserve">On Target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→</w:t>
            </w:r>
          </w:p>
        </w:tc>
      </w:tr>
      <w:tr>
        <w:tc>
          <w:tcPr>
            <w:tcW w:type="pct" w:w="14%"/>
            <w:shd w:fill="FFFFFF" w:val="clear"/>
            <w:vAlign w:val="center"/>
          </w:tcPr>
          <w:p>
            <w:pPr>
              <w:jc w:val="left"/>
            </w:pPr>
            <w:r>
              <w:t xml:space="preserve">Payroll Processing Time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&lt; 3 days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2.5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2.8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-0.3</w:t>
            </w:r>
          </w:p>
        </w:tc>
        <w:tc>
          <w:tcPr>
            <w:tcW w:type="pct" w:w="14%"/>
            <w:shd w:fill="E2EFDA" w:val="clear"/>
            <w:vAlign w:val="center"/>
          </w:tcPr>
          <w:p>
            <w:pPr>
              <w:jc w:val="center"/>
            </w:pPr>
            <w:r>
              <w:t xml:space="preserve">On Target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↓</w:t>
            </w:r>
          </w:p>
        </w:tc>
      </w:tr>
      <w:tr>
        <w:tc>
          <w:tcPr>
            <w:tcW w:type="pct" w:w="14%"/>
            <w:shd w:fill="F2F2F2" w:val="clear"/>
            <w:vAlign w:val="center"/>
          </w:tcPr>
          <w:p>
            <w:pPr>
              <w:jc w:val="left"/>
            </w:pPr>
            <w:r>
              <w:t xml:space="preserve">Salary Transfer On-Time Rate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100%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100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100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pct" w:w="14%"/>
            <w:shd w:fill="E2EFDA" w:val="clear"/>
            <w:vAlign w:val="center"/>
          </w:tcPr>
          <w:p>
            <w:pPr>
              <w:jc w:val="center"/>
            </w:pPr>
            <w:r>
              <w:t xml:space="preserve">On Target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→</w:t>
            </w:r>
          </w:p>
        </w:tc>
      </w:tr>
      <w:tr>
        <w:tc>
          <w:tcPr>
            <w:tcW w:type="pct" w:w="14%"/>
            <w:shd w:fill="FFFFFF" w:val="clear"/>
            <w:vAlign w:val="center"/>
          </w:tcPr>
          <w:p>
            <w:pPr>
              <w:jc w:val="left"/>
            </w:pPr>
            <w:r>
              <w:t xml:space="preserve">Employee Query Resolution Time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&lt; 3 days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2.2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2.5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-0.3</w:t>
            </w:r>
          </w:p>
        </w:tc>
        <w:tc>
          <w:tcPr>
            <w:tcW w:type="pct" w:w="14%"/>
            <w:shd w:fill="E2EFDA" w:val="clear"/>
            <w:vAlign w:val="center"/>
          </w:tcPr>
          <w:p>
            <w:pPr>
              <w:jc w:val="center"/>
            </w:pPr>
            <w:r>
              <w:t xml:space="preserve">On Target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↓</w:t>
            </w:r>
          </w:p>
        </w:tc>
      </w:tr>
      <w:tr>
        <w:tc>
          <w:tcPr>
            <w:tcW w:type="pct" w:w="14%"/>
            <w:shd w:fill="F2F2F2" w:val="clear"/>
            <w:vAlign w:val="center"/>
          </w:tcPr>
          <w:p>
            <w:pPr>
              <w:jc w:val="left"/>
            </w:pPr>
            <w:r>
              <w:t xml:space="preserve">EOSB Calculation Accuracy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100%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100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100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pct" w:w="14%"/>
            <w:shd w:fill="E2EFDA" w:val="clear"/>
            <w:vAlign w:val="center"/>
          </w:tcPr>
          <w:p>
            <w:pPr>
              <w:jc w:val="center"/>
            </w:pPr>
            <w:r>
              <w:t xml:space="preserve">On Target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→</w:t>
            </w:r>
          </w:p>
        </w:tc>
      </w:tr>
      <w:tr>
        <w:tc>
          <w:tcPr>
            <w:tcW w:type="pct" w:w="14%"/>
            <w:shd w:fill="FFFFFF" w:val="clear"/>
            <w:vAlign w:val="center"/>
          </w:tcPr>
          <w:p>
            <w:pPr>
              <w:jc w:val="left"/>
            </w:pPr>
            <w:r>
              <w:t xml:space="preserve">Leave Balance Accuracy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100%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99.8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99.5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0.3</w:t>
            </w:r>
          </w:p>
        </w:tc>
        <w:tc>
          <w:tcPr>
            <w:tcW w:type="pct" w:w="14%"/>
            <w:shd w:fill="E2EFDA" w:val="clear"/>
            <w:vAlign w:val="center"/>
          </w:tcPr>
          <w:p>
            <w:pPr>
              <w:jc w:val="center"/>
            </w:pPr>
            <w:r>
              <w:t xml:space="preserve">On Target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↑</w:t>
            </w:r>
          </w:p>
        </w:tc>
      </w:tr>
      <w:tr>
        <w:tc>
          <w:tcPr>
            <w:tcW w:type="pct" w:w="14%"/>
            <w:shd w:fill="F2F2F2" w:val="clear"/>
            <w:vAlign w:val="center"/>
          </w:tcPr>
          <w:p>
            <w:pPr>
              <w:jc w:val="left"/>
            </w:pPr>
            <w:r>
              <w:t xml:space="preserve">Overtime Approval Compliance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100%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98.5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97.8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0.7</w:t>
            </w:r>
          </w:p>
        </w:tc>
        <w:tc>
          <w:tcPr>
            <w:tcW w:type="pct" w:w="14%"/>
            <w:shd w:fill="FFF2CC" w:val="clear"/>
            <w:vAlign w:val="center"/>
          </w:tcPr>
          <w:p>
            <w:pPr>
              <w:jc w:val="center"/>
            </w:pPr>
            <w:r>
              <w:t xml:space="preserve">Warning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↑</w:t>
            </w:r>
          </w:p>
        </w:tc>
      </w:tr>
      <w:tr>
        <w:tc>
          <w:tcPr>
            <w:tcW w:type="pct" w:w="14%"/>
            <w:shd w:fill="FFFFFF" w:val="clear"/>
            <w:vAlign w:val="center"/>
          </w:tcPr>
          <w:p>
            <w:pPr>
              <w:jc w:val="left"/>
            </w:pPr>
            <w:r>
              <w:t xml:space="preserve">Timesheet Submission Rate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100% by 28th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100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98.5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1.5</w:t>
            </w:r>
          </w:p>
        </w:tc>
        <w:tc>
          <w:tcPr>
            <w:tcW w:type="pct" w:w="14%"/>
            <w:shd w:fill="E2EFDA" w:val="clear"/>
            <w:vAlign w:val="center"/>
          </w:tcPr>
          <w:p>
            <w:pPr>
              <w:jc w:val="center"/>
            </w:pPr>
            <w:r>
              <w:t xml:space="preserve">On Target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↑</w:t>
            </w:r>
          </w:p>
        </w:tc>
      </w:tr>
    </w:tbl>
    <w:p>
      <w:pPr>
        <w:spacing w:after="200"/>
      </w:pPr>
    </w:p>
    <w:p>
      <w:pPr>
        <w:pStyle w:val="Heading2"/>
        <w:spacing w:after="200" w:before="200"/>
      </w:pPr>
      <w:r>
        <w:t xml:space="preserve">Treasury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%"/>
            <w:shd w:fill="4472C4" w:val="clear"/>
            <w:vAlign w:val="center"/>
          </w:tcPr>
          <w:p>
            <w:pPr>
              <w:pStyle w:val="TableHeader"/>
              <w:jc w:val="center"/>
            </w:pPr>
            <w:r>
              <w:t xml:space="preserve">KPI</w:t>
            </w:r>
          </w:p>
        </w:tc>
        <w:tc>
          <w:tcPr>
            <w:tcW w:type="pct" w:w="14%"/>
            <w:shd w:fill="4472C4" w:val="clear"/>
            <w:vAlign w:val="center"/>
          </w:tcPr>
          <w:p>
            <w:pPr>
              <w:pStyle w:val="TableHeader"/>
              <w:jc w:val="center"/>
            </w:pPr>
            <w:r>
              <w:t xml:space="preserve">Target</w:t>
            </w:r>
          </w:p>
        </w:tc>
        <w:tc>
          <w:tcPr>
            <w:tcW w:type="pct" w:w="14%"/>
            <w:shd w:fill="4472C4" w:val="clear"/>
            <w:vAlign w:val="center"/>
          </w:tcPr>
          <w:p>
            <w:pPr>
              <w:pStyle w:val="TableHeader"/>
              <w:jc w:val="center"/>
            </w:pPr>
            <w:r>
              <w:t xml:space="preserve">Current Month</w:t>
            </w:r>
          </w:p>
        </w:tc>
        <w:tc>
          <w:tcPr>
            <w:tcW w:type="pct" w:w="14%"/>
            <w:shd w:fill="4472C4" w:val="clear"/>
            <w:vAlign w:val="center"/>
          </w:tcPr>
          <w:p>
            <w:pPr>
              <w:pStyle w:val="TableHeader"/>
              <w:jc w:val="center"/>
            </w:pPr>
            <w:r>
              <w:t xml:space="preserve">Previous Month</w:t>
            </w:r>
          </w:p>
        </w:tc>
        <w:tc>
          <w:tcPr>
            <w:tcW w:type="pct" w:w="14%"/>
            <w:shd w:fill="4472C4" w:val="clear"/>
            <w:vAlign w:val="center"/>
          </w:tcPr>
          <w:p>
            <w:pPr>
              <w:pStyle w:val="TableHeader"/>
              <w:jc w:val="center"/>
            </w:pPr>
            <w:r>
              <w:t xml:space="preserve">Variance</w:t>
            </w:r>
          </w:p>
        </w:tc>
        <w:tc>
          <w:tcPr>
            <w:tcW w:type="pct" w:w="14%"/>
            <w:shd w:fill="4472C4" w:val="clear"/>
            <w:vAlign w:val="center"/>
          </w:tcPr>
          <w:p>
            <w:pPr>
              <w:pStyle w:val="TableHeader"/>
              <w:jc w:val="center"/>
            </w:pPr>
            <w:r>
              <w:t xml:space="preserve">Status</w:t>
            </w:r>
          </w:p>
        </w:tc>
        <w:tc>
          <w:tcPr>
            <w:tcW w:type="pct" w:w="14%"/>
            <w:shd w:fill="4472C4" w:val="clear"/>
            <w:vAlign w:val="center"/>
          </w:tcPr>
          <w:p>
            <w:pPr>
              <w:pStyle w:val="TableHeader"/>
              <w:jc w:val="center"/>
            </w:pPr>
            <w:r>
              <w:t xml:space="preserve">Trend</w:t>
            </w:r>
          </w:p>
        </w:tc>
      </w:tr>
      <w:tr>
        <w:tc>
          <w:tcPr>
            <w:tcW w:type="pct" w:w="14%"/>
            <w:shd w:fill="F2F2F2" w:val="clear"/>
            <w:vAlign w:val="center"/>
          </w:tcPr>
          <w:p>
            <w:pPr>
              <w:jc w:val="left"/>
            </w:pPr>
            <w:r>
              <w:t xml:space="preserve">Cash Forecast Accuracy (30-day)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&gt; 90%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92.5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91.2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1.3</w:t>
            </w:r>
          </w:p>
        </w:tc>
        <w:tc>
          <w:tcPr>
            <w:tcW w:type="pct" w:w="14%"/>
            <w:shd w:fill="E2EFDA" w:val="clear"/>
            <w:vAlign w:val="center"/>
          </w:tcPr>
          <w:p>
            <w:pPr>
              <w:jc w:val="center"/>
            </w:pPr>
            <w:r>
              <w:t xml:space="preserve">On Target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↑</w:t>
            </w:r>
          </w:p>
        </w:tc>
      </w:tr>
      <w:tr>
        <w:tc>
          <w:tcPr>
            <w:tcW w:type="pct" w:w="14%"/>
            <w:shd w:fill="FFFFFF" w:val="clear"/>
            <w:vAlign w:val="center"/>
          </w:tcPr>
          <w:p>
            <w:pPr>
              <w:jc w:val="left"/>
            </w:pPr>
            <w:r>
              <w:t xml:space="preserve">Bank Reconciliation Completion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100% by 5th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100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100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pct" w:w="14%"/>
            <w:shd w:fill="E2EFDA" w:val="clear"/>
            <w:vAlign w:val="center"/>
          </w:tcPr>
          <w:p>
            <w:pPr>
              <w:jc w:val="center"/>
            </w:pPr>
            <w:r>
              <w:t xml:space="preserve">On Target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→</w:t>
            </w:r>
          </w:p>
        </w:tc>
      </w:tr>
      <w:tr>
        <w:tc>
          <w:tcPr>
            <w:tcW w:type="pct" w:w="14%"/>
            <w:shd w:fill="F2F2F2" w:val="clear"/>
            <w:vAlign w:val="center"/>
          </w:tcPr>
          <w:p>
            <w:pPr>
              <w:jc w:val="left"/>
            </w:pPr>
            <w:r>
              <w:t xml:space="preserve">Investment Return Rate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&gt; Base + 0.5%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3.2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3.0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0.2</w:t>
            </w:r>
          </w:p>
        </w:tc>
        <w:tc>
          <w:tcPr>
            <w:tcW w:type="pct" w:w="14%"/>
            <w:shd w:fill="E2EFDA" w:val="clear"/>
            <w:vAlign w:val="center"/>
          </w:tcPr>
          <w:p>
            <w:pPr>
              <w:jc w:val="center"/>
            </w:pPr>
            <w:r>
              <w:t xml:space="preserve">On Target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↑</w:t>
            </w:r>
          </w:p>
        </w:tc>
      </w:tr>
      <w:tr>
        <w:tc>
          <w:tcPr>
            <w:tcW w:type="pct" w:w="14%"/>
            <w:shd w:fill="FFFFFF" w:val="clear"/>
            <w:vAlign w:val="center"/>
          </w:tcPr>
          <w:p>
            <w:pPr>
              <w:jc w:val="left"/>
            </w:pPr>
            <w:r>
              <w:t xml:space="preserve">Debt Service On-Time Rate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100%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100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100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pct" w:w="14%"/>
            <w:shd w:fill="E2EFDA" w:val="clear"/>
            <w:vAlign w:val="center"/>
          </w:tcPr>
          <w:p>
            <w:pPr>
              <w:jc w:val="center"/>
            </w:pPr>
            <w:r>
              <w:t xml:space="preserve">On Target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→</w:t>
            </w:r>
          </w:p>
        </w:tc>
      </w:tr>
      <w:tr>
        <w:tc>
          <w:tcPr>
            <w:tcW w:type="pct" w:w="14%"/>
            <w:shd w:fill="F2F2F2" w:val="clear"/>
            <w:vAlign w:val="center"/>
          </w:tcPr>
          <w:p>
            <w:pPr>
              <w:jc w:val="left"/>
            </w:pPr>
            <w:r>
              <w:t xml:space="preserve">FX Hedging Coverage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&gt; 80%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85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82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pct" w:w="14%"/>
            <w:shd w:fill="E2EFDA" w:val="clear"/>
            <w:vAlign w:val="center"/>
          </w:tcPr>
          <w:p>
            <w:pPr>
              <w:jc w:val="center"/>
            </w:pPr>
            <w:r>
              <w:t xml:space="preserve">On Target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↑</w:t>
            </w:r>
          </w:p>
        </w:tc>
      </w:tr>
      <w:tr>
        <w:tc>
          <w:tcPr>
            <w:tcW w:type="pct" w:w="14%"/>
            <w:shd w:fill="FFFFFF" w:val="clear"/>
            <w:vAlign w:val="center"/>
          </w:tcPr>
          <w:p>
            <w:pPr>
              <w:jc w:val="left"/>
            </w:pPr>
            <w:r>
              <w:t xml:space="preserve">Idle Cash Balance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&lt; 5% of total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3.8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4.2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-0.4</w:t>
            </w:r>
          </w:p>
        </w:tc>
        <w:tc>
          <w:tcPr>
            <w:tcW w:type="pct" w:w="14%"/>
            <w:shd w:fill="E2EFDA" w:val="clear"/>
            <w:vAlign w:val="center"/>
          </w:tcPr>
          <w:p>
            <w:pPr>
              <w:jc w:val="center"/>
            </w:pPr>
            <w:r>
              <w:t xml:space="preserve">On Target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↓</w:t>
            </w:r>
          </w:p>
        </w:tc>
      </w:tr>
      <w:tr>
        <w:tc>
          <w:tcPr>
            <w:tcW w:type="pct" w:w="14%"/>
            <w:shd w:fill="F2F2F2" w:val="clear"/>
            <w:vAlign w:val="center"/>
          </w:tcPr>
          <w:p>
            <w:pPr>
              <w:jc w:val="left"/>
            </w:pPr>
            <w:r>
              <w:t xml:space="preserve">Loan Covenant Compliance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100%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100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100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pct" w:w="14%"/>
            <w:shd w:fill="E2EFDA" w:val="clear"/>
            <w:vAlign w:val="center"/>
          </w:tcPr>
          <w:p>
            <w:pPr>
              <w:jc w:val="center"/>
            </w:pPr>
            <w:r>
              <w:t xml:space="preserve">On Target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→</w:t>
            </w:r>
          </w:p>
        </w:tc>
      </w:tr>
      <w:tr>
        <w:tc>
          <w:tcPr>
            <w:tcW w:type="pct" w:w="14%"/>
            <w:shd w:fill="FFFFFF" w:val="clear"/>
            <w:vAlign w:val="center"/>
          </w:tcPr>
          <w:p>
            <w:pPr>
              <w:jc w:val="left"/>
            </w:pPr>
            <w:r>
              <w:t xml:space="preserve">Payment Authorization Time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&lt; 2 days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1.5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1.8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-0.3</w:t>
            </w:r>
          </w:p>
        </w:tc>
        <w:tc>
          <w:tcPr>
            <w:tcW w:type="pct" w:w="14%"/>
            <w:shd w:fill="E2EFDA" w:val="clear"/>
            <w:vAlign w:val="center"/>
          </w:tcPr>
          <w:p>
            <w:pPr>
              <w:jc w:val="center"/>
            </w:pPr>
            <w:r>
              <w:t xml:space="preserve">On Target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↓</w:t>
            </w:r>
          </w:p>
        </w:tc>
      </w:tr>
    </w:tbl>
    <w:p>
      <w:pPr>
        <w:spacing w:after="200"/>
      </w:pPr>
    </w:p>
    <w:p>
      <w:pPr>
        <w:pStyle w:val="Heading2"/>
        <w:spacing w:after="200" w:before="200"/>
      </w:pPr>
      <w:r>
        <w:t xml:space="preserve">Financial Reporting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%"/>
            <w:shd w:fill="4472C4" w:val="clear"/>
            <w:vAlign w:val="center"/>
          </w:tcPr>
          <w:p>
            <w:pPr>
              <w:pStyle w:val="TableHeader"/>
              <w:jc w:val="center"/>
            </w:pPr>
            <w:r>
              <w:t xml:space="preserve">KPI</w:t>
            </w:r>
          </w:p>
        </w:tc>
        <w:tc>
          <w:tcPr>
            <w:tcW w:type="pct" w:w="14%"/>
            <w:shd w:fill="4472C4" w:val="clear"/>
            <w:vAlign w:val="center"/>
          </w:tcPr>
          <w:p>
            <w:pPr>
              <w:pStyle w:val="TableHeader"/>
              <w:jc w:val="center"/>
            </w:pPr>
            <w:r>
              <w:t xml:space="preserve">Target</w:t>
            </w:r>
          </w:p>
        </w:tc>
        <w:tc>
          <w:tcPr>
            <w:tcW w:type="pct" w:w="14%"/>
            <w:shd w:fill="4472C4" w:val="clear"/>
            <w:vAlign w:val="center"/>
          </w:tcPr>
          <w:p>
            <w:pPr>
              <w:pStyle w:val="TableHeader"/>
              <w:jc w:val="center"/>
            </w:pPr>
            <w:r>
              <w:t xml:space="preserve">Current Month</w:t>
            </w:r>
          </w:p>
        </w:tc>
        <w:tc>
          <w:tcPr>
            <w:tcW w:type="pct" w:w="14%"/>
            <w:shd w:fill="4472C4" w:val="clear"/>
            <w:vAlign w:val="center"/>
          </w:tcPr>
          <w:p>
            <w:pPr>
              <w:pStyle w:val="TableHeader"/>
              <w:jc w:val="center"/>
            </w:pPr>
            <w:r>
              <w:t xml:space="preserve">Previous Month</w:t>
            </w:r>
          </w:p>
        </w:tc>
        <w:tc>
          <w:tcPr>
            <w:tcW w:type="pct" w:w="14%"/>
            <w:shd w:fill="4472C4" w:val="clear"/>
            <w:vAlign w:val="center"/>
          </w:tcPr>
          <w:p>
            <w:pPr>
              <w:pStyle w:val="TableHeader"/>
              <w:jc w:val="center"/>
            </w:pPr>
            <w:r>
              <w:t xml:space="preserve">Variance</w:t>
            </w:r>
          </w:p>
        </w:tc>
        <w:tc>
          <w:tcPr>
            <w:tcW w:type="pct" w:w="14%"/>
            <w:shd w:fill="4472C4" w:val="clear"/>
            <w:vAlign w:val="center"/>
          </w:tcPr>
          <w:p>
            <w:pPr>
              <w:pStyle w:val="TableHeader"/>
              <w:jc w:val="center"/>
            </w:pPr>
            <w:r>
              <w:t xml:space="preserve">Status</w:t>
            </w:r>
          </w:p>
        </w:tc>
        <w:tc>
          <w:tcPr>
            <w:tcW w:type="pct" w:w="14%"/>
            <w:shd w:fill="4472C4" w:val="clear"/>
            <w:vAlign w:val="center"/>
          </w:tcPr>
          <w:p>
            <w:pPr>
              <w:pStyle w:val="TableHeader"/>
              <w:jc w:val="center"/>
            </w:pPr>
            <w:r>
              <w:t xml:space="preserve">Trend</w:t>
            </w:r>
          </w:p>
        </w:tc>
      </w:tr>
      <w:tr>
        <w:tc>
          <w:tcPr>
            <w:tcW w:type="pct" w:w="14%"/>
            <w:shd w:fill="F2F2F2" w:val="clear"/>
            <w:vAlign w:val="center"/>
          </w:tcPr>
          <w:p>
            <w:pPr>
              <w:jc w:val="left"/>
            </w:pPr>
            <w:r>
              <w:t xml:space="preserve">Month-End Close Cycle Time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&lt; 8 days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-1</w:t>
            </w:r>
          </w:p>
        </w:tc>
        <w:tc>
          <w:tcPr>
            <w:tcW w:type="pct" w:w="14%"/>
            <w:shd w:fill="E2EFDA" w:val="clear"/>
            <w:vAlign w:val="center"/>
          </w:tcPr>
          <w:p>
            <w:pPr>
              <w:jc w:val="center"/>
            </w:pPr>
            <w:r>
              <w:t xml:space="preserve">On Target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↓</w:t>
            </w:r>
          </w:p>
        </w:tc>
      </w:tr>
      <w:tr>
        <w:tc>
          <w:tcPr>
            <w:tcW w:type="pct" w:w="14%"/>
            <w:shd w:fill="FFFFFF" w:val="clear"/>
            <w:vAlign w:val="center"/>
          </w:tcPr>
          <w:p>
            <w:pPr>
              <w:jc w:val="left"/>
            </w:pPr>
            <w:r>
              <w:t xml:space="preserve">Reconciliation Completion Rate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100% by Day 5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100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98.5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1.5</w:t>
            </w:r>
          </w:p>
        </w:tc>
        <w:tc>
          <w:tcPr>
            <w:tcW w:type="pct" w:w="14%"/>
            <w:shd w:fill="E2EFDA" w:val="clear"/>
            <w:vAlign w:val="center"/>
          </w:tcPr>
          <w:p>
            <w:pPr>
              <w:jc w:val="center"/>
            </w:pPr>
            <w:r>
              <w:t xml:space="preserve">On Target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↑</w:t>
            </w:r>
          </w:p>
        </w:tc>
      </w:tr>
      <w:tr>
        <w:tc>
          <w:tcPr>
            <w:tcW w:type="pct" w:w="14%"/>
            <w:shd w:fill="F2F2F2" w:val="clear"/>
            <w:vAlign w:val="center"/>
          </w:tcPr>
          <w:p>
            <w:pPr>
              <w:jc w:val="left"/>
            </w:pPr>
            <w:r>
              <w:t xml:space="preserve">Journal Entry Accuracy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&gt; 98%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99.2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98.8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0.4</w:t>
            </w:r>
          </w:p>
        </w:tc>
        <w:tc>
          <w:tcPr>
            <w:tcW w:type="pct" w:w="14%"/>
            <w:shd w:fill="E2EFDA" w:val="clear"/>
            <w:vAlign w:val="center"/>
          </w:tcPr>
          <w:p>
            <w:pPr>
              <w:jc w:val="center"/>
            </w:pPr>
            <w:r>
              <w:t xml:space="preserve">On Target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↑</w:t>
            </w:r>
          </w:p>
        </w:tc>
      </w:tr>
      <w:tr>
        <w:tc>
          <w:tcPr>
            <w:tcW w:type="pct" w:w="14%"/>
            <w:shd w:fill="FFFFFF" w:val="clear"/>
            <w:vAlign w:val="center"/>
          </w:tcPr>
          <w:p>
            <w:pPr>
              <w:jc w:val="left"/>
            </w:pPr>
            <w:r>
              <w:t xml:space="preserve">Management Report Delivery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By Day 10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-1</w:t>
            </w:r>
          </w:p>
        </w:tc>
        <w:tc>
          <w:tcPr>
            <w:tcW w:type="pct" w:w="14%"/>
            <w:shd w:fill="E2EFDA" w:val="clear"/>
            <w:vAlign w:val="center"/>
          </w:tcPr>
          <w:p>
            <w:pPr>
              <w:jc w:val="center"/>
            </w:pPr>
            <w:r>
              <w:t xml:space="preserve">On Target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↓</w:t>
            </w:r>
          </w:p>
        </w:tc>
      </w:tr>
      <w:tr>
        <w:tc>
          <w:tcPr>
            <w:tcW w:type="pct" w:w="14%"/>
            <w:shd w:fill="F2F2F2" w:val="clear"/>
            <w:vAlign w:val="center"/>
          </w:tcPr>
          <w:p>
            <w:pPr>
              <w:jc w:val="left"/>
            </w:pPr>
            <w:r>
              <w:t xml:space="preserve">Audit Finding Closure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&lt; 30 days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25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28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-3</w:t>
            </w:r>
          </w:p>
        </w:tc>
        <w:tc>
          <w:tcPr>
            <w:tcW w:type="pct" w:w="14%"/>
            <w:shd w:fill="E2EFDA" w:val="clear"/>
            <w:vAlign w:val="center"/>
          </w:tcPr>
          <w:p>
            <w:pPr>
              <w:jc w:val="center"/>
            </w:pPr>
            <w:r>
              <w:t xml:space="preserve">On Target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↓</w:t>
            </w:r>
          </w:p>
        </w:tc>
      </w:tr>
      <w:tr>
        <w:tc>
          <w:tcPr>
            <w:tcW w:type="pct" w:w="14%"/>
            <w:shd w:fill="FFFFFF" w:val="clear"/>
            <w:vAlign w:val="center"/>
          </w:tcPr>
          <w:p>
            <w:pPr>
              <w:jc w:val="left"/>
            </w:pPr>
            <w:r>
              <w:t xml:space="preserve">Variance Explanation Completeness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100%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98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97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pct" w:w="14%"/>
            <w:shd w:fill="FFF2CC" w:val="clear"/>
            <w:vAlign w:val="center"/>
          </w:tcPr>
          <w:p>
            <w:pPr>
              <w:jc w:val="center"/>
            </w:pPr>
            <w:r>
              <w:t xml:space="preserve">Warning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↑</w:t>
            </w:r>
          </w:p>
        </w:tc>
      </w:tr>
      <w:tr>
        <w:tc>
          <w:tcPr>
            <w:tcW w:type="pct" w:w="14%"/>
            <w:shd w:fill="F2F2F2" w:val="clear"/>
            <w:vAlign w:val="center"/>
          </w:tcPr>
          <w:p>
            <w:pPr>
              <w:jc w:val="left"/>
            </w:pPr>
            <w:r>
              <w:t xml:space="preserve">Financial Statement Accuracy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100%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100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100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pct" w:w="14%"/>
            <w:shd w:fill="E2EFDA" w:val="clear"/>
            <w:vAlign w:val="center"/>
          </w:tcPr>
          <w:p>
            <w:pPr>
              <w:jc w:val="center"/>
            </w:pPr>
            <w:r>
              <w:t xml:space="preserve">On Target</w:t>
            </w:r>
          </w:p>
        </w:tc>
        <w:tc>
          <w:tcPr>
            <w:tcW w:type="pct" w:w="14%"/>
            <w:shd w:fill="F2F2F2" w:val="clear"/>
            <w:vAlign w:val="center"/>
          </w:tcPr>
          <w:p>
            <w:pPr>
              <w:jc w:val="center"/>
            </w:pPr>
            <w:r>
              <w:t xml:space="preserve">→</w:t>
            </w:r>
          </w:p>
        </w:tc>
      </w:tr>
      <w:tr>
        <w:tc>
          <w:tcPr>
            <w:tcW w:type="pct" w:w="14%"/>
            <w:shd w:fill="FFFFFF" w:val="clear"/>
            <w:vAlign w:val="center"/>
          </w:tcPr>
          <w:p>
            <w:pPr>
              <w:jc w:val="left"/>
            </w:pPr>
            <w:r>
              <w:t xml:space="preserve">Compliance Filing On-Time Rate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100%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100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100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pct" w:w="14%"/>
            <w:shd w:fill="E2EFDA" w:val="clear"/>
            <w:vAlign w:val="center"/>
          </w:tcPr>
          <w:p>
            <w:pPr>
              <w:jc w:val="center"/>
            </w:pPr>
            <w:r>
              <w:t xml:space="preserve">On Target</w:t>
            </w:r>
          </w:p>
        </w:tc>
        <w:tc>
          <w:tcPr>
            <w:tcW w:type="pct" w:w="14%"/>
            <w:shd w:fill="FFFFFF" w:val="clear"/>
            <w:vAlign w:val="center"/>
          </w:tcPr>
          <w:p>
            <w:pPr>
              <w:jc w:val="center"/>
            </w:pPr>
            <w:r>
              <w:t xml:space="preserve">→</w:t>
            </w:r>
          </w:p>
        </w:tc>
      </w:tr>
    </w:tbl>
    <w:p>
      <w:pPr>
        <w:spacing w:after="200"/>
      </w:pPr>
    </w:p>
    <w:p>
      <w:pPr>
        <w:pStyle w:val="Heading2"/>
        <w:spacing w:after="200" w:before="200"/>
      </w:pPr>
      <w:r>
        <w:t xml:space="preserve">Dashboard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4472C4" w:val="clear"/>
            <w:vAlign w:val="center"/>
          </w:tcPr>
          <w:p>
            <w:pPr>
              <w:jc w:val="center"/>
            </w:pPr>
            <w:r>
              <w:t xml:space="preserve">Department</w:t>
            </w:r>
          </w:p>
        </w:tc>
        <w:tc>
          <w:tcPr>
            <w:tcW w:type="pct" w:w="25%"/>
            <w:shd w:fill="4472C4" w:val="clear"/>
            <w:vAlign w:val="center"/>
          </w:tcPr>
          <w:p>
            <w:pPr>
              <w:jc w:val="center"/>
            </w:pPr>
            <w:r>
              <w:t xml:space="preserve">Total KPIs</w:t>
            </w:r>
          </w:p>
        </w:tc>
        <w:tc>
          <w:tcPr>
            <w:tcW w:type="pct" w:w="25%"/>
            <w:shd w:fill="4472C4" w:val="clear"/>
            <w:vAlign w:val="center"/>
          </w:tcPr>
          <w:p>
            <w:pPr>
              <w:jc w:val="center"/>
            </w:pPr>
            <w:r>
              <w:t xml:space="preserve">On Target</w:t>
            </w:r>
          </w:p>
        </w:tc>
        <w:tc>
          <w:tcPr>
            <w:tcW w:type="pct" w:w="25%"/>
            <w:shd w:fill="4472C4" w:val="clear"/>
            <w:vAlign w:val="center"/>
          </w:tcPr>
          <w:p>
            <w:pPr>
              <w:jc w:val="center"/>
            </w:pPr>
            <w:r>
              <w:t xml:space="preserve">Warnings</w:t>
            </w:r>
          </w:p>
        </w:tc>
      </w:tr>
      <w:tr>
        <w:tc>
          <w:tcPr>
            <w:tcW w:type="pct" w:w="25%"/>
            <w:shd w:fill="F2F2F2" w:val="clear"/>
            <w:vAlign w:val="center"/>
          </w:tcPr>
          <w:p>
            <w:pPr>
              <w:jc w:val="left"/>
            </w:pPr>
            <w:r>
              <w:t xml:space="preserve">Accounts Payable</w:t>
            </w:r>
          </w:p>
        </w:tc>
        <w:tc>
          <w:tcPr>
            <w:tcW w:type="pct" w:w="25%"/>
            <w:shd w:fill="F2F2F2" w:val="clear"/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pct" w:w="25%"/>
            <w:shd w:fill="F2F2F2" w:val="clear"/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pct" w:w="25%"/>
            <w:shd w:fill="F2F2F2" w:val="clear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</w:tr>
      <w:tr>
        <w:tc>
          <w:tcPr>
            <w:tcW w:type="pct" w:w="25%"/>
            <w:shd w:fill="FFFFFF" w:val="clear"/>
            <w:vAlign w:val="center"/>
          </w:tcPr>
          <w:p>
            <w:pPr>
              <w:jc w:val="left"/>
            </w:pPr>
            <w:r>
              <w:t xml:space="preserve">Accounts Receivable</w:t>
            </w:r>
          </w:p>
        </w:tc>
        <w:tc>
          <w:tcPr>
            <w:tcW w:type="pct" w:w="25%"/>
            <w:shd w:fill="FFFFFF" w:val="clear"/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pct" w:w="25%"/>
            <w:shd w:fill="FFFFFF" w:val="clear"/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pct" w:w="25%"/>
            <w:shd w:fill="FFFFFF" w:val="clear"/>
            <w:vAlign w:val="center"/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pct" w:w="25%"/>
            <w:shd w:fill="F2F2F2" w:val="clear"/>
            <w:vAlign w:val="center"/>
          </w:tcPr>
          <w:p>
            <w:pPr>
              <w:jc w:val="left"/>
            </w:pPr>
            <w:r>
              <w:t xml:space="preserve">Payroll</w:t>
            </w:r>
          </w:p>
        </w:tc>
        <w:tc>
          <w:tcPr>
            <w:tcW w:type="pct" w:w="25%"/>
            <w:shd w:fill="F2F2F2" w:val="clear"/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pct" w:w="25%"/>
            <w:shd w:fill="F2F2F2" w:val="clear"/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pct" w:w="25%"/>
            <w:shd w:fill="F2F2F2" w:val="clear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</w:tr>
      <w:tr>
        <w:tc>
          <w:tcPr>
            <w:tcW w:type="pct" w:w="25%"/>
            <w:shd w:fill="FFFFFF" w:val="clear"/>
            <w:vAlign w:val="center"/>
          </w:tcPr>
          <w:p>
            <w:pPr>
              <w:jc w:val="left"/>
            </w:pPr>
            <w:r>
              <w:t xml:space="preserve">Treasury</w:t>
            </w:r>
          </w:p>
        </w:tc>
        <w:tc>
          <w:tcPr>
            <w:tcW w:type="pct" w:w="25%"/>
            <w:shd w:fill="FFFFFF" w:val="clear"/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pct" w:w="25%"/>
            <w:shd w:fill="FFFFFF" w:val="clear"/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pct" w:w="25%"/>
            <w:shd w:fill="FFFFFF" w:val="clear"/>
            <w:vAlign w:val="center"/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pct" w:w="25%"/>
            <w:shd w:fill="F2F2F2" w:val="clear"/>
            <w:vAlign w:val="center"/>
          </w:tcPr>
          <w:p>
            <w:pPr>
              <w:jc w:val="left"/>
            </w:pPr>
            <w:r>
              <w:t xml:space="preserve">Financial Reporting</w:t>
            </w:r>
          </w:p>
        </w:tc>
        <w:tc>
          <w:tcPr>
            <w:tcW w:type="pct" w:w="25%"/>
            <w:shd w:fill="F2F2F2" w:val="clear"/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pct" w:w="25%"/>
            <w:shd w:fill="F2F2F2" w:val="clear"/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pct" w:w="25%"/>
            <w:shd w:fill="F2F2F2" w:val="clear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2026-09-17T06:27:48.849Z</dcterms:created>
  <dcterms:modified xsi:type="dcterms:W3CDTF">2026-09-17T06:27:48.849Z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