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4.png"/><Relationship Id="rId22" Type="http://schemas.openxmlformats.org/officeDocument/2006/relationships/image" Target="media/image13.png"/><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5.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