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B09D" w14:textId="16D01001" w:rsidR="00290830" w:rsidRPr="00085C5E" w:rsidRDefault="00BB13DC" w:rsidP="008A3E82">
      <w:r w:rsidRPr="00085C5E">
        <w:t xml:space="preserve">Third, </w:t>
      </w:r>
      <w:r w:rsidR="00DA1565" w:rsidRPr="00085C5E">
        <w:t xml:space="preserve">FRT raises issues with </w:t>
      </w:r>
      <w:r w:rsidR="00290830" w:rsidRPr="00085C5E">
        <w:t>widespread passive</w:t>
      </w:r>
      <w:r w:rsidR="00DA1565" w:rsidRPr="00085C5E">
        <w:t xml:space="preserve"> identification</w:t>
      </w:r>
      <w:r w:rsidR="008A3E82">
        <w:t xml:space="preserve"> that no longer requires a seizure</w:t>
      </w:r>
      <w:r w:rsidR="00DA1565" w:rsidRPr="00085C5E">
        <w:t>.</w:t>
      </w:r>
      <w:r w:rsidR="007A248A" w:rsidRPr="00085C5E">
        <w:t xml:space="preserve"> </w:t>
      </w:r>
      <w:r w:rsidR="008A3E82" w:rsidRPr="00085C5E">
        <w:t xml:space="preserve">A person is seized when their freedom of movement is restrained and </w:t>
      </w:r>
      <w:r w:rsidR="008A3E82">
        <w:t xml:space="preserve">a </w:t>
      </w:r>
      <w:r w:rsidR="008A3E82" w:rsidRPr="00085C5E">
        <w:t>reasonable person believe</w:t>
      </w:r>
      <w:r w:rsidR="008A3E82">
        <w:t>s</w:t>
      </w:r>
      <w:r w:rsidR="008A3E82" w:rsidRPr="00085C5E">
        <w:t xml:space="preserve"> </w:t>
      </w:r>
      <w:r w:rsidR="008A3E82">
        <w:t>they are</w:t>
      </w:r>
      <w:r w:rsidR="008A3E82" w:rsidRPr="00085C5E">
        <w:t xml:space="preserve"> not free to leave.</w:t>
      </w:r>
      <w:r w:rsidR="008A3E82" w:rsidRPr="00085C5E">
        <w:rPr>
          <w:rStyle w:val="FootnoteReference"/>
        </w:rPr>
        <w:footnoteReference w:id="1"/>
      </w:r>
      <w:r w:rsidR="008A3E82" w:rsidRPr="00085C5E">
        <w:t xml:space="preserve"> </w:t>
      </w:r>
      <w:r w:rsidR="00290830" w:rsidRPr="00085C5E">
        <w:t xml:space="preserve">Traditional identification cases </w:t>
      </w:r>
      <w:r w:rsidR="00D86C0D" w:rsidRPr="00085C5E">
        <w:t>are predicated on a</w:t>
      </w:r>
      <w:r w:rsidR="00290830" w:rsidRPr="00085C5E">
        <w:t xml:space="preserve"> seizure</w:t>
      </w:r>
      <w:r w:rsidR="008A3E82">
        <w:t>.</w:t>
      </w:r>
      <w:r w:rsidR="00290830" w:rsidRPr="00085C5E">
        <w:rPr>
          <w:rStyle w:val="FootnoteReference"/>
          <w:rFonts w:eastAsia="Times New Roman"/>
          <w:color w:val="000000" w:themeColor="text1"/>
        </w:rPr>
        <w:footnoteReference w:id="2"/>
      </w:r>
      <w:r w:rsidR="00290830" w:rsidRPr="00085C5E">
        <w:t xml:space="preserve"> </w:t>
      </w:r>
      <w:r w:rsidR="00784021" w:rsidRPr="00085C5E">
        <w:t>But if an officer takes someone’s picture and identifies them without stopping them, then there is no seizure.</w:t>
      </w:r>
    </w:p>
    <w:p w14:paraId="08D02B5E" w14:textId="646806F9" w:rsidR="009B6823" w:rsidRPr="00085C5E" w:rsidRDefault="008A3E82" w:rsidP="00B46CC1">
      <w:r>
        <w:t>Facial recognition technology creates the potential for</w:t>
      </w:r>
      <w:r w:rsidR="0081050F" w:rsidRPr="00085C5E">
        <w:t xml:space="preserve"> massive </w:t>
      </w:r>
      <w:r w:rsidR="00D14EE4">
        <w:t>increase in law enforcement’s ability to</w:t>
      </w:r>
      <w:r w:rsidR="0081050F" w:rsidRPr="00085C5E">
        <w:t xml:space="preserve"> identify </w:t>
      </w:r>
      <w:r w:rsidR="00D14EE4">
        <w:t>someone</w:t>
      </w:r>
      <w:r w:rsidR="0081050F" w:rsidRPr="00085C5E">
        <w:t xml:space="preserve"> beyond human ability. </w:t>
      </w:r>
      <w:r w:rsidR="00A5218D" w:rsidRPr="00085C5E">
        <w:t xml:space="preserve">In his </w:t>
      </w:r>
      <w:r w:rsidR="00A5218D" w:rsidRPr="00085C5E">
        <w:rPr>
          <w:i/>
          <w:iCs/>
        </w:rPr>
        <w:t>Jones</w:t>
      </w:r>
      <w:r w:rsidR="00A5218D" w:rsidRPr="00085C5E">
        <w:t xml:space="preserve"> concurrence, </w:t>
      </w:r>
      <w:r w:rsidR="0031021B" w:rsidRPr="00085C5E">
        <w:t>Alito took issue with the</w:t>
      </w:r>
      <w:r w:rsidR="003F00BD" w:rsidRPr="00085C5E">
        <w:rPr>
          <w:rFonts w:eastAsia="Times New Roman"/>
        </w:rPr>
        <w:t xml:space="preserve"> “gigantic coach” or “very tiny constable” unimaginable to the framers that replaces large investigative teams with automated tasks</w:t>
      </w:r>
      <w:r w:rsidR="0031021B" w:rsidRPr="00085C5E">
        <w:t xml:space="preserve">. </w:t>
      </w:r>
      <w:r w:rsidR="003F00BD" w:rsidRPr="00085C5E">
        <w:t>FRT creates a</w:t>
      </w:r>
      <w:r w:rsidR="0031021B" w:rsidRPr="00085C5E">
        <w:t xml:space="preserve"> new constable, unimaginable to the framers, with a perfect photographic and encyclopedic memory</w:t>
      </w:r>
      <w:r w:rsidR="002B36DE" w:rsidRPr="00085C5E">
        <w:t>;</w:t>
      </w:r>
      <w:r w:rsidR="0031021B" w:rsidRPr="00085C5E">
        <w:t xml:space="preserve"> an officer </w:t>
      </w:r>
      <w:r w:rsidR="00D14EE4">
        <w:t xml:space="preserve">who doesn’t need to stop someone to identify them, </w:t>
      </w:r>
      <w:r w:rsidR="0031021B" w:rsidRPr="00085C5E">
        <w:t xml:space="preserve">who never forgets a name or a face, and has painstakingly learned millions </w:t>
      </w:r>
      <w:r w:rsidR="00485320" w:rsidRPr="00085C5E">
        <w:t xml:space="preserve">or billions </w:t>
      </w:r>
      <w:r w:rsidR="0031021B" w:rsidRPr="00085C5E">
        <w:t>of people.</w:t>
      </w:r>
    </w:p>
    <w:p w14:paraId="6588DE30" w14:textId="77777777" w:rsidR="002B36DE" w:rsidRPr="00085C5E" w:rsidRDefault="00B46CC1" w:rsidP="002B36DE">
      <w:r w:rsidRPr="00085C5E">
        <w:t xml:space="preserve">One on hand, a less invasive </w:t>
      </w:r>
      <w:r w:rsidR="002B36DE" w:rsidRPr="00085C5E">
        <w:t>identification that doesn’t require a seizure</w:t>
      </w:r>
      <w:r w:rsidRPr="00085C5E">
        <w:t xml:space="preserve"> can be welcomed.</w:t>
      </w:r>
      <w:r w:rsidR="002B36DE" w:rsidRPr="00085C5E">
        <w:t xml:space="preserve"> </w:t>
      </w:r>
      <w:r w:rsidRPr="00085C5E">
        <w:t xml:space="preserve">But on the other hand, when a person’s home or effects are searched, or when they are seized, they are given notice of the search. </w:t>
      </w:r>
    </w:p>
    <w:p w14:paraId="42EF60F8" w14:textId="527749F6" w:rsidR="002B36DE" w:rsidRPr="00085C5E" w:rsidRDefault="002B36DE" w:rsidP="002B36DE">
      <w:r w:rsidRPr="00085C5E">
        <w:t xml:space="preserve">If the courts or policymakers determine that identification with FRT is a search, they should require law enforcement give notice in a similar manner. </w:t>
      </w:r>
      <w:r w:rsidR="00D10553" w:rsidRPr="00085C5E">
        <w:t>This requirement has a statutory history. W</w:t>
      </w:r>
      <w:r w:rsidRPr="00085C5E">
        <w:t>hen the government searches</w:t>
      </w:r>
      <w:r w:rsidR="00B46CC1" w:rsidRPr="00085C5E">
        <w:t xml:space="preserve"> email </w:t>
      </w:r>
      <w:r w:rsidRPr="00085C5E">
        <w:t>and other</w:t>
      </w:r>
      <w:r w:rsidR="00D14EE4">
        <w:t xml:space="preserve"> communications,</w:t>
      </w:r>
      <w:r w:rsidR="00B46CC1" w:rsidRPr="00085C5E">
        <w:t xml:space="preserve"> the Stored Communications Act often require</w:t>
      </w:r>
      <w:r w:rsidR="00D14EE4">
        <w:t>s</w:t>
      </w:r>
      <w:r w:rsidR="00B46CC1" w:rsidRPr="00085C5E">
        <w:t xml:space="preserve"> immediate or delayed notice to the target that the search </w:t>
      </w:r>
      <w:r w:rsidR="00B46CC1" w:rsidRPr="00085C5E">
        <w:lastRenderedPageBreak/>
        <w:t>occurred.</w:t>
      </w:r>
      <w:r w:rsidR="00B46CC1" w:rsidRPr="00085C5E">
        <w:rPr>
          <w:rStyle w:val="FootnoteReference"/>
        </w:rPr>
        <w:footnoteReference w:id="3"/>
      </w:r>
      <w:r w:rsidR="00D10553" w:rsidRPr="00085C5E">
        <w:t xml:space="preserve"> </w:t>
      </w:r>
      <w:r w:rsidR="00781F5A" w:rsidRPr="00085C5E">
        <w:t xml:space="preserve">Government wiretaps, governed by Title III of the </w:t>
      </w:r>
      <w:r w:rsidR="00D14EE4">
        <w:t>W</w:t>
      </w:r>
      <w:r w:rsidR="00781F5A" w:rsidRPr="00085C5E">
        <w:t xml:space="preserve">iretap </w:t>
      </w:r>
      <w:r w:rsidR="00D14EE4">
        <w:t>A</w:t>
      </w:r>
      <w:r w:rsidR="00781F5A" w:rsidRPr="00085C5E">
        <w:t xml:space="preserve">ct, </w:t>
      </w:r>
      <w:r w:rsidR="00D14EE4">
        <w:t xml:space="preserve">also require notice and other requirements such as </w:t>
      </w:r>
      <w:r w:rsidR="00781F5A" w:rsidRPr="00085C5E">
        <w:t>necessity, minimization, time limit</w:t>
      </w:r>
      <w:r w:rsidR="00D14EE4">
        <w:t>s</w:t>
      </w:r>
      <w:r w:rsidR="00781F5A" w:rsidRPr="00085C5E">
        <w:t>.</w:t>
      </w:r>
      <w:r w:rsidR="00781F5A" w:rsidRPr="00085C5E">
        <w:rPr>
          <w:rStyle w:val="FootnoteReference"/>
        </w:rPr>
        <w:footnoteReference w:id="4"/>
      </w:r>
    </w:p>
    <w:p w14:paraId="4DB2B3B0" w14:textId="0F5BEB4A" w:rsidR="00AE5C60" w:rsidRPr="00085C5E" w:rsidRDefault="00B46CC1" w:rsidP="00B46CC1">
      <w:r w:rsidRPr="00085C5E">
        <w:t xml:space="preserve">Most mosaic theory arguments face a steep uphill battle. </w:t>
      </w:r>
      <w:r w:rsidR="00281B64" w:rsidRPr="00085C5E">
        <w:t>There is no constitutional protection</w:t>
      </w:r>
      <w:r w:rsidR="00914913" w:rsidRPr="00085C5E">
        <w:t xml:space="preserve"> or reasonable expectation that</w:t>
      </w:r>
      <w:r w:rsidR="00281B64" w:rsidRPr="00085C5E">
        <w:t xml:space="preserve"> your picture </w:t>
      </w:r>
      <w:proofErr w:type="gramStart"/>
      <w:r w:rsidR="00281B64" w:rsidRPr="00085C5E">
        <w:t>taken</w:t>
      </w:r>
      <w:proofErr w:type="gramEnd"/>
      <w:r w:rsidR="00281B64" w:rsidRPr="00085C5E">
        <w:t xml:space="preserve"> </w:t>
      </w:r>
      <w:r w:rsidR="00914913" w:rsidRPr="00085C5E">
        <w:t xml:space="preserve">or you </w:t>
      </w:r>
      <w:r w:rsidR="00281B64" w:rsidRPr="00085C5E">
        <w:t>won’t be recognized</w:t>
      </w:r>
      <w:r w:rsidR="00914913" w:rsidRPr="00085C5E">
        <w:t xml:space="preserve"> </w:t>
      </w:r>
      <w:r w:rsidR="00281B64" w:rsidRPr="00085C5E">
        <w:t>in public.</w:t>
      </w:r>
      <w:r w:rsidR="00281B64" w:rsidRPr="00085C5E">
        <w:rPr>
          <w:rStyle w:val="FootnoteReference"/>
          <w:color w:val="000000" w:themeColor="text1"/>
        </w:rPr>
        <w:footnoteReference w:id="5"/>
      </w:r>
      <w:r w:rsidR="00281B64" w:rsidRPr="00085C5E">
        <w:t xml:space="preserve"> </w:t>
      </w:r>
      <w:r w:rsidR="006D6313" w:rsidRPr="00085C5E">
        <w:t>Security camera footage,</w:t>
      </w:r>
      <w:r w:rsidR="006D6313" w:rsidRPr="00085C5E">
        <w:rPr>
          <w:rStyle w:val="FootnoteReference"/>
          <w:color w:val="000000" w:themeColor="text1"/>
        </w:rPr>
        <w:t xml:space="preserve"> </w:t>
      </w:r>
      <w:r w:rsidR="006D6313" w:rsidRPr="00085C5E">
        <w:t>i</w:t>
      </w:r>
      <w:r w:rsidR="00281B64" w:rsidRPr="00085C5E">
        <w:t xml:space="preserve">dentification </w:t>
      </w:r>
      <w:r w:rsidR="006D6313" w:rsidRPr="00085C5E">
        <w:t>by</w:t>
      </w:r>
      <w:r w:rsidR="00281B64" w:rsidRPr="00085C5E">
        <w:t xml:space="preserve"> a familiar officer or witness</w:t>
      </w:r>
      <w:r w:rsidR="006D6313" w:rsidRPr="00085C5E">
        <w:t>, and</w:t>
      </w:r>
      <w:r w:rsidR="00281B64" w:rsidRPr="00085C5E">
        <w:t xml:space="preserve"> </w:t>
      </w:r>
      <w:r w:rsidR="006D6313" w:rsidRPr="00085C5E">
        <w:t xml:space="preserve">identification through </w:t>
      </w:r>
      <w:r w:rsidR="00281B64" w:rsidRPr="00085C5E">
        <w:t>fingerprints and DNA</w:t>
      </w:r>
      <w:r w:rsidR="006D6313" w:rsidRPr="00085C5E">
        <w:t xml:space="preserve"> left at a crime scene don’t implicate the Fourth Amendment</w:t>
      </w:r>
      <w:r w:rsidR="00281B64" w:rsidRPr="00085C5E">
        <w:t>.</w:t>
      </w:r>
      <w:r w:rsidR="003D29C6" w:rsidRPr="00085C5E">
        <w:t xml:space="preserve"> </w:t>
      </w:r>
      <w:r w:rsidR="00281B64" w:rsidRPr="00085C5E">
        <w:t xml:space="preserve">But anytime </w:t>
      </w:r>
      <w:r w:rsidRPr="00085C5E">
        <w:t>an FRT technology tracks long-term or real-time location, or when identification is on a massive automated scale</w:t>
      </w:r>
      <w:r w:rsidR="00281B64" w:rsidRPr="00085C5E">
        <w:t xml:space="preserve">, the </w:t>
      </w:r>
      <w:r w:rsidRPr="00085C5E">
        <w:t>m</w:t>
      </w:r>
      <w:r w:rsidR="00281B64" w:rsidRPr="00085C5E">
        <w:t xml:space="preserve">osaic theory </w:t>
      </w:r>
      <w:r w:rsidR="00A5218D" w:rsidRPr="00085C5E">
        <w:t>should</w:t>
      </w:r>
      <w:r w:rsidR="00281B64" w:rsidRPr="00085C5E">
        <w:t xml:space="preserve"> be considered.</w:t>
      </w:r>
    </w:p>
    <w:p w14:paraId="3281DF87" w14:textId="55B3D7B8" w:rsidR="006613D1" w:rsidRPr="00085C5E" w:rsidRDefault="00D14EE4" w:rsidP="007B59E6">
      <w:pPr>
        <w:pStyle w:val="Heading1"/>
      </w:pPr>
      <w:bookmarkStart w:id="0" w:name="_Toc61876913"/>
      <w:r>
        <w:t xml:space="preserve">Identification With </w:t>
      </w:r>
      <w:r w:rsidR="00AE5C60" w:rsidRPr="00085C5E">
        <w:t xml:space="preserve">FRT Not in General </w:t>
      </w:r>
      <w:r w:rsidR="0032481F" w:rsidRPr="00085C5E">
        <w:t xml:space="preserve">Public </w:t>
      </w:r>
      <w:r w:rsidR="00AE5C60" w:rsidRPr="00085C5E">
        <w:t>Use is a Search</w:t>
      </w:r>
      <w:bookmarkEnd w:id="0"/>
    </w:p>
    <w:p w14:paraId="0D647660" w14:textId="30222C93" w:rsidR="0029749C" w:rsidRPr="00085C5E" w:rsidRDefault="00281B64" w:rsidP="007B59E6">
      <w:r w:rsidRPr="00085C5E">
        <w:t>U</w:t>
      </w:r>
      <w:r w:rsidR="0081050F" w:rsidRPr="00085C5E">
        <w:t xml:space="preserve">se </w:t>
      </w:r>
      <w:r w:rsidRPr="00085C5E">
        <w:t xml:space="preserve">of </w:t>
      </w:r>
      <w:r w:rsidR="0081050F" w:rsidRPr="00085C5E">
        <w:t>a device not in general public use</w:t>
      </w:r>
      <w:r w:rsidRPr="00085C5E">
        <w:t xml:space="preserve"> to ascertain information from inside a home </w:t>
      </w:r>
      <w:r w:rsidR="0081050F" w:rsidRPr="00085C5E">
        <w:t xml:space="preserve">unknowable without physical intrusion is a </w:t>
      </w:r>
      <w:r w:rsidRPr="00085C5E">
        <w:t>search</w:t>
      </w:r>
      <w:r w:rsidR="0081050F" w:rsidRPr="00085C5E">
        <w:t>.</w:t>
      </w:r>
      <w:r w:rsidR="00A23D13" w:rsidRPr="00085C5E">
        <w:rPr>
          <w:rStyle w:val="FootnoteReference"/>
          <w:rFonts w:eastAsia="Times New Roman"/>
          <w:color w:val="000000" w:themeColor="text1"/>
        </w:rPr>
        <w:footnoteReference w:id="6"/>
      </w:r>
      <w:r w:rsidRPr="00085C5E">
        <w:t xml:space="preserve"> </w:t>
      </w:r>
      <w:r w:rsidR="00914913" w:rsidRPr="00085C5E">
        <w:t xml:space="preserve">This stems from </w:t>
      </w:r>
      <w:r w:rsidR="00914913" w:rsidRPr="00085C5E">
        <w:rPr>
          <w:i/>
          <w:iCs/>
        </w:rPr>
        <w:t>Kyllo v. United States</w:t>
      </w:r>
      <w:r w:rsidR="00914913" w:rsidRPr="00085C5E">
        <w:t>, where the Supreme Court ruled that use of a thermal imaging device capable of detecting heat emanating from a house constituted a search.</w:t>
      </w:r>
      <w:r w:rsidR="00914913" w:rsidRPr="00085C5E">
        <w:rPr>
          <w:rStyle w:val="FootnoteReference"/>
        </w:rPr>
        <w:footnoteReference w:id="7"/>
      </w:r>
      <w:r w:rsidR="00914913" w:rsidRPr="00085C5E">
        <w:t xml:space="preserve"> </w:t>
      </w:r>
      <w:r w:rsidR="0029749C" w:rsidRPr="00085C5E">
        <w:t xml:space="preserve">The device need not look inside the home; heat </w:t>
      </w:r>
      <w:r w:rsidR="0025578C" w:rsidRPr="00085C5E">
        <w:t>detect</w:t>
      </w:r>
      <w:r w:rsidR="00D14EE4">
        <w:t>ed</w:t>
      </w:r>
      <w:r w:rsidR="0025578C" w:rsidRPr="00085C5E">
        <w:t xml:space="preserve"> </w:t>
      </w:r>
      <w:r w:rsidR="0029749C" w:rsidRPr="00085C5E">
        <w:t>emanat</w:t>
      </w:r>
      <w:r w:rsidR="0025578C" w:rsidRPr="00085C5E">
        <w:t>ing</w:t>
      </w:r>
      <w:r w:rsidR="0029749C" w:rsidRPr="00085C5E">
        <w:t xml:space="preserve"> from the walls of the house, sound detected by a </w:t>
      </w:r>
      <w:r w:rsidR="00E91AA3" w:rsidRPr="00085C5E">
        <w:t>high-powered</w:t>
      </w:r>
      <w:r w:rsidR="0029749C" w:rsidRPr="00085C5E">
        <w:t xml:space="preserve"> microphone, and light</w:t>
      </w:r>
      <w:r w:rsidR="0025578C" w:rsidRPr="00085C5E">
        <w:t xml:space="preserve"> emanating from a house</w:t>
      </w:r>
      <w:r w:rsidR="0029749C" w:rsidRPr="00085C5E">
        <w:t xml:space="preserve"> detected by a satellite </w:t>
      </w:r>
      <w:r w:rsidR="00E91AA3" w:rsidRPr="00085C5E">
        <w:t>are similarly protected.</w:t>
      </w:r>
      <w:r w:rsidR="00E91AA3" w:rsidRPr="00085C5E">
        <w:rPr>
          <w:rStyle w:val="FootnoteReference"/>
          <w:rFonts w:eastAsia="Times New Roman"/>
          <w:color w:val="000000" w:themeColor="text1"/>
        </w:rPr>
        <w:footnoteReference w:id="8"/>
      </w:r>
    </w:p>
    <w:p w14:paraId="4619091C" w14:textId="3421F64E" w:rsidR="00D433A3" w:rsidRPr="00085C5E" w:rsidRDefault="004729A8" w:rsidP="007B59E6">
      <w:r w:rsidRPr="00085C5E">
        <w:rPr>
          <w:i/>
          <w:iCs/>
        </w:rPr>
        <w:t>Kyllo</w:t>
      </w:r>
      <w:r w:rsidR="00A23D13" w:rsidRPr="00085C5E">
        <w:t xml:space="preserve"> extend</w:t>
      </w:r>
      <w:r w:rsidR="0025578C" w:rsidRPr="00085C5E">
        <w:t>s</w:t>
      </w:r>
      <w:r w:rsidR="00A23D13" w:rsidRPr="00085C5E">
        <w:t xml:space="preserve"> to FRT if </w:t>
      </w:r>
      <w:r w:rsidR="00E91AA3" w:rsidRPr="00085C5E">
        <w:t>three</w:t>
      </w:r>
      <w:r w:rsidR="00A23D13" w:rsidRPr="00085C5E">
        <w:t xml:space="preserve"> conditions are met: 1) the FRT must not be in public use</w:t>
      </w:r>
      <w:r w:rsidR="00032EC2" w:rsidRPr="00085C5E">
        <w:t>,</w:t>
      </w:r>
      <w:r w:rsidR="00A23D13" w:rsidRPr="00085C5E">
        <w:t xml:space="preserve"> 2) the protections of the home must extend to </w:t>
      </w:r>
      <w:r w:rsidR="00E91AA3" w:rsidRPr="00085C5E">
        <w:t>a</w:t>
      </w:r>
      <w:r w:rsidR="00A23D13" w:rsidRPr="00085C5E">
        <w:t xml:space="preserve"> person</w:t>
      </w:r>
      <w:r w:rsidR="00E91AA3" w:rsidRPr="00085C5E">
        <w:t xml:space="preserve"> in public, and 3)</w:t>
      </w:r>
      <w:r w:rsidR="00A321E0" w:rsidRPr="00085C5E">
        <w:t xml:space="preserve"> that details would only be known with a more invasive search or seizure.</w:t>
      </w:r>
    </w:p>
    <w:p w14:paraId="0E58AB28" w14:textId="20C7BB7D" w:rsidR="00971504" w:rsidRPr="00085C5E" w:rsidRDefault="00E91AA3" w:rsidP="007B59E6">
      <w:r w:rsidRPr="00085C5E">
        <w:t>First, the FRT used by law enforcement must not be in public use. A novice coder can use open-source tools to create their own basic facial recognition program</w:t>
      </w:r>
      <w:r w:rsidR="00485320" w:rsidRPr="00085C5E">
        <w:t xml:space="preserve"> (see Section II.A)</w:t>
      </w:r>
      <w:r w:rsidRPr="00085C5E">
        <w:t xml:space="preserve">. </w:t>
      </w:r>
      <w:r w:rsidRPr="00085C5E">
        <w:lastRenderedPageBreak/>
        <w:t xml:space="preserve">Law enforcement differs in that they are presumably using a proprietary software not available to individuals and that they are comparing images to a database not in public use. Databases require a massive number of images. Training a large </w:t>
      </w:r>
      <w:r w:rsidR="00CB3458" w:rsidRPr="00085C5E">
        <w:t xml:space="preserve">and accurate </w:t>
      </w:r>
      <w:r w:rsidRPr="00085C5E">
        <w:t>database requires</w:t>
      </w:r>
      <w:r w:rsidR="00CB3458" w:rsidRPr="00085C5E">
        <w:t xml:space="preserve"> proprietary tools</w:t>
      </w:r>
      <w:r w:rsidR="00485320" w:rsidRPr="00085C5E">
        <w:t xml:space="preserve">, </w:t>
      </w:r>
      <w:r w:rsidR="00CB3458" w:rsidRPr="00085C5E">
        <w:t>massive computing power, and</w:t>
      </w:r>
      <w:r w:rsidRPr="00085C5E">
        <w:t xml:space="preserve"> resources not in regular use.</w:t>
      </w:r>
    </w:p>
    <w:p w14:paraId="240C909A" w14:textId="14597FEF" w:rsidR="00855894" w:rsidRPr="00085C5E" w:rsidRDefault="0025578C" w:rsidP="007B59E6">
      <w:r w:rsidRPr="00085C5E">
        <w:t xml:space="preserve">That amateurs can make a simple model is not dispositive. Millions of Americans </w:t>
      </w:r>
      <w:r w:rsidR="00D14EE4" w:rsidRPr="00085C5E">
        <w:t>train</w:t>
      </w:r>
      <w:r w:rsidRPr="00085C5E">
        <w:t xml:space="preserve"> their dogs</w:t>
      </w:r>
      <w:r w:rsidR="00D14EE4">
        <w:t xml:space="preserve"> to perform</w:t>
      </w:r>
      <w:r w:rsidRPr="00085C5E">
        <w:t xml:space="preserve"> basic tricks, but that doesn’t mean a</w:t>
      </w:r>
      <w:r w:rsidR="00855894" w:rsidRPr="00085C5E">
        <w:t xml:space="preserve"> drug-sniffing dog </w:t>
      </w:r>
      <w:r w:rsidRPr="00085C5E">
        <w:t>(</w:t>
      </w:r>
      <w:r w:rsidR="006D1056" w:rsidRPr="00085C5E">
        <w:t>comparable to high-powered</w:t>
      </w:r>
      <w:r w:rsidR="00855894" w:rsidRPr="00085C5E">
        <w:t xml:space="preserve"> </w:t>
      </w:r>
      <w:r w:rsidR="006D1056" w:rsidRPr="00085C5E">
        <w:t>binoculars</w:t>
      </w:r>
      <w:r w:rsidRPr="00085C5E">
        <w:t>) is in general use</w:t>
      </w:r>
      <w:r w:rsidR="006D1056" w:rsidRPr="00085C5E">
        <w:t>.</w:t>
      </w:r>
      <w:r w:rsidR="00855894" w:rsidRPr="00085C5E">
        <w:rPr>
          <w:rStyle w:val="FootnoteReference"/>
        </w:rPr>
        <w:footnoteReference w:id="9"/>
      </w:r>
    </w:p>
    <w:p w14:paraId="33EC0A6B" w14:textId="6BE56913" w:rsidR="00A706C9" w:rsidRPr="00085C5E" w:rsidRDefault="00E91AA3" w:rsidP="00455267">
      <w:r w:rsidRPr="00085C5E">
        <w:t>Second</w:t>
      </w:r>
      <w:r w:rsidR="00A706C9" w:rsidRPr="00085C5E">
        <w:t xml:space="preserve">, the Court must be willing to extend </w:t>
      </w:r>
      <w:r w:rsidR="00A706C9" w:rsidRPr="00D14EE4">
        <w:rPr>
          <w:i/>
          <w:iCs/>
        </w:rPr>
        <w:t>Kyllo</w:t>
      </w:r>
      <w:r w:rsidR="00A706C9" w:rsidRPr="00085C5E">
        <w:t xml:space="preserve"> protections from the home to the person. The home is considered</w:t>
      </w:r>
      <w:r w:rsidR="00A706C9" w:rsidRPr="00085C5E">
        <w:rPr>
          <w:rFonts w:eastAsia="Times New Roman"/>
          <w:shd w:val="clear" w:color="auto" w:fill="FFFFFF"/>
        </w:rPr>
        <w:t xml:space="preserve"> “</w:t>
      </w:r>
      <w:r w:rsidR="00A706C9" w:rsidRPr="00085C5E">
        <w:rPr>
          <w:rFonts w:eastAsia="Times New Roman"/>
          <w:bdr w:val="none" w:sz="0" w:space="0" w:color="auto" w:frame="1"/>
          <w:shd w:val="clear" w:color="auto" w:fill="FFFFFF"/>
        </w:rPr>
        <w:t xml:space="preserve">sacred” for purposes of </w:t>
      </w:r>
      <w:r w:rsidR="00914913" w:rsidRPr="00085C5E">
        <w:rPr>
          <w:rFonts w:eastAsia="Times New Roman"/>
          <w:bdr w:val="none" w:sz="0" w:space="0" w:color="auto" w:frame="1"/>
          <w:shd w:val="clear" w:color="auto" w:fill="FFFFFF"/>
        </w:rPr>
        <w:t>Fourth Amendment</w:t>
      </w:r>
      <w:r w:rsidR="00A706C9" w:rsidRPr="00085C5E">
        <w:rPr>
          <w:rFonts w:eastAsia="Times New Roman"/>
          <w:bdr w:val="none" w:sz="0" w:space="0" w:color="auto" w:frame="1"/>
          <w:shd w:val="clear" w:color="auto" w:fill="FFFFFF"/>
        </w:rPr>
        <w:t xml:space="preserve"> protection</w:t>
      </w:r>
      <w:r w:rsidR="00D265D1" w:rsidRPr="00085C5E">
        <w:rPr>
          <w:rFonts w:eastAsia="Times New Roman"/>
          <w:bdr w:val="none" w:sz="0" w:space="0" w:color="auto" w:frame="1"/>
          <w:shd w:val="clear" w:color="auto" w:fill="FFFFFF"/>
        </w:rPr>
        <w:t>.</w:t>
      </w:r>
      <w:r w:rsidR="00A706C9" w:rsidRPr="00085C5E">
        <w:rPr>
          <w:rStyle w:val="FootnoteReference"/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footnoteReference w:id="10"/>
      </w:r>
      <w:r w:rsidR="00A706C9" w:rsidRPr="00085C5E">
        <w:rPr>
          <w:rFonts w:eastAsia="Times New Roman"/>
        </w:rPr>
        <w:t xml:space="preserve"> But “</w:t>
      </w:r>
      <w:r w:rsidR="00A706C9" w:rsidRPr="00085C5E">
        <w:rPr>
          <w:rFonts w:eastAsia="Times New Roman"/>
          <w:shd w:val="clear" w:color="auto" w:fill="FFFFFF"/>
        </w:rPr>
        <w:t>the </w:t>
      </w:r>
      <w:r w:rsidR="00914913" w:rsidRPr="00085C5E">
        <w:rPr>
          <w:rFonts w:eastAsia="Times New Roman"/>
          <w:bdr w:val="none" w:sz="0" w:space="0" w:color="auto" w:frame="1"/>
          <w:shd w:val="clear" w:color="auto" w:fill="FFFFFF"/>
        </w:rPr>
        <w:t>Fourth Amendment</w:t>
      </w:r>
      <w:r w:rsidR="00A706C9" w:rsidRPr="00085C5E">
        <w:rPr>
          <w:rFonts w:eastAsia="Times New Roman"/>
          <w:shd w:val="clear" w:color="auto" w:fill="FFFFFF"/>
        </w:rPr>
        <w:t> protects people, not places.</w:t>
      </w:r>
      <w:r w:rsidR="00A706C9" w:rsidRPr="00085C5E">
        <w:rPr>
          <w:rFonts w:eastAsia="Times New Roman"/>
        </w:rPr>
        <w:t>”</w:t>
      </w:r>
      <w:r w:rsidR="00A706C9" w:rsidRPr="00085C5E">
        <w:rPr>
          <w:rStyle w:val="FootnoteReference"/>
          <w:rFonts w:eastAsia="Times New Roman"/>
          <w:color w:val="000000" w:themeColor="text1"/>
        </w:rPr>
        <w:footnoteReference w:id="11"/>
      </w:r>
      <w:r w:rsidR="00A706C9" w:rsidRPr="00085C5E">
        <w:rPr>
          <w:rFonts w:eastAsia="Times New Roman"/>
        </w:rPr>
        <w:t xml:space="preserve"> </w:t>
      </w:r>
      <w:r w:rsidR="00455267" w:rsidRPr="00085C5E">
        <w:rPr>
          <w:rFonts w:eastAsia="Times New Roman"/>
        </w:rPr>
        <w:t>And an “intrusion into the human body” is “an invasion of cherished personal security that is subject to constitutional scrutiny.”</w:t>
      </w:r>
      <w:r w:rsidR="00455267" w:rsidRPr="00085C5E">
        <w:rPr>
          <w:rStyle w:val="FootnoteReference"/>
          <w:rFonts w:eastAsia="Times New Roman"/>
        </w:rPr>
        <w:footnoteReference w:id="12"/>
      </w:r>
      <w:r w:rsidR="00455267" w:rsidRPr="00085C5E">
        <w:rPr>
          <w:rFonts w:eastAsia="Times New Roman"/>
        </w:rPr>
        <w:t xml:space="preserve"> </w:t>
      </w:r>
      <w:r w:rsidR="00A706C9" w:rsidRPr="00085C5E">
        <w:t xml:space="preserve">If these two conditions are met, it follows that the features extracted from processing an image are akin to </w:t>
      </w:r>
      <w:r w:rsidR="00A706C9" w:rsidRPr="00085C5E">
        <w:rPr>
          <w:i/>
          <w:iCs/>
        </w:rPr>
        <w:t>Kyllo’s</w:t>
      </w:r>
      <w:r w:rsidR="00A706C9" w:rsidRPr="00085C5E">
        <w:t xml:space="preserve"> thermal camera processing heat emanating</w:t>
      </w:r>
      <w:r w:rsidRPr="00085C5E">
        <w:t xml:space="preserve"> from the house. After all, Kyllo is an extension of the </w:t>
      </w:r>
      <w:r w:rsidRPr="00D14EE4">
        <w:rPr>
          <w:i/>
          <w:iCs/>
        </w:rPr>
        <w:t>Katz</w:t>
      </w:r>
      <w:r w:rsidRPr="00085C5E">
        <w:t xml:space="preserve"> reasonable expectation of privacy. In </w:t>
      </w:r>
      <w:r w:rsidRPr="00085C5E">
        <w:rPr>
          <w:i/>
          <w:iCs/>
        </w:rPr>
        <w:t>Katz</w:t>
      </w:r>
      <w:r w:rsidRPr="00085C5E">
        <w:t>, the occupant of a glass telephone booth was not protected from being seen in public; they were protected from the use of a high-powered eavesdropping tool in place where they expected aural privacy.</w:t>
      </w:r>
      <w:r w:rsidRPr="00085C5E">
        <w:rPr>
          <w:rStyle w:val="FootnoteReference"/>
          <w:color w:val="000000" w:themeColor="text1"/>
        </w:rPr>
        <w:footnoteReference w:id="13"/>
      </w:r>
      <w:r w:rsidR="00D10553" w:rsidRPr="00085C5E">
        <w:t xml:space="preserve"> Applied to FRT, one can expect their face is seen in public without being algorithmically processed and identified against a massive database.</w:t>
      </w:r>
    </w:p>
    <w:p w14:paraId="5AFCF8DC" w14:textId="64C66315" w:rsidR="0025578C" w:rsidRPr="00085C5E" w:rsidRDefault="0025578C" w:rsidP="00455267">
      <w:pPr>
        <w:rPr>
          <w:rFonts w:eastAsia="Times New Roman"/>
        </w:rPr>
      </w:pPr>
      <w:r w:rsidRPr="00085C5E">
        <w:lastRenderedPageBreak/>
        <w:t>That someone exposes their face to the world is not dispositive. People expose their breath and other bodily waste to the public with a reasonable expectation of privacy that it is not used to create a massive identification database.</w:t>
      </w:r>
    </w:p>
    <w:p w14:paraId="4BA0418F" w14:textId="24998D96" w:rsidR="00743C03" w:rsidRPr="00085C5E" w:rsidRDefault="00A706C9" w:rsidP="007B59E6">
      <w:r w:rsidRPr="00085C5E">
        <w:t xml:space="preserve">Third, </w:t>
      </w:r>
      <w:r w:rsidR="00A4069B">
        <w:t>the FRT</w:t>
      </w:r>
      <w:r w:rsidR="00743C03" w:rsidRPr="00085C5E">
        <w:t xml:space="preserve"> search would also need to </w:t>
      </w:r>
      <w:r w:rsidR="00032EC2" w:rsidRPr="00085C5E">
        <w:t>“explore details of the” person that would be other</w:t>
      </w:r>
      <w:r w:rsidR="00D14EE4">
        <w:t>wise</w:t>
      </w:r>
      <w:r w:rsidR="00032EC2" w:rsidRPr="00085C5E">
        <w:t xml:space="preserve"> known only thanks to a </w:t>
      </w:r>
      <w:r w:rsidRPr="00085C5E">
        <w:t>search or seizure</w:t>
      </w:r>
      <w:r w:rsidR="00032EC2" w:rsidRPr="00085C5E">
        <w:t>.</w:t>
      </w:r>
      <w:r w:rsidR="00032EC2" w:rsidRPr="00085C5E">
        <w:rPr>
          <w:rStyle w:val="FootnoteReference"/>
          <w:color w:val="000000" w:themeColor="text1"/>
        </w:rPr>
        <w:footnoteReference w:id="14"/>
      </w:r>
      <w:r w:rsidR="00E91AA3" w:rsidRPr="00085C5E">
        <w:t xml:space="preserve"> </w:t>
      </w:r>
      <w:r w:rsidR="00A4069B">
        <w:rPr>
          <w:rFonts w:eastAsia="Times New Roman"/>
          <w:shd w:val="clear" w:color="auto" w:fill="FFFFFF"/>
        </w:rPr>
        <w:t xml:space="preserve">Applied to the home in </w:t>
      </w:r>
      <w:r w:rsidR="00A4069B" w:rsidRPr="00A4069B">
        <w:rPr>
          <w:rFonts w:eastAsia="Times New Roman"/>
          <w:i/>
          <w:iCs/>
          <w:shd w:val="clear" w:color="auto" w:fill="FFFFFF"/>
        </w:rPr>
        <w:t>Kyllo</w:t>
      </w:r>
      <w:r w:rsidR="00A4069B">
        <w:rPr>
          <w:rFonts w:eastAsia="Times New Roman"/>
          <w:shd w:val="clear" w:color="auto" w:fill="FFFFFF"/>
        </w:rPr>
        <w:t>, the details included</w:t>
      </w:r>
      <w:r w:rsidRPr="00085C5E">
        <w:rPr>
          <w:rFonts w:eastAsia="Times New Roman"/>
          <w:shd w:val="clear" w:color="auto" w:fill="FFFFFF"/>
        </w:rPr>
        <w:t xml:space="preserve"> “</w:t>
      </w:r>
      <w:r w:rsidR="00032EC2" w:rsidRPr="00085C5E">
        <w:rPr>
          <w:rFonts w:eastAsia="Times New Roman"/>
          <w:shd w:val="clear" w:color="auto" w:fill="FFFFFF"/>
        </w:rPr>
        <w:t>any information regarding the interior of the home that could not otherwise have been obtained without physical intrusion into a constitutionally protected area</w:t>
      </w:r>
      <w:r w:rsidRPr="00085C5E">
        <w:rPr>
          <w:rFonts w:eastAsia="Times New Roman"/>
          <w:shd w:val="clear" w:color="auto" w:fill="FFFFFF"/>
        </w:rPr>
        <w:t>.”</w:t>
      </w:r>
      <w:r w:rsidRPr="00085C5E">
        <w:rPr>
          <w:rStyle w:val="FootnoteReference"/>
          <w:rFonts w:eastAsia="Times New Roman"/>
          <w:color w:val="000000" w:themeColor="text1"/>
          <w:shd w:val="clear" w:color="auto" w:fill="FFFFFF"/>
        </w:rPr>
        <w:footnoteReference w:id="15"/>
      </w:r>
      <w:r w:rsidR="00E91AA3" w:rsidRPr="00085C5E">
        <w:t xml:space="preserve"> </w:t>
      </w:r>
      <w:r w:rsidRPr="00085C5E">
        <w:t xml:space="preserve">As discussed, in </w:t>
      </w:r>
      <w:r w:rsidR="00D10553" w:rsidRPr="00085C5E">
        <w:t>Section III</w:t>
      </w:r>
      <w:r w:rsidRPr="00085C5E">
        <w:t>, identification is usually linked to a seizure.</w:t>
      </w:r>
      <w:r w:rsidR="00E91AA3" w:rsidRPr="00085C5E">
        <w:t xml:space="preserve"> A defendant challenging an FRT identification would have to show that they could not be identified by the police officer without being seized. If they were already legally seized (</w:t>
      </w:r>
      <w:r w:rsidR="008F7FCF" w:rsidRPr="00085C5E">
        <w:t>e.g.,</w:t>
      </w:r>
      <w:r w:rsidR="00E91AA3" w:rsidRPr="00085C5E">
        <w:t xml:space="preserve"> in a traffic stop or </w:t>
      </w:r>
      <w:r w:rsidR="00E91AA3" w:rsidRPr="00085C5E">
        <w:rPr>
          <w:i/>
          <w:iCs/>
        </w:rPr>
        <w:t>Terry</w:t>
      </w:r>
      <w:r w:rsidR="00E91AA3" w:rsidRPr="00085C5E">
        <w:t xml:space="preserve"> stop) then the officer could constitutionally compel identification.</w:t>
      </w:r>
    </w:p>
    <w:p w14:paraId="650F9692" w14:textId="45F7528F" w:rsidR="00A321E0" w:rsidRPr="00085C5E" w:rsidRDefault="00A321E0" w:rsidP="007B59E6">
      <w:r w:rsidRPr="00085C5E">
        <w:t>Courts could rule that the technology is not in public use</w:t>
      </w:r>
      <w:r w:rsidR="00D10553" w:rsidRPr="00085C5E">
        <w:t xml:space="preserve">, but it would require a liberal application of </w:t>
      </w:r>
      <w:r w:rsidR="00D10553" w:rsidRPr="00085C5E">
        <w:rPr>
          <w:i/>
          <w:iCs/>
        </w:rPr>
        <w:t>Kyllo</w:t>
      </w:r>
      <w:r w:rsidR="00D10553" w:rsidRPr="00085C5E">
        <w:t>. Prongs one and two, above, are the most challenging hurdles. Courts would need to distinguish the massive proprietary commercial or law enforcement databases from amateur technology</w:t>
      </w:r>
      <w:r w:rsidR="00A73EAD" w:rsidRPr="00085C5E">
        <w:t xml:space="preserve"> and</w:t>
      </w:r>
      <w:r w:rsidR="00D10553" w:rsidRPr="00085C5E">
        <w:t xml:space="preserve"> extend protections </w:t>
      </w:r>
      <w:r w:rsidR="00A4069B">
        <w:t>of</w:t>
      </w:r>
      <w:r w:rsidR="00D10553" w:rsidRPr="00085C5E">
        <w:t xml:space="preserve"> the home to people in public</w:t>
      </w:r>
      <w:r w:rsidR="00A73EAD" w:rsidRPr="00085C5E">
        <w:t xml:space="preserve"> in possible conflict with plain view, </w:t>
      </w:r>
      <w:r w:rsidR="00A73EAD" w:rsidRPr="00085C5E">
        <w:rPr>
          <w:i/>
          <w:iCs/>
        </w:rPr>
        <w:t>Knotts</w:t>
      </w:r>
      <w:r w:rsidR="00A73EAD" w:rsidRPr="00085C5E">
        <w:t xml:space="preserve"> tracking, and third-party doctrine</w:t>
      </w:r>
      <w:r w:rsidR="00D10553" w:rsidRPr="00085C5E">
        <w:t>.</w:t>
      </w:r>
    </w:p>
    <w:p w14:paraId="1CF8E3A9" w14:textId="3DD429FF" w:rsidR="00E60E52" w:rsidRPr="00A706C9" w:rsidRDefault="00BB0350" w:rsidP="00DE6228">
      <w:r>
        <w:t xml:space="preserve"> </w:t>
      </w:r>
    </w:p>
    <w:sectPr w:rsidR="00E60E52" w:rsidRPr="00A706C9" w:rsidSect="0056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FF54" w14:textId="77777777" w:rsidR="007432B7" w:rsidRDefault="007432B7" w:rsidP="007B59E6">
      <w:r>
        <w:separator/>
      </w:r>
    </w:p>
  </w:endnote>
  <w:endnote w:type="continuationSeparator" w:id="0">
    <w:p w14:paraId="5595C159" w14:textId="77777777" w:rsidR="007432B7" w:rsidRDefault="007432B7" w:rsidP="007B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C501" w14:textId="77777777" w:rsidR="007432B7" w:rsidRDefault="007432B7" w:rsidP="007B59E6">
      <w:r>
        <w:separator/>
      </w:r>
    </w:p>
  </w:footnote>
  <w:footnote w:type="continuationSeparator" w:id="0">
    <w:p w14:paraId="68B069A2" w14:textId="77777777" w:rsidR="007432B7" w:rsidRDefault="007432B7" w:rsidP="007B59E6">
      <w:r>
        <w:continuationSeparator/>
      </w:r>
    </w:p>
  </w:footnote>
  <w:footnote w:id="1">
    <w:p w14:paraId="62D586C6" w14:textId="77777777" w:rsidR="008A3E82" w:rsidRPr="008A3E82" w:rsidRDefault="008A3E82" w:rsidP="008A3E82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United States v. Mendenhall</w:t>
      </w:r>
      <w:r w:rsidRPr="008A3E82">
        <w:t>, 446 U.S. 544, 553-54 (1980).</w:t>
      </w:r>
    </w:p>
  </w:footnote>
  <w:footnote w:id="2">
    <w:p w14:paraId="71D98607" w14:textId="24101D0A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See Hiibel v. Sixth Judicial Dist. Court of Nevada, Humboldt Cty.</w:t>
      </w:r>
      <w:r w:rsidRPr="008A3E82">
        <w:t>, 542 U.S. 177, 188 (2004) (</w:t>
      </w:r>
      <w:r w:rsidR="00FC229E">
        <w:t>h</w:t>
      </w:r>
      <w:r w:rsidR="00BB0350" w:rsidRPr="008A3E82">
        <w:t xml:space="preserve">olding that </w:t>
      </w:r>
      <w:r w:rsidRPr="008A3E82">
        <w:t>“</w:t>
      </w:r>
      <w:r w:rsidR="00BB0350" w:rsidRPr="008A3E82">
        <w:t>t</w:t>
      </w:r>
      <w:r w:rsidRPr="008A3E82">
        <w:t xml:space="preserve">he request for identity has an immediate relation to the purpose, rationale, and practical demands of a Terry stop”); </w:t>
      </w:r>
      <w:r w:rsidRPr="008A3E82">
        <w:rPr>
          <w:i/>
          <w:iCs/>
        </w:rPr>
        <w:t>Brown v. Texas</w:t>
      </w:r>
      <w:r w:rsidRPr="008A3E82">
        <w:t>, 443 U.S. 47, 50 (1979) (</w:t>
      </w:r>
      <w:r w:rsidR="00FC229E">
        <w:t>h</w:t>
      </w:r>
      <w:r w:rsidR="00BB0350" w:rsidRPr="008A3E82">
        <w:t>olding that s</w:t>
      </w:r>
      <w:r w:rsidRPr="008A3E82">
        <w:t xml:space="preserve">topping someone and requiring them to identify himself is a seizure); </w:t>
      </w:r>
      <w:r w:rsidRPr="008A3E82">
        <w:rPr>
          <w:i/>
          <w:iCs/>
        </w:rPr>
        <w:t>Hayes v. Fla.</w:t>
      </w:r>
      <w:r w:rsidRPr="008A3E82">
        <w:t>, 470 U.S. 811, 814 (1985) (</w:t>
      </w:r>
      <w:r w:rsidR="00FC229E">
        <w:t>h</w:t>
      </w:r>
      <w:r w:rsidR="00BB0350" w:rsidRPr="008A3E82">
        <w:t xml:space="preserve">olding that </w:t>
      </w:r>
      <w:r w:rsidRPr="008A3E82">
        <w:t>“</w:t>
      </w:r>
      <w:r w:rsidR="00BB0350" w:rsidRPr="008A3E82">
        <w:t>t</w:t>
      </w:r>
      <w:r w:rsidRPr="008A3E82">
        <w:t>aking a suspect to the police station for fingerprints without probable cause was an illegal seizure”).</w:t>
      </w:r>
    </w:p>
  </w:footnote>
  <w:footnote w:id="3">
    <w:p w14:paraId="47473630" w14:textId="36F9C65D" w:rsidR="006D6313" w:rsidRPr="008A3E82" w:rsidRDefault="006D6313" w:rsidP="003D29C6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See</w:t>
      </w:r>
      <w:r w:rsidRPr="008A3E82">
        <w:t xml:space="preserve"> 18 U.S.C</w:t>
      </w:r>
      <w:r w:rsidR="002D539E">
        <w:t>.</w:t>
      </w:r>
      <w:r w:rsidRPr="008A3E82">
        <w:t xml:space="preserve"> § § 2703(b), 2705</w:t>
      </w:r>
      <w:r w:rsidR="002D539E">
        <w:t>.</w:t>
      </w:r>
      <w:r w:rsidRPr="008A3E82">
        <w:t xml:space="preserve"> </w:t>
      </w:r>
    </w:p>
  </w:footnote>
  <w:footnote w:id="4">
    <w:p w14:paraId="27ACA715" w14:textId="786ADEFF" w:rsidR="006D6313" w:rsidRPr="008A3E82" w:rsidRDefault="006D6313" w:rsidP="00781F5A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18 U.S.C</w:t>
      </w:r>
      <w:r w:rsidR="002D539E">
        <w:t>.</w:t>
      </w:r>
      <w:r w:rsidRPr="008A3E82">
        <w:t xml:space="preserve"> § 2510 et seq.</w:t>
      </w:r>
    </w:p>
  </w:footnote>
  <w:footnote w:id="5">
    <w:p w14:paraId="22275505" w14:textId="737F94B5" w:rsidR="006D6313" w:rsidRPr="008A3E82" w:rsidRDefault="006D6313" w:rsidP="00781F5A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="00DE6228" w:rsidRPr="00DE6228">
        <w:rPr>
          <w:i/>
          <w:iCs/>
        </w:rPr>
        <w:t xml:space="preserve">U.S. v. </w:t>
      </w:r>
      <w:r w:rsidRPr="008A3E82">
        <w:rPr>
          <w:i/>
          <w:iCs/>
        </w:rPr>
        <w:t>Knotts</w:t>
      </w:r>
      <w:r w:rsidRPr="008A3E82">
        <w:t xml:space="preserve">, 460 U.S. </w:t>
      </w:r>
      <w:r w:rsidR="00DE6228">
        <w:t xml:space="preserve">276, </w:t>
      </w:r>
      <w:r w:rsidRPr="008A3E82">
        <w:t>281.</w:t>
      </w:r>
    </w:p>
  </w:footnote>
  <w:footnote w:id="6">
    <w:p w14:paraId="5EF2A1D8" w14:textId="327A843F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Kyllo v. United States</w:t>
      </w:r>
      <w:r w:rsidRPr="008A3E82">
        <w:t>, 533 U.S. 27, 40 (2001).</w:t>
      </w:r>
    </w:p>
  </w:footnote>
  <w:footnote w:id="7">
    <w:p w14:paraId="618E0BB4" w14:textId="47A3F0DC" w:rsidR="006D6313" w:rsidRPr="008A3E82" w:rsidRDefault="006D6313" w:rsidP="003D29C6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Id.</w:t>
      </w:r>
      <w:r w:rsidRPr="008A3E82">
        <w:t xml:space="preserve"> </w:t>
      </w:r>
      <w:r w:rsidR="002D539E">
        <w:t xml:space="preserve">at </w:t>
      </w:r>
      <w:r w:rsidRPr="008A3E82">
        <w:t>34-35.</w:t>
      </w:r>
    </w:p>
  </w:footnote>
  <w:footnote w:id="8">
    <w:p w14:paraId="60ABB255" w14:textId="6E91E7D7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Id.</w:t>
      </w:r>
      <w:r w:rsidRPr="008A3E82">
        <w:t xml:space="preserve"> at 35-36.</w:t>
      </w:r>
    </w:p>
  </w:footnote>
  <w:footnote w:id="9">
    <w:p w14:paraId="07826103" w14:textId="460137E8" w:rsidR="006D6313" w:rsidRPr="008A3E82" w:rsidRDefault="006D6313" w:rsidP="003D29C6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Fl</w:t>
      </w:r>
      <w:r w:rsidR="00DE6228">
        <w:rPr>
          <w:i/>
          <w:iCs/>
        </w:rPr>
        <w:t>orida</w:t>
      </w:r>
      <w:r w:rsidRPr="008A3E82">
        <w:rPr>
          <w:i/>
          <w:iCs/>
        </w:rPr>
        <w:t xml:space="preserve"> v. Jardines</w:t>
      </w:r>
      <w:r w:rsidRPr="008A3E82">
        <w:t xml:space="preserve">, </w:t>
      </w:r>
      <w:r w:rsidR="00DE6228" w:rsidRPr="00DE6228">
        <w:t>133 S.</w:t>
      </w:r>
      <w:r w:rsidR="00DE6228">
        <w:t xml:space="preserve"> </w:t>
      </w:r>
      <w:r w:rsidR="00DE6228" w:rsidRPr="00DE6228">
        <w:t>Ct. 1409</w:t>
      </w:r>
      <w:r w:rsidRPr="008A3E82">
        <w:t>, 1</w:t>
      </w:r>
      <w:r w:rsidR="00DE6228">
        <w:t>418</w:t>
      </w:r>
      <w:r w:rsidRPr="008A3E82">
        <w:t xml:space="preserve"> (2013) (Kagan, </w:t>
      </w:r>
      <w:r w:rsidR="00DE6228">
        <w:t xml:space="preserve">J., </w:t>
      </w:r>
      <w:r w:rsidRPr="008A3E82">
        <w:t>concurring)</w:t>
      </w:r>
    </w:p>
  </w:footnote>
  <w:footnote w:id="10">
    <w:p w14:paraId="533516B3" w14:textId="45D6745E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Id.</w:t>
      </w:r>
      <w:r w:rsidRPr="008A3E82">
        <w:t xml:space="preserve"> </w:t>
      </w:r>
      <w:r w:rsidRPr="008A3E82">
        <w:t xml:space="preserve">at </w:t>
      </w:r>
      <w:r w:rsidR="00DE6228">
        <w:t>1415</w:t>
      </w:r>
      <w:r w:rsidRPr="008A3E82">
        <w:t>.</w:t>
      </w:r>
    </w:p>
  </w:footnote>
  <w:footnote w:id="11">
    <w:p w14:paraId="36B4A9F8" w14:textId="77777777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Katz v. United States</w:t>
      </w:r>
      <w:r w:rsidRPr="008A3E82">
        <w:t>, 389 U.S. 347, 351 (1967).</w:t>
      </w:r>
    </w:p>
  </w:footnote>
  <w:footnote w:id="12">
    <w:p w14:paraId="7782E3BF" w14:textId="29705DE3" w:rsidR="006D6313" w:rsidRPr="008A3E82" w:rsidRDefault="006D6313" w:rsidP="003D29C6">
      <w:pPr>
        <w:pStyle w:val="FootnoteText"/>
        <w:spacing w:line="240" w:lineRule="auto"/>
        <w:ind w:firstLine="0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rFonts w:eastAsia="Times New Roman"/>
          <w:i/>
          <w:iCs/>
        </w:rPr>
        <w:t>Maryland v. King</w:t>
      </w:r>
      <w:r w:rsidRPr="008A3E82">
        <w:rPr>
          <w:rFonts w:eastAsia="Times New Roman"/>
        </w:rPr>
        <w:t>, 569 U.S. 435, 446 (2013)</w:t>
      </w:r>
      <w:r w:rsidR="002D539E">
        <w:rPr>
          <w:rFonts w:eastAsia="Times New Roman"/>
        </w:rPr>
        <w:t>.</w:t>
      </w:r>
    </w:p>
  </w:footnote>
  <w:footnote w:id="13">
    <w:p w14:paraId="5A5021C8" w14:textId="2B4D378E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Kyllo</w:t>
      </w:r>
      <w:r w:rsidRPr="008A3E82">
        <w:t>, 533 U.S. at 35.</w:t>
      </w:r>
    </w:p>
  </w:footnote>
  <w:footnote w:id="14">
    <w:p w14:paraId="749E07E5" w14:textId="56CE9F23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Kyllo</w:t>
      </w:r>
      <w:r w:rsidRPr="008A3E82">
        <w:t>, 533 U.S. at 40</w:t>
      </w:r>
      <w:r w:rsidR="002D539E">
        <w:t>.</w:t>
      </w:r>
    </w:p>
  </w:footnote>
  <w:footnote w:id="15">
    <w:p w14:paraId="01BAE0E8" w14:textId="3461D376" w:rsidR="006D6313" w:rsidRPr="008A3E82" w:rsidRDefault="006D6313" w:rsidP="003D29C6">
      <w:pPr>
        <w:pStyle w:val="NoSpacing"/>
      </w:pPr>
      <w:r w:rsidRPr="008A3E82">
        <w:rPr>
          <w:rStyle w:val="FootnoteReference"/>
        </w:rPr>
        <w:footnoteRef/>
      </w:r>
      <w:r w:rsidRPr="008A3E82">
        <w:t xml:space="preserve"> </w:t>
      </w:r>
      <w:r w:rsidRPr="008A3E82">
        <w:rPr>
          <w:i/>
          <w:iCs/>
        </w:rPr>
        <w:t>Id.</w:t>
      </w:r>
      <w:r w:rsidRPr="008A3E82">
        <w:t xml:space="preserve"> at 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C49"/>
    <w:multiLevelType w:val="hybridMultilevel"/>
    <w:tmpl w:val="344A4E8E"/>
    <w:lvl w:ilvl="0" w:tplc="DFA417E0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94CD6"/>
    <w:multiLevelType w:val="hybridMultilevel"/>
    <w:tmpl w:val="F9B2E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000A4"/>
    <w:multiLevelType w:val="hybridMultilevel"/>
    <w:tmpl w:val="655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50561"/>
    <w:multiLevelType w:val="hybridMultilevel"/>
    <w:tmpl w:val="0BBC9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34B49"/>
    <w:multiLevelType w:val="hybridMultilevel"/>
    <w:tmpl w:val="D8748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603CF"/>
    <w:multiLevelType w:val="hybridMultilevel"/>
    <w:tmpl w:val="CC2AF6DE"/>
    <w:lvl w:ilvl="0" w:tplc="258A6AE0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B36CB5"/>
    <w:multiLevelType w:val="hybridMultilevel"/>
    <w:tmpl w:val="6520EE6C"/>
    <w:lvl w:ilvl="0" w:tplc="61DC8F2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20EFD"/>
    <w:multiLevelType w:val="hybridMultilevel"/>
    <w:tmpl w:val="4538E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FA4E8D"/>
    <w:multiLevelType w:val="hybridMultilevel"/>
    <w:tmpl w:val="6EFE9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E2"/>
    <w:rsid w:val="000056A0"/>
    <w:rsid w:val="00007FEF"/>
    <w:rsid w:val="00032EC2"/>
    <w:rsid w:val="00045403"/>
    <w:rsid w:val="00047447"/>
    <w:rsid w:val="0005692A"/>
    <w:rsid w:val="000616DD"/>
    <w:rsid w:val="0007403F"/>
    <w:rsid w:val="00085C5E"/>
    <w:rsid w:val="000C039C"/>
    <w:rsid w:val="000D0AD4"/>
    <w:rsid w:val="000E6D37"/>
    <w:rsid w:val="001045C3"/>
    <w:rsid w:val="00133019"/>
    <w:rsid w:val="00164A39"/>
    <w:rsid w:val="001709E4"/>
    <w:rsid w:val="00175111"/>
    <w:rsid w:val="00184449"/>
    <w:rsid w:val="001A51CD"/>
    <w:rsid w:val="001B0B89"/>
    <w:rsid w:val="001B1E87"/>
    <w:rsid w:val="001C0001"/>
    <w:rsid w:val="001C0604"/>
    <w:rsid w:val="001C1039"/>
    <w:rsid w:val="001C47E4"/>
    <w:rsid w:val="001C4CF7"/>
    <w:rsid w:val="001C5F0A"/>
    <w:rsid w:val="001C72C6"/>
    <w:rsid w:val="001F29FD"/>
    <w:rsid w:val="002009F9"/>
    <w:rsid w:val="00204F27"/>
    <w:rsid w:val="00210758"/>
    <w:rsid w:val="00210A35"/>
    <w:rsid w:val="00211BBB"/>
    <w:rsid w:val="00226EB4"/>
    <w:rsid w:val="002355A6"/>
    <w:rsid w:val="00237CE7"/>
    <w:rsid w:val="00241B81"/>
    <w:rsid w:val="0025578C"/>
    <w:rsid w:val="00256BBD"/>
    <w:rsid w:val="00257007"/>
    <w:rsid w:val="002624EA"/>
    <w:rsid w:val="00274665"/>
    <w:rsid w:val="00281B64"/>
    <w:rsid w:val="002822DE"/>
    <w:rsid w:val="00290830"/>
    <w:rsid w:val="00291C17"/>
    <w:rsid w:val="00293F2D"/>
    <w:rsid w:val="0029749C"/>
    <w:rsid w:val="002A4F41"/>
    <w:rsid w:val="002B36DE"/>
    <w:rsid w:val="002D539E"/>
    <w:rsid w:val="002E14D8"/>
    <w:rsid w:val="002F014E"/>
    <w:rsid w:val="002F6F1E"/>
    <w:rsid w:val="0031021B"/>
    <w:rsid w:val="00321450"/>
    <w:rsid w:val="0032481F"/>
    <w:rsid w:val="00332EB2"/>
    <w:rsid w:val="003413AE"/>
    <w:rsid w:val="00344626"/>
    <w:rsid w:val="0034762C"/>
    <w:rsid w:val="00352878"/>
    <w:rsid w:val="00397FB1"/>
    <w:rsid w:val="003B449B"/>
    <w:rsid w:val="003B5287"/>
    <w:rsid w:val="003B7656"/>
    <w:rsid w:val="003D29C6"/>
    <w:rsid w:val="003D5D5F"/>
    <w:rsid w:val="003E3F66"/>
    <w:rsid w:val="003F00BD"/>
    <w:rsid w:val="00415917"/>
    <w:rsid w:val="00432F85"/>
    <w:rsid w:val="00433C1F"/>
    <w:rsid w:val="00447855"/>
    <w:rsid w:val="00455267"/>
    <w:rsid w:val="00456D62"/>
    <w:rsid w:val="0046417B"/>
    <w:rsid w:val="0046670E"/>
    <w:rsid w:val="00471E18"/>
    <w:rsid w:val="004729A8"/>
    <w:rsid w:val="00477C2B"/>
    <w:rsid w:val="00485320"/>
    <w:rsid w:val="00491C59"/>
    <w:rsid w:val="004B3EA4"/>
    <w:rsid w:val="004C1E1D"/>
    <w:rsid w:val="004C3310"/>
    <w:rsid w:val="004C7C31"/>
    <w:rsid w:val="004F4DB0"/>
    <w:rsid w:val="004F55E3"/>
    <w:rsid w:val="0050003D"/>
    <w:rsid w:val="0051173B"/>
    <w:rsid w:val="005131BD"/>
    <w:rsid w:val="00525066"/>
    <w:rsid w:val="005452BC"/>
    <w:rsid w:val="00546073"/>
    <w:rsid w:val="00551949"/>
    <w:rsid w:val="0056015B"/>
    <w:rsid w:val="005646E5"/>
    <w:rsid w:val="00567574"/>
    <w:rsid w:val="00581448"/>
    <w:rsid w:val="00591899"/>
    <w:rsid w:val="005C2BD4"/>
    <w:rsid w:val="005C4B56"/>
    <w:rsid w:val="005E2F66"/>
    <w:rsid w:val="00626D47"/>
    <w:rsid w:val="0063460B"/>
    <w:rsid w:val="0064009F"/>
    <w:rsid w:val="006502C4"/>
    <w:rsid w:val="00652737"/>
    <w:rsid w:val="00654BCE"/>
    <w:rsid w:val="0065553A"/>
    <w:rsid w:val="006613D1"/>
    <w:rsid w:val="00661EC7"/>
    <w:rsid w:val="00665E85"/>
    <w:rsid w:val="0067552B"/>
    <w:rsid w:val="0068721A"/>
    <w:rsid w:val="00694A53"/>
    <w:rsid w:val="006A2D9F"/>
    <w:rsid w:val="006B0582"/>
    <w:rsid w:val="006B4A54"/>
    <w:rsid w:val="006C04D6"/>
    <w:rsid w:val="006C5002"/>
    <w:rsid w:val="006D1056"/>
    <w:rsid w:val="006D6313"/>
    <w:rsid w:val="006D6D97"/>
    <w:rsid w:val="006F49B0"/>
    <w:rsid w:val="00713189"/>
    <w:rsid w:val="00740069"/>
    <w:rsid w:val="007432B7"/>
    <w:rsid w:val="00743C03"/>
    <w:rsid w:val="0074715F"/>
    <w:rsid w:val="00757D08"/>
    <w:rsid w:val="00761AE2"/>
    <w:rsid w:val="00765BF3"/>
    <w:rsid w:val="007740F8"/>
    <w:rsid w:val="00781F5A"/>
    <w:rsid w:val="00784021"/>
    <w:rsid w:val="00795B8F"/>
    <w:rsid w:val="007A248A"/>
    <w:rsid w:val="007B59E6"/>
    <w:rsid w:val="007B640F"/>
    <w:rsid w:val="007C46AB"/>
    <w:rsid w:val="007E250D"/>
    <w:rsid w:val="007F0813"/>
    <w:rsid w:val="00803612"/>
    <w:rsid w:val="0081050F"/>
    <w:rsid w:val="008416FD"/>
    <w:rsid w:val="008454D8"/>
    <w:rsid w:val="00855894"/>
    <w:rsid w:val="00862177"/>
    <w:rsid w:val="008A3E82"/>
    <w:rsid w:val="008B73C4"/>
    <w:rsid w:val="008C3E68"/>
    <w:rsid w:val="008C46A4"/>
    <w:rsid w:val="008D108E"/>
    <w:rsid w:val="008E3FF1"/>
    <w:rsid w:val="008F1EDD"/>
    <w:rsid w:val="008F7FCF"/>
    <w:rsid w:val="00914913"/>
    <w:rsid w:val="00917CA9"/>
    <w:rsid w:val="00920127"/>
    <w:rsid w:val="009207AE"/>
    <w:rsid w:val="009240D3"/>
    <w:rsid w:val="00925C36"/>
    <w:rsid w:val="009312D1"/>
    <w:rsid w:val="00934494"/>
    <w:rsid w:val="009471CD"/>
    <w:rsid w:val="009557A4"/>
    <w:rsid w:val="00971504"/>
    <w:rsid w:val="00972F70"/>
    <w:rsid w:val="0098441B"/>
    <w:rsid w:val="009879A2"/>
    <w:rsid w:val="009B6823"/>
    <w:rsid w:val="009C1587"/>
    <w:rsid w:val="009D472E"/>
    <w:rsid w:val="009F7C6F"/>
    <w:rsid w:val="00A054E6"/>
    <w:rsid w:val="00A112C8"/>
    <w:rsid w:val="00A23D13"/>
    <w:rsid w:val="00A321E0"/>
    <w:rsid w:val="00A37128"/>
    <w:rsid w:val="00A4069B"/>
    <w:rsid w:val="00A5218D"/>
    <w:rsid w:val="00A706C9"/>
    <w:rsid w:val="00A728A9"/>
    <w:rsid w:val="00A73C12"/>
    <w:rsid w:val="00A73EAD"/>
    <w:rsid w:val="00A93B51"/>
    <w:rsid w:val="00A9725A"/>
    <w:rsid w:val="00AA00CF"/>
    <w:rsid w:val="00AA4359"/>
    <w:rsid w:val="00AA74C2"/>
    <w:rsid w:val="00AC7AAB"/>
    <w:rsid w:val="00AD6ABA"/>
    <w:rsid w:val="00AD7EB8"/>
    <w:rsid w:val="00AE59C9"/>
    <w:rsid w:val="00AE5C60"/>
    <w:rsid w:val="00AF0BD0"/>
    <w:rsid w:val="00AF5175"/>
    <w:rsid w:val="00B0350B"/>
    <w:rsid w:val="00B05572"/>
    <w:rsid w:val="00B20608"/>
    <w:rsid w:val="00B20CA5"/>
    <w:rsid w:val="00B27231"/>
    <w:rsid w:val="00B30ACB"/>
    <w:rsid w:val="00B30BCA"/>
    <w:rsid w:val="00B46CC1"/>
    <w:rsid w:val="00B57263"/>
    <w:rsid w:val="00B652BB"/>
    <w:rsid w:val="00B718D6"/>
    <w:rsid w:val="00B752B5"/>
    <w:rsid w:val="00BB0350"/>
    <w:rsid w:val="00BB13DC"/>
    <w:rsid w:val="00BC01CA"/>
    <w:rsid w:val="00BD0C4F"/>
    <w:rsid w:val="00BD1A9F"/>
    <w:rsid w:val="00BD2C7E"/>
    <w:rsid w:val="00BD4FEB"/>
    <w:rsid w:val="00C01BB4"/>
    <w:rsid w:val="00C22F38"/>
    <w:rsid w:val="00C31CD2"/>
    <w:rsid w:val="00C45841"/>
    <w:rsid w:val="00C54BE8"/>
    <w:rsid w:val="00C93EE2"/>
    <w:rsid w:val="00CA7D01"/>
    <w:rsid w:val="00CB3458"/>
    <w:rsid w:val="00CD28FA"/>
    <w:rsid w:val="00CE0C2B"/>
    <w:rsid w:val="00CF1B2E"/>
    <w:rsid w:val="00D10553"/>
    <w:rsid w:val="00D12288"/>
    <w:rsid w:val="00D14EE4"/>
    <w:rsid w:val="00D265D1"/>
    <w:rsid w:val="00D433A3"/>
    <w:rsid w:val="00D63DF7"/>
    <w:rsid w:val="00D82E88"/>
    <w:rsid w:val="00D86C0D"/>
    <w:rsid w:val="00D96D24"/>
    <w:rsid w:val="00DA0565"/>
    <w:rsid w:val="00DA1565"/>
    <w:rsid w:val="00DB7E1C"/>
    <w:rsid w:val="00DC1AE6"/>
    <w:rsid w:val="00DD1C93"/>
    <w:rsid w:val="00DD78C4"/>
    <w:rsid w:val="00DE6228"/>
    <w:rsid w:val="00E129AD"/>
    <w:rsid w:val="00E170E5"/>
    <w:rsid w:val="00E60E52"/>
    <w:rsid w:val="00E63E33"/>
    <w:rsid w:val="00E775BC"/>
    <w:rsid w:val="00E91AA3"/>
    <w:rsid w:val="00EB2106"/>
    <w:rsid w:val="00EB560F"/>
    <w:rsid w:val="00EE100A"/>
    <w:rsid w:val="00EF4270"/>
    <w:rsid w:val="00EF6889"/>
    <w:rsid w:val="00F42CB6"/>
    <w:rsid w:val="00F67FD0"/>
    <w:rsid w:val="00F724E7"/>
    <w:rsid w:val="00F81AAA"/>
    <w:rsid w:val="00F8619B"/>
    <w:rsid w:val="00F926AF"/>
    <w:rsid w:val="00FA533D"/>
    <w:rsid w:val="00FB43F0"/>
    <w:rsid w:val="00FC229E"/>
    <w:rsid w:val="00FD08D1"/>
    <w:rsid w:val="00FD52D5"/>
    <w:rsid w:val="00FE028F"/>
    <w:rsid w:val="00FE26B1"/>
    <w:rsid w:val="00FE3DDE"/>
    <w:rsid w:val="00FE6CB4"/>
    <w:rsid w:val="00FE76B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5335"/>
  <w15:chartTrackingRefBased/>
  <w15:docId w15:val="{A2FDA088-5BE7-744D-8804-B94576FF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E6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9E6"/>
    <w:pPr>
      <w:keepNext/>
      <w:keepLines/>
      <w:numPr>
        <w:numId w:val="1"/>
      </w:numPr>
      <w:spacing w:after="240" w:line="240" w:lineRule="auto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706C9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B51"/>
    <w:pPr>
      <w:keepNext/>
      <w:keepLines/>
      <w:numPr>
        <w:numId w:val="3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EE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9B6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68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82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59E6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706C9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525066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2288"/>
    <w:pPr>
      <w:tabs>
        <w:tab w:val="left" w:pos="480"/>
        <w:tab w:val="left" w:pos="1200"/>
        <w:tab w:val="right" w:leader="dot" w:pos="9350"/>
      </w:tabs>
      <w:spacing w:before="120" w:line="240" w:lineRule="auto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2481F"/>
    <w:pPr>
      <w:tabs>
        <w:tab w:val="left" w:pos="1440"/>
        <w:tab w:val="right" w:leader="dot" w:pos="9350"/>
      </w:tabs>
      <w:spacing w:before="120" w:line="240" w:lineRule="auto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06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06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06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06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06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06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066"/>
    <w:pPr>
      <w:ind w:left="1920"/>
    </w:pPr>
    <w:rPr>
      <w:rFonts w:cstheme="minorHAnsi"/>
      <w:sz w:val="20"/>
      <w:szCs w:val="20"/>
    </w:rPr>
  </w:style>
  <w:style w:type="character" w:customStyle="1" w:styleId="cosearchterm">
    <w:name w:val="co_searchterm"/>
    <w:basedOn w:val="DefaultParagraphFont"/>
    <w:rsid w:val="005452BC"/>
  </w:style>
  <w:style w:type="character" w:styleId="Emphasis">
    <w:name w:val="Emphasis"/>
    <w:basedOn w:val="DefaultParagraphFont"/>
    <w:uiPriority w:val="20"/>
    <w:qFormat/>
    <w:rsid w:val="00784021"/>
    <w:rPr>
      <w:i/>
      <w:iCs/>
    </w:rPr>
  </w:style>
  <w:style w:type="character" w:customStyle="1" w:styleId="coconcept2328">
    <w:name w:val="co_concept_23_28"/>
    <w:basedOn w:val="DefaultParagraphFont"/>
    <w:rsid w:val="004729A8"/>
  </w:style>
  <w:style w:type="character" w:customStyle="1" w:styleId="coconcept611">
    <w:name w:val="co_concept_6_11"/>
    <w:basedOn w:val="DefaultParagraphFont"/>
    <w:rsid w:val="00743C03"/>
  </w:style>
  <w:style w:type="character" w:customStyle="1" w:styleId="coconcept1321">
    <w:name w:val="co_concept_13_21"/>
    <w:basedOn w:val="DefaultParagraphFont"/>
    <w:rsid w:val="00743C03"/>
  </w:style>
  <w:style w:type="character" w:customStyle="1" w:styleId="Heading3Char">
    <w:name w:val="Heading 3 Char"/>
    <w:basedOn w:val="DefaultParagraphFont"/>
    <w:link w:val="Heading3"/>
    <w:uiPriority w:val="9"/>
    <w:rsid w:val="00A93B51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NoSpacing">
    <w:name w:val="No Spacing"/>
    <w:uiPriority w:val="1"/>
    <w:qFormat/>
    <w:rsid w:val="00D12288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9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9F"/>
    <w:rPr>
      <w:rFonts w:ascii="Times New Roman" w:hAnsi="Times New Roman" w:cs="Times New Roman"/>
      <w:sz w:val="18"/>
      <w:szCs w:val="18"/>
    </w:rPr>
  </w:style>
  <w:style w:type="character" w:customStyle="1" w:styleId="costarpage">
    <w:name w:val="co_starpage"/>
    <w:basedOn w:val="DefaultParagraphFont"/>
    <w:rsid w:val="00661EC7"/>
  </w:style>
  <w:style w:type="paragraph" w:styleId="NormalWeb">
    <w:name w:val="Normal (Web)"/>
    <w:basedOn w:val="Normal"/>
    <w:uiPriority w:val="99"/>
    <w:unhideWhenUsed/>
    <w:rsid w:val="006F49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B5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3DDDA-2CBF-1A4F-8498-233BDF80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James Buscher</dc:creator>
  <cp:keywords/>
  <dc:description/>
  <cp:lastModifiedBy>Austin James Buscher</cp:lastModifiedBy>
  <cp:revision>6</cp:revision>
  <cp:lastPrinted>2021-01-04T15:30:00Z</cp:lastPrinted>
  <dcterms:created xsi:type="dcterms:W3CDTF">2021-08-22T19:59:00Z</dcterms:created>
  <dcterms:modified xsi:type="dcterms:W3CDTF">2021-08-23T07:34:00Z</dcterms:modified>
</cp:coreProperties>
</file>