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4F0" w:rsidRPr="00896B5A" w:rsidRDefault="0046143C" w:rsidP="00896B5A">
      <w:pPr>
        <w:pStyle w:val="EIT-Title"/>
      </w:pPr>
      <w:r w:rsidRPr="0046143C">
        <w:t xml:space="preserve">O365 Information Security </w:t>
      </w:r>
      <w:r w:rsidR="00952959">
        <w:t>standard</w:t>
      </w:r>
    </w:p>
    <w:p w:rsidR="00304AC8" w:rsidRPr="006A7E0E" w:rsidRDefault="00596C62" w:rsidP="006A7E0E">
      <w:pPr>
        <w:jc w:val="right"/>
        <w:rPr>
          <w:b/>
        </w:rPr>
      </w:pPr>
      <w:r w:rsidRPr="00596C62">
        <w:rPr>
          <w:b/>
        </w:rPr>
        <w:t>AFG-EIT-IS-SD-31-v1.0</w:t>
      </w:r>
    </w:p>
    <w:tbl>
      <w:tblPr>
        <w:tblW w:w="9180" w:type="dxa"/>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1E0" w:firstRow="1" w:lastRow="1" w:firstColumn="1" w:lastColumn="1" w:noHBand="0" w:noVBand="0"/>
      </w:tblPr>
      <w:tblGrid>
        <w:gridCol w:w="3150"/>
        <w:gridCol w:w="3150"/>
        <w:gridCol w:w="2880"/>
      </w:tblGrid>
      <w:tr w:rsidR="00304AC8" w:rsidRPr="00EC011C" w:rsidTr="00CE6A09">
        <w:trPr>
          <w:trHeight w:val="357"/>
        </w:trPr>
        <w:tc>
          <w:tcPr>
            <w:tcW w:w="3150" w:type="dxa"/>
          </w:tcPr>
          <w:p w:rsidR="00304AC8" w:rsidRPr="00CE6A09" w:rsidRDefault="00304AC8" w:rsidP="00023803">
            <w:pPr>
              <w:spacing w:before="0" w:after="0"/>
            </w:pPr>
            <w:r w:rsidRPr="00CE6A09">
              <w:t>Author:</w:t>
            </w:r>
          </w:p>
          <w:p w:rsidR="00304AC8" w:rsidRDefault="0042407F" w:rsidP="00023803">
            <w:pPr>
              <w:spacing w:before="0" w:after="0"/>
            </w:pPr>
            <w:r>
              <w:t>EIT O365</w:t>
            </w:r>
          </w:p>
        </w:tc>
        <w:tc>
          <w:tcPr>
            <w:tcW w:w="3150" w:type="dxa"/>
          </w:tcPr>
          <w:p w:rsidR="00304AC8" w:rsidRPr="00CE6A09" w:rsidRDefault="00304AC8" w:rsidP="00023803">
            <w:pPr>
              <w:spacing w:before="0" w:after="0"/>
            </w:pPr>
            <w:r w:rsidRPr="00CE6A09">
              <w:t>Business Unit:</w:t>
            </w:r>
          </w:p>
          <w:p w:rsidR="00304AC8" w:rsidRPr="00EC011C" w:rsidRDefault="00304AC8" w:rsidP="00356E50">
            <w:r>
              <w:t>Enterprise IT</w:t>
            </w:r>
          </w:p>
        </w:tc>
        <w:tc>
          <w:tcPr>
            <w:tcW w:w="2880" w:type="dxa"/>
          </w:tcPr>
          <w:p w:rsidR="00304AC8" w:rsidRPr="00CE6A09" w:rsidRDefault="00304AC8" w:rsidP="00023803">
            <w:pPr>
              <w:spacing w:before="0" w:after="0"/>
            </w:pPr>
            <w:r w:rsidRPr="00CE6A09">
              <w:t>Classification:</w:t>
            </w:r>
          </w:p>
          <w:p w:rsidR="00304AC8" w:rsidRDefault="00A06DA6" w:rsidP="00356E50">
            <w:pPr>
              <w:pStyle w:val="Class"/>
            </w:pPr>
            <w:r>
              <w:t>Internal</w:t>
            </w:r>
          </w:p>
        </w:tc>
      </w:tr>
      <w:tr w:rsidR="00304AC8" w:rsidRPr="00EC011C" w:rsidTr="00CE6A09">
        <w:trPr>
          <w:trHeight w:val="357"/>
        </w:trPr>
        <w:tc>
          <w:tcPr>
            <w:tcW w:w="3150" w:type="dxa"/>
          </w:tcPr>
          <w:p w:rsidR="00304AC8" w:rsidRPr="00CE6A09" w:rsidRDefault="00304AC8" w:rsidP="00023803">
            <w:pPr>
              <w:spacing w:before="0" w:after="0"/>
            </w:pPr>
            <w:r w:rsidRPr="00CE6A09">
              <w:t>Reviewer:</w:t>
            </w:r>
          </w:p>
          <w:p w:rsidR="00304AC8" w:rsidRDefault="00496182" w:rsidP="00023803">
            <w:pPr>
              <w:spacing w:before="0" w:after="0"/>
            </w:pPr>
            <w:r>
              <w:t>EIT Information Security,</w:t>
            </w:r>
            <w:r w:rsidR="00BB5CDF">
              <w:t xml:space="preserve"> EIT,</w:t>
            </w:r>
            <w:r>
              <w:t xml:space="preserve"> Internal Audit Group</w:t>
            </w:r>
          </w:p>
        </w:tc>
        <w:tc>
          <w:tcPr>
            <w:tcW w:w="3150" w:type="dxa"/>
          </w:tcPr>
          <w:p w:rsidR="00304AC8" w:rsidRPr="00CE6A09" w:rsidRDefault="00304AC8" w:rsidP="00023803">
            <w:pPr>
              <w:spacing w:before="0" w:after="0"/>
            </w:pPr>
            <w:r w:rsidRPr="00CE6A09">
              <w:t>Business Function:</w:t>
            </w:r>
          </w:p>
          <w:p w:rsidR="00304AC8" w:rsidRDefault="0046143C" w:rsidP="00023803">
            <w:pPr>
              <w:spacing w:before="0" w:after="0"/>
            </w:pPr>
            <w:r>
              <w:t>I</w:t>
            </w:r>
            <w:r w:rsidR="002D15B5">
              <w:t>O</w:t>
            </w:r>
            <w:bookmarkStart w:id="0" w:name="_GoBack"/>
            <w:bookmarkEnd w:id="0"/>
          </w:p>
        </w:tc>
        <w:tc>
          <w:tcPr>
            <w:tcW w:w="2880" w:type="dxa"/>
          </w:tcPr>
          <w:p w:rsidR="00304AC8" w:rsidRPr="00CE6A09" w:rsidRDefault="00304AC8" w:rsidP="00023803">
            <w:pPr>
              <w:spacing w:after="0"/>
            </w:pPr>
            <w:r w:rsidRPr="00CE6A09">
              <w:t>Status:</w:t>
            </w:r>
          </w:p>
          <w:p w:rsidR="00304AC8" w:rsidRPr="00EC011C" w:rsidRDefault="00ED7736" w:rsidP="00023803">
            <w:pPr>
              <w:spacing w:before="0" w:after="0"/>
            </w:pPr>
            <w:r>
              <w:t>D</w:t>
            </w:r>
            <w:r w:rsidR="00496182">
              <w:t>raft</w:t>
            </w:r>
          </w:p>
        </w:tc>
      </w:tr>
      <w:tr w:rsidR="00304AC8" w:rsidRPr="00EC011C" w:rsidTr="00CE6A09">
        <w:trPr>
          <w:trHeight w:val="357"/>
        </w:trPr>
        <w:tc>
          <w:tcPr>
            <w:tcW w:w="3150" w:type="dxa"/>
          </w:tcPr>
          <w:p w:rsidR="00304AC8" w:rsidRPr="00CE6A09" w:rsidRDefault="00304AC8" w:rsidP="00023803">
            <w:pPr>
              <w:spacing w:before="0" w:after="0"/>
            </w:pPr>
            <w:r w:rsidRPr="00CE6A09">
              <w:t>Approver:</w:t>
            </w:r>
          </w:p>
          <w:p w:rsidR="00304AC8" w:rsidRPr="00EC011C" w:rsidRDefault="00304AC8" w:rsidP="00023803">
            <w:pPr>
              <w:spacing w:before="0" w:after="0"/>
            </w:pPr>
          </w:p>
        </w:tc>
        <w:tc>
          <w:tcPr>
            <w:tcW w:w="3150" w:type="dxa"/>
          </w:tcPr>
          <w:p w:rsidR="00304AC8" w:rsidRPr="00CE6A09" w:rsidRDefault="00304AC8" w:rsidP="00023803">
            <w:pPr>
              <w:spacing w:before="0" w:after="0"/>
            </w:pPr>
            <w:r w:rsidRPr="00CE6A09">
              <w:t>Publish Date:</w:t>
            </w:r>
          </w:p>
          <w:p w:rsidR="00304AC8" w:rsidRPr="00EC011C" w:rsidRDefault="00304AC8" w:rsidP="00E9700F">
            <w:pPr>
              <w:spacing w:before="0" w:after="0"/>
            </w:pPr>
          </w:p>
        </w:tc>
        <w:tc>
          <w:tcPr>
            <w:tcW w:w="2880" w:type="dxa"/>
            <w:vAlign w:val="center"/>
          </w:tcPr>
          <w:p w:rsidR="00705802" w:rsidRPr="00705802" w:rsidRDefault="00304AC8" w:rsidP="0046143C">
            <w:pPr>
              <w:spacing w:before="0" w:after="0"/>
              <w:rPr>
                <w:rStyle w:val="VersionNo"/>
              </w:rPr>
            </w:pPr>
            <w:r w:rsidRPr="00CE6A09">
              <w:t>Version:</w:t>
            </w:r>
            <w:r>
              <w:t xml:space="preserve"> </w:t>
            </w:r>
            <w:r w:rsidR="0046143C">
              <w:t>0</w:t>
            </w:r>
            <w:r w:rsidR="000431EF">
              <w:rPr>
                <w:rStyle w:val="VersionNo"/>
              </w:rPr>
              <w:t>.</w:t>
            </w:r>
            <w:r w:rsidR="0046143C">
              <w:rPr>
                <w:rStyle w:val="VersionNo"/>
              </w:rPr>
              <w:t>1</w:t>
            </w:r>
          </w:p>
        </w:tc>
      </w:tr>
    </w:tbl>
    <w:sdt>
      <w:sdtPr>
        <w:rPr>
          <w:rFonts w:ascii="Calibri" w:eastAsiaTheme="minorHAnsi" w:hAnsi="Calibri" w:cstheme="minorHAnsi"/>
          <w:b w:val="0"/>
          <w:bCs w:val="0"/>
          <w:color w:val="auto"/>
          <w:sz w:val="20"/>
          <w:szCs w:val="20"/>
          <w:lang w:eastAsia="en-US"/>
        </w:rPr>
        <w:id w:val="-1723288232"/>
        <w:docPartObj>
          <w:docPartGallery w:val="Table of Contents"/>
          <w:docPartUnique/>
        </w:docPartObj>
      </w:sdtPr>
      <w:sdtEndPr>
        <w:rPr>
          <w:noProof/>
        </w:rPr>
      </w:sdtEndPr>
      <w:sdtContent>
        <w:p w:rsidR="00EB5C61" w:rsidRPr="0096065C" w:rsidRDefault="0096065C" w:rsidP="0096065C">
          <w:pPr>
            <w:pStyle w:val="TOCHeading"/>
            <w:jc w:val="center"/>
            <w:rPr>
              <w:rFonts w:ascii="Tahoma" w:eastAsiaTheme="minorHAnsi" w:hAnsi="Tahoma" w:cs="Tahoma"/>
              <w:bCs w:val="0"/>
              <w:color w:val="auto"/>
              <w:u w:val="single"/>
              <w:lang w:eastAsia="en-US"/>
            </w:rPr>
          </w:pPr>
          <w:r w:rsidRPr="0096065C">
            <w:rPr>
              <w:rFonts w:ascii="Tahoma" w:eastAsiaTheme="minorHAnsi" w:hAnsi="Tahoma" w:cs="Tahoma"/>
              <w:bCs w:val="0"/>
              <w:color w:val="auto"/>
              <w:u w:val="single"/>
              <w:lang w:eastAsia="en-US"/>
            </w:rPr>
            <w:t>TABLE OF CONTENTS</w:t>
          </w:r>
        </w:p>
        <w:p w:rsidR="005502E3" w:rsidRDefault="0096065C">
          <w:pPr>
            <w:pStyle w:val="TOC1"/>
            <w:rPr>
              <w:rFonts w:asciiTheme="minorHAnsi" w:eastAsiaTheme="minorEastAsia" w:hAnsiTheme="minorHAnsi" w:cstheme="minorBidi"/>
              <w:b w:val="0"/>
              <w:smallCaps w:val="0"/>
              <w:sz w:val="22"/>
              <w:szCs w:val="22"/>
            </w:rPr>
          </w:pPr>
          <w:r>
            <w:fldChar w:fldCharType="begin"/>
          </w:r>
          <w:r>
            <w:instrText xml:space="preserve"> TOC \o "1-3" \h \z \t "Caption,4" </w:instrText>
          </w:r>
          <w:r>
            <w:fldChar w:fldCharType="separate"/>
          </w:r>
          <w:hyperlink w:anchor="_Toc507938210" w:history="1">
            <w:r w:rsidR="005502E3" w:rsidRPr="00107403">
              <w:rPr>
                <w:rStyle w:val="Hyperlink"/>
              </w:rPr>
              <w:t>1</w:t>
            </w:r>
            <w:r w:rsidR="005502E3">
              <w:rPr>
                <w:rFonts w:asciiTheme="minorHAnsi" w:eastAsiaTheme="minorEastAsia" w:hAnsiTheme="minorHAnsi" w:cstheme="minorBidi"/>
                <w:b w:val="0"/>
                <w:smallCaps w:val="0"/>
                <w:sz w:val="22"/>
                <w:szCs w:val="22"/>
              </w:rPr>
              <w:tab/>
            </w:r>
            <w:r w:rsidR="005502E3" w:rsidRPr="00107403">
              <w:rPr>
                <w:rStyle w:val="Hyperlink"/>
              </w:rPr>
              <w:t>introduction</w:t>
            </w:r>
            <w:r w:rsidR="005502E3">
              <w:rPr>
                <w:webHidden/>
              </w:rPr>
              <w:tab/>
            </w:r>
            <w:r w:rsidR="005502E3">
              <w:rPr>
                <w:webHidden/>
              </w:rPr>
              <w:fldChar w:fldCharType="begin"/>
            </w:r>
            <w:r w:rsidR="005502E3">
              <w:rPr>
                <w:webHidden/>
              </w:rPr>
              <w:instrText xml:space="preserve"> PAGEREF _Toc507938210 \h </w:instrText>
            </w:r>
            <w:r w:rsidR="005502E3">
              <w:rPr>
                <w:webHidden/>
              </w:rPr>
            </w:r>
            <w:r w:rsidR="005502E3">
              <w:rPr>
                <w:webHidden/>
              </w:rPr>
              <w:fldChar w:fldCharType="separate"/>
            </w:r>
            <w:r w:rsidR="005502E3">
              <w:rPr>
                <w:webHidden/>
              </w:rPr>
              <w:t>2</w:t>
            </w:r>
            <w:r w:rsidR="005502E3">
              <w:rPr>
                <w:webHidden/>
              </w:rPr>
              <w:fldChar w:fldCharType="end"/>
            </w:r>
          </w:hyperlink>
        </w:p>
        <w:p w:rsidR="005502E3" w:rsidRDefault="00B47425">
          <w:pPr>
            <w:pStyle w:val="TOC1"/>
            <w:rPr>
              <w:rFonts w:asciiTheme="minorHAnsi" w:eastAsiaTheme="minorEastAsia" w:hAnsiTheme="minorHAnsi" w:cstheme="minorBidi"/>
              <w:b w:val="0"/>
              <w:smallCaps w:val="0"/>
              <w:sz w:val="22"/>
              <w:szCs w:val="22"/>
            </w:rPr>
          </w:pPr>
          <w:hyperlink w:anchor="_Toc507938211" w:history="1">
            <w:r w:rsidR="005502E3" w:rsidRPr="00107403">
              <w:rPr>
                <w:rStyle w:val="Hyperlink"/>
              </w:rPr>
              <w:t>2</w:t>
            </w:r>
            <w:r w:rsidR="005502E3">
              <w:rPr>
                <w:rFonts w:asciiTheme="minorHAnsi" w:eastAsiaTheme="minorEastAsia" w:hAnsiTheme="minorHAnsi" w:cstheme="minorBidi"/>
                <w:b w:val="0"/>
                <w:smallCaps w:val="0"/>
                <w:sz w:val="22"/>
                <w:szCs w:val="22"/>
              </w:rPr>
              <w:tab/>
            </w:r>
            <w:r w:rsidR="005502E3" w:rsidRPr="00107403">
              <w:rPr>
                <w:rStyle w:val="Hyperlink"/>
              </w:rPr>
              <w:t>scope</w:t>
            </w:r>
            <w:r w:rsidR="005502E3">
              <w:rPr>
                <w:webHidden/>
              </w:rPr>
              <w:tab/>
            </w:r>
            <w:r w:rsidR="005502E3">
              <w:rPr>
                <w:webHidden/>
              </w:rPr>
              <w:fldChar w:fldCharType="begin"/>
            </w:r>
            <w:r w:rsidR="005502E3">
              <w:rPr>
                <w:webHidden/>
              </w:rPr>
              <w:instrText xml:space="preserve"> PAGEREF _Toc507938211 \h </w:instrText>
            </w:r>
            <w:r w:rsidR="005502E3">
              <w:rPr>
                <w:webHidden/>
              </w:rPr>
            </w:r>
            <w:r w:rsidR="005502E3">
              <w:rPr>
                <w:webHidden/>
              </w:rPr>
              <w:fldChar w:fldCharType="separate"/>
            </w:r>
            <w:r w:rsidR="005502E3">
              <w:rPr>
                <w:webHidden/>
              </w:rPr>
              <w:t>2</w:t>
            </w:r>
            <w:r w:rsidR="005502E3">
              <w:rPr>
                <w:webHidden/>
              </w:rPr>
              <w:fldChar w:fldCharType="end"/>
            </w:r>
          </w:hyperlink>
        </w:p>
        <w:p w:rsidR="005502E3" w:rsidRDefault="00B47425">
          <w:pPr>
            <w:pStyle w:val="TOC1"/>
            <w:rPr>
              <w:rFonts w:asciiTheme="minorHAnsi" w:eastAsiaTheme="minorEastAsia" w:hAnsiTheme="minorHAnsi" w:cstheme="minorBidi"/>
              <w:b w:val="0"/>
              <w:smallCaps w:val="0"/>
              <w:sz w:val="22"/>
              <w:szCs w:val="22"/>
            </w:rPr>
          </w:pPr>
          <w:hyperlink w:anchor="_Toc507938212" w:history="1">
            <w:r w:rsidR="005502E3" w:rsidRPr="00107403">
              <w:rPr>
                <w:rStyle w:val="Hyperlink"/>
              </w:rPr>
              <w:t>3</w:t>
            </w:r>
            <w:r w:rsidR="005502E3">
              <w:rPr>
                <w:rFonts w:asciiTheme="minorHAnsi" w:eastAsiaTheme="minorEastAsia" w:hAnsiTheme="minorHAnsi" w:cstheme="minorBidi"/>
                <w:b w:val="0"/>
                <w:smallCaps w:val="0"/>
                <w:sz w:val="22"/>
                <w:szCs w:val="22"/>
              </w:rPr>
              <w:tab/>
            </w:r>
            <w:r w:rsidR="005502E3" w:rsidRPr="00107403">
              <w:rPr>
                <w:rStyle w:val="Hyperlink"/>
              </w:rPr>
              <w:t>Roles and Responsibilities</w:t>
            </w:r>
            <w:r w:rsidR="005502E3">
              <w:rPr>
                <w:webHidden/>
              </w:rPr>
              <w:tab/>
            </w:r>
            <w:r w:rsidR="005502E3">
              <w:rPr>
                <w:webHidden/>
              </w:rPr>
              <w:fldChar w:fldCharType="begin"/>
            </w:r>
            <w:r w:rsidR="005502E3">
              <w:rPr>
                <w:webHidden/>
              </w:rPr>
              <w:instrText xml:space="preserve"> PAGEREF _Toc507938212 \h </w:instrText>
            </w:r>
            <w:r w:rsidR="005502E3">
              <w:rPr>
                <w:webHidden/>
              </w:rPr>
            </w:r>
            <w:r w:rsidR="005502E3">
              <w:rPr>
                <w:webHidden/>
              </w:rPr>
              <w:fldChar w:fldCharType="separate"/>
            </w:r>
            <w:r w:rsidR="005502E3">
              <w:rPr>
                <w:webHidden/>
              </w:rPr>
              <w:t>2</w:t>
            </w:r>
            <w:r w:rsidR="005502E3">
              <w:rPr>
                <w:webHidden/>
              </w:rPr>
              <w:fldChar w:fldCharType="end"/>
            </w:r>
          </w:hyperlink>
        </w:p>
        <w:p w:rsidR="005502E3" w:rsidRDefault="00B47425">
          <w:pPr>
            <w:pStyle w:val="TOC1"/>
            <w:rPr>
              <w:rFonts w:asciiTheme="minorHAnsi" w:eastAsiaTheme="minorEastAsia" w:hAnsiTheme="minorHAnsi" w:cstheme="minorBidi"/>
              <w:b w:val="0"/>
              <w:smallCaps w:val="0"/>
              <w:sz w:val="22"/>
              <w:szCs w:val="22"/>
            </w:rPr>
          </w:pPr>
          <w:hyperlink w:anchor="_Toc507938213" w:history="1">
            <w:r w:rsidR="005502E3" w:rsidRPr="00107403">
              <w:rPr>
                <w:rStyle w:val="Hyperlink"/>
              </w:rPr>
              <w:t>4</w:t>
            </w:r>
            <w:r w:rsidR="005502E3">
              <w:rPr>
                <w:rFonts w:asciiTheme="minorHAnsi" w:eastAsiaTheme="minorEastAsia" w:hAnsiTheme="minorHAnsi" w:cstheme="minorBidi"/>
                <w:b w:val="0"/>
                <w:smallCaps w:val="0"/>
                <w:sz w:val="22"/>
                <w:szCs w:val="22"/>
              </w:rPr>
              <w:tab/>
            </w:r>
            <w:r w:rsidR="005502E3" w:rsidRPr="00107403">
              <w:rPr>
                <w:rStyle w:val="Hyperlink"/>
              </w:rPr>
              <w:t>Document Review</w:t>
            </w:r>
            <w:r w:rsidR="005502E3">
              <w:rPr>
                <w:webHidden/>
              </w:rPr>
              <w:tab/>
            </w:r>
            <w:r w:rsidR="005502E3">
              <w:rPr>
                <w:webHidden/>
              </w:rPr>
              <w:fldChar w:fldCharType="begin"/>
            </w:r>
            <w:r w:rsidR="005502E3">
              <w:rPr>
                <w:webHidden/>
              </w:rPr>
              <w:instrText xml:space="preserve"> PAGEREF _Toc507938213 \h </w:instrText>
            </w:r>
            <w:r w:rsidR="005502E3">
              <w:rPr>
                <w:webHidden/>
              </w:rPr>
            </w:r>
            <w:r w:rsidR="005502E3">
              <w:rPr>
                <w:webHidden/>
              </w:rPr>
              <w:fldChar w:fldCharType="separate"/>
            </w:r>
            <w:r w:rsidR="005502E3">
              <w:rPr>
                <w:webHidden/>
              </w:rPr>
              <w:t>2</w:t>
            </w:r>
            <w:r w:rsidR="005502E3">
              <w:rPr>
                <w:webHidden/>
              </w:rPr>
              <w:fldChar w:fldCharType="end"/>
            </w:r>
          </w:hyperlink>
        </w:p>
        <w:p w:rsidR="005502E3" w:rsidRDefault="00B47425">
          <w:pPr>
            <w:pStyle w:val="TOC1"/>
            <w:rPr>
              <w:rFonts w:asciiTheme="minorHAnsi" w:eastAsiaTheme="minorEastAsia" w:hAnsiTheme="minorHAnsi" w:cstheme="minorBidi"/>
              <w:b w:val="0"/>
              <w:smallCaps w:val="0"/>
              <w:sz w:val="22"/>
              <w:szCs w:val="22"/>
            </w:rPr>
          </w:pPr>
          <w:hyperlink w:anchor="_Toc507938214" w:history="1">
            <w:r w:rsidR="005502E3" w:rsidRPr="00107403">
              <w:rPr>
                <w:rStyle w:val="Hyperlink"/>
              </w:rPr>
              <w:t>5</w:t>
            </w:r>
            <w:r w:rsidR="005502E3">
              <w:rPr>
                <w:rFonts w:asciiTheme="minorHAnsi" w:eastAsiaTheme="minorEastAsia" w:hAnsiTheme="minorHAnsi" w:cstheme="minorBidi"/>
                <w:b w:val="0"/>
                <w:smallCaps w:val="0"/>
                <w:sz w:val="22"/>
                <w:szCs w:val="22"/>
              </w:rPr>
              <w:tab/>
            </w:r>
            <w:r w:rsidR="005502E3" w:rsidRPr="00107403">
              <w:rPr>
                <w:rStyle w:val="Hyperlink"/>
              </w:rPr>
              <w:t>Access Control</w:t>
            </w:r>
            <w:r w:rsidR="005502E3">
              <w:rPr>
                <w:webHidden/>
              </w:rPr>
              <w:tab/>
            </w:r>
            <w:r w:rsidR="005502E3">
              <w:rPr>
                <w:webHidden/>
              </w:rPr>
              <w:fldChar w:fldCharType="begin"/>
            </w:r>
            <w:r w:rsidR="005502E3">
              <w:rPr>
                <w:webHidden/>
              </w:rPr>
              <w:instrText xml:space="preserve"> PAGEREF _Toc507938214 \h </w:instrText>
            </w:r>
            <w:r w:rsidR="005502E3">
              <w:rPr>
                <w:webHidden/>
              </w:rPr>
            </w:r>
            <w:r w:rsidR="005502E3">
              <w:rPr>
                <w:webHidden/>
              </w:rPr>
              <w:fldChar w:fldCharType="separate"/>
            </w:r>
            <w:r w:rsidR="005502E3">
              <w:rPr>
                <w:webHidden/>
              </w:rPr>
              <w:t>3</w:t>
            </w:r>
            <w:r w:rsidR="005502E3">
              <w:rPr>
                <w:webHidden/>
              </w:rPr>
              <w:fldChar w:fldCharType="end"/>
            </w:r>
          </w:hyperlink>
        </w:p>
        <w:p w:rsidR="005502E3" w:rsidRDefault="00B47425">
          <w:pPr>
            <w:pStyle w:val="TOC4"/>
            <w:rPr>
              <w:rFonts w:asciiTheme="minorHAnsi" w:eastAsiaTheme="minorEastAsia" w:hAnsiTheme="minorHAnsi" w:cstheme="minorBidi"/>
              <w:noProof/>
              <w:sz w:val="22"/>
              <w:szCs w:val="22"/>
            </w:rPr>
          </w:pPr>
          <w:hyperlink w:anchor="_Toc507938215" w:history="1">
            <w:r w:rsidR="005502E3" w:rsidRPr="00107403">
              <w:rPr>
                <w:rStyle w:val="Hyperlink"/>
                <w:rFonts w:eastAsia="Times New Roman" w:cs="Calibri"/>
                <w:noProof/>
              </w:rPr>
              <w:t>Table 5</w:t>
            </w:r>
            <w:r w:rsidR="005502E3" w:rsidRPr="00107403">
              <w:rPr>
                <w:rStyle w:val="Hyperlink"/>
                <w:rFonts w:eastAsia="Times New Roman" w:cs="Calibri"/>
                <w:noProof/>
              </w:rPr>
              <w:noBreakHyphen/>
              <w:t>1 Access Control</w:t>
            </w:r>
            <w:r w:rsidR="005502E3">
              <w:rPr>
                <w:noProof/>
                <w:webHidden/>
              </w:rPr>
              <w:tab/>
            </w:r>
            <w:r w:rsidR="005502E3">
              <w:rPr>
                <w:noProof/>
                <w:webHidden/>
              </w:rPr>
              <w:fldChar w:fldCharType="begin"/>
            </w:r>
            <w:r w:rsidR="005502E3">
              <w:rPr>
                <w:noProof/>
                <w:webHidden/>
              </w:rPr>
              <w:instrText xml:space="preserve"> PAGEREF _Toc507938215 \h </w:instrText>
            </w:r>
            <w:r w:rsidR="005502E3">
              <w:rPr>
                <w:noProof/>
                <w:webHidden/>
              </w:rPr>
            </w:r>
            <w:r w:rsidR="005502E3">
              <w:rPr>
                <w:noProof/>
                <w:webHidden/>
              </w:rPr>
              <w:fldChar w:fldCharType="separate"/>
            </w:r>
            <w:r w:rsidR="005502E3">
              <w:rPr>
                <w:noProof/>
                <w:webHidden/>
              </w:rPr>
              <w:t>3</w:t>
            </w:r>
            <w:r w:rsidR="005502E3">
              <w:rPr>
                <w:noProof/>
                <w:webHidden/>
              </w:rPr>
              <w:fldChar w:fldCharType="end"/>
            </w:r>
          </w:hyperlink>
        </w:p>
        <w:p w:rsidR="005502E3" w:rsidRDefault="00B47425">
          <w:pPr>
            <w:pStyle w:val="TOC1"/>
            <w:rPr>
              <w:rFonts w:asciiTheme="minorHAnsi" w:eastAsiaTheme="minorEastAsia" w:hAnsiTheme="minorHAnsi" w:cstheme="minorBidi"/>
              <w:b w:val="0"/>
              <w:smallCaps w:val="0"/>
              <w:sz w:val="22"/>
              <w:szCs w:val="22"/>
            </w:rPr>
          </w:pPr>
          <w:hyperlink w:anchor="_Toc507938216" w:history="1">
            <w:r w:rsidR="005502E3" w:rsidRPr="00107403">
              <w:rPr>
                <w:rStyle w:val="Hyperlink"/>
              </w:rPr>
              <w:t>6</w:t>
            </w:r>
            <w:r w:rsidR="005502E3">
              <w:rPr>
                <w:rFonts w:asciiTheme="minorHAnsi" w:eastAsiaTheme="minorEastAsia" w:hAnsiTheme="minorHAnsi" w:cstheme="minorBidi"/>
                <w:b w:val="0"/>
                <w:smallCaps w:val="0"/>
                <w:sz w:val="22"/>
                <w:szCs w:val="22"/>
              </w:rPr>
              <w:tab/>
            </w:r>
            <w:r w:rsidR="005502E3" w:rsidRPr="00107403">
              <w:rPr>
                <w:rStyle w:val="Hyperlink"/>
              </w:rPr>
              <w:t>Secure Configuration and Administration</w:t>
            </w:r>
            <w:r w:rsidR="005502E3">
              <w:rPr>
                <w:webHidden/>
              </w:rPr>
              <w:tab/>
            </w:r>
            <w:r w:rsidR="005502E3">
              <w:rPr>
                <w:webHidden/>
              </w:rPr>
              <w:fldChar w:fldCharType="begin"/>
            </w:r>
            <w:r w:rsidR="005502E3">
              <w:rPr>
                <w:webHidden/>
              </w:rPr>
              <w:instrText xml:space="preserve"> PAGEREF _Toc507938216 \h </w:instrText>
            </w:r>
            <w:r w:rsidR="005502E3">
              <w:rPr>
                <w:webHidden/>
              </w:rPr>
            </w:r>
            <w:r w:rsidR="005502E3">
              <w:rPr>
                <w:webHidden/>
              </w:rPr>
              <w:fldChar w:fldCharType="separate"/>
            </w:r>
            <w:r w:rsidR="005502E3">
              <w:rPr>
                <w:webHidden/>
              </w:rPr>
              <w:t>3</w:t>
            </w:r>
            <w:r w:rsidR="005502E3">
              <w:rPr>
                <w:webHidden/>
              </w:rPr>
              <w:fldChar w:fldCharType="end"/>
            </w:r>
          </w:hyperlink>
        </w:p>
        <w:p w:rsidR="005502E3" w:rsidRDefault="00B47425">
          <w:pPr>
            <w:pStyle w:val="TOC4"/>
            <w:rPr>
              <w:rFonts w:asciiTheme="minorHAnsi" w:eastAsiaTheme="minorEastAsia" w:hAnsiTheme="minorHAnsi" w:cstheme="minorBidi"/>
              <w:noProof/>
              <w:sz w:val="22"/>
              <w:szCs w:val="22"/>
            </w:rPr>
          </w:pPr>
          <w:hyperlink w:anchor="_Toc507938217" w:history="1">
            <w:r w:rsidR="005502E3" w:rsidRPr="00107403">
              <w:rPr>
                <w:rStyle w:val="Hyperlink"/>
                <w:noProof/>
              </w:rPr>
              <w:t>Table 6</w:t>
            </w:r>
            <w:r w:rsidR="005502E3" w:rsidRPr="00107403">
              <w:rPr>
                <w:rStyle w:val="Hyperlink"/>
                <w:noProof/>
              </w:rPr>
              <w:noBreakHyphen/>
              <w:t>1 Secure Configuration and Administration</w:t>
            </w:r>
            <w:r w:rsidR="005502E3">
              <w:rPr>
                <w:noProof/>
                <w:webHidden/>
              </w:rPr>
              <w:tab/>
            </w:r>
            <w:r w:rsidR="005502E3">
              <w:rPr>
                <w:noProof/>
                <w:webHidden/>
              </w:rPr>
              <w:fldChar w:fldCharType="begin"/>
            </w:r>
            <w:r w:rsidR="005502E3">
              <w:rPr>
                <w:noProof/>
                <w:webHidden/>
              </w:rPr>
              <w:instrText xml:space="preserve"> PAGEREF _Toc507938217 \h </w:instrText>
            </w:r>
            <w:r w:rsidR="005502E3">
              <w:rPr>
                <w:noProof/>
                <w:webHidden/>
              </w:rPr>
            </w:r>
            <w:r w:rsidR="005502E3">
              <w:rPr>
                <w:noProof/>
                <w:webHidden/>
              </w:rPr>
              <w:fldChar w:fldCharType="separate"/>
            </w:r>
            <w:r w:rsidR="005502E3">
              <w:rPr>
                <w:noProof/>
                <w:webHidden/>
              </w:rPr>
              <w:t>4</w:t>
            </w:r>
            <w:r w:rsidR="005502E3">
              <w:rPr>
                <w:noProof/>
                <w:webHidden/>
              </w:rPr>
              <w:fldChar w:fldCharType="end"/>
            </w:r>
          </w:hyperlink>
        </w:p>
        <w:p w:rsidR="005502E3" w:rsidRDefault="00B47425">
          <w:pPr>
            <w:pStyle w:val="TOC1"/>
            <w:rPr>
              <w:rFonts w:asciiTheme="minorHAnsi" w:eastAsiaTheme="minorEastAsia" w:hAnsiTheme="minorHAnsi" w:cstheme="minorBidi"/>
              <w:b w:val="0"/>
              <w:smallCaps w:val="0"/>
              <w:sz w:val="22"/>
              <w:szCs w:val="22"/>
            </w:rPr>
          </w:pPr>
          <w:hyperlink w:anchor="_Toc507938218" w:history="1">
            <w:r w:rsidR="005502E3" w:rsidRPr="00107403">
              <w:rPr>
                <w:rStyle w:val="Hyperlink"/>
              </w:rPr>
              <w:t>7</w:t>
            </w:r>
            <w:r w:rsidR="005502E3">
              <w:rPr>
                <w:rFonts w:asciiTheme="minorHAnsi" w:eastAsiaTheme="minorEastAsia" w:hAnsiTheme="minorHAnsi" w:cstheme="minorBidi"/>
                <w:b w:val="0"/>
                <w:smallCaps w:val="0"/>
                <w:sz w:val="22"/>
                <w:szCs w:val="22"/>
              </w:rPr>
              <w:tab/>
            </w:r>
            <w:r w:rsidR="005502E3" w:rsidRPr="00107403">
              <w:rPr>
                <w:rStyle w:val="Hyperlink"/>
              </w:rPr>
              <w:t>Logging, Auditing and Monitoring</w:t>
            </w:r>
            <w:r w:rsidR="005502E3">
              <w:rPr>
                <w:webHidden/>
              </w:rPr>
              <w:tab/>
            </w:r>
            <w:r w:rsidR="005502E3">
              <w:rPr>
                <w:webHidden/>
              </w:rPr>
              <w:fldChar w:fldCharType="begin"/>
            </w:r>
            <w:r w:rsidR="005502E3">
              <w:rPr>
                <w:webHidden/>
              </w:rPr>
              <w:instrText xml:space="preserve"> PAGEREF _Toc507938218 \h </w:instrText>
            </w:r>
            <w:r w:rsidR="005502E3">
              <w:rPr>
                <w:webHidden/>
              </w:rPr>
            </w:r>
            <w:r w:rsidR="005502E3">
              <w:rPr>
                <w:webHidden/>
              </w:rPr>
              <w:fldChar w:fldCharType="separate"/>
            </w:r>
            <w:r w:rsidR="005502E3">
              <w:rPr>
                <w:webHidden/>
              </w:rPr>
              <w:t>5</w:t>
            </w:r>
            <w:r w:rsidR="005502E3">
              <w:rPr>
                <w:webHidden/>
              </w:rPr>
              <w:fldChar w:fldCharType="end"/>
            </w:r>
          </w:hyperlink>
        </w:p>
        <w:p w:rsidR="005502E3" w:rsidRDefault="00B47425">
          <w:pPr>
            <w:pStyle w:val="TOC4"/>
            <w:rPr>
              <w:rFonts w:asciiTheme="minorHAnsi" w:eastAsiaTheme="minorEastAsia" w:hAnsiTheme="minorHAnsi" w:cstheme="minorBidi"/>
              <w:noProof/>
              <w:sz w:val="22"/>
              <w:szCs w:val="22"/>
            </w:rPr>
          </w:pPr>
          <w:hyperlink w:anchor="_Toc507938219" w:history="1">
            <w:r w:rsidR="005502E3" w:rsidRPr="00107403">
              <w:rPr>
                <w:rStyle w:val="Hyperlink"/>
                <w:noProof/>
              </w:rPr>
              <w:t>Table 7</w:t>
            </w:r>
            <w:r w:rsidR="005502E3" w:rsidRPr="00107403">
              <w:rPr>
                <w:rStyle w:val="Hyperlink"/>
                <w:noProof/>
              </w:rPr>
              <w:noBreakHyphen/>
              <w:t>1 Logging, Auditing and Monitoring</w:t>
            </w:r>
            <w:r w:rsidR="005502E3">
              <w:rPr>
                <w:noProof/>
                <w:webHidden/>
              </w:rPr>
              <w:tab/>
            </w:r>
            <w:r w:rsidR="005502E3">
              <w:rPr>
                <w:noProof/>
                <w:webHidden/>
              </w:rPr>
              <w:fldChar w:fldCharType="begin"/>
            </w:r>
            <w:r w:rsidR="005502E3">
              <w:rPr>
                <w:noProof/>
                <w:webHidden/>
              </w:rPr>
              <w:instrText xml:space="preserve"> PAGEREF _Toc507938219 \h </w:instrText>
            </w:r>
            <w:r w:rsidR="005502E3">
              <w:rPr>
                <w:noProof/>
                <w:webHidden/>
              </w:rPr>
            </w:r>
            <w:r w:rsidR="005502E3">
              <w:rPr>
                <w:noProof/>
                <w:webHidden/>
              </w:rPr>
              <w:fldChar w:fldCharType="separate"/>
            </w:r>
            <w:r w:rsidR="005502E3">
              <w:rPr>
                <w:noProof/>
                <w:webHidden/>
              </w:rPr>
              <w:t>5</w:t>
            </w:r>
            <w:r w:rsidR="005502E3">
              <w:rPr>
                <w:noProof/>
                <w:webHidden/>
              </w:rPr>
              <w:fldChar w:fldCharType="end"/>
            </w:r>
          </w:hyperlink>
        </w:p>
        <w:p w:rsidR="005502E3" w:rsidRDefault="00B47425">
          <w:pPr>
            <w:pStyle w:val="TOC1"/>
            <w:rPr>
              <w:rFonts w:asciiTheme="minorHAnsi" w:eastAsiaTheme="minorEastAsia" w:hAnsiTheme="minorHAnsi" w:cstheme="minorBidi"/>
              <w:b w:val="0"/>
              <w:smallCaps w:val="0"/>
              <w:sz w:val="22"/>
              <w:szCs w:val="22"/>
            </w:rPr>
          </w:pPr>
          <w:hyperlink w:anchor="_Toc507938220" w:history="1">
            <w:r w:rsidR="005502E3" w:rsidRPr="00107403">
              <w:rPr>
                <w:rStyle w:val="Hyperlink"/>
              </w:rPr>
              <w:t>8</w:t>
            </w:r>
            <w:r w:rsidR="005502E3">
              <w:rPr>
                <w:rFonts w:asciiTheme="minorHAnsi" w:eastAsiaTheme="minorEastAsia" w:hAnsiTheme="minorHAnsi" w:cstheme="minorBidi"/>
                <w:b w:val="0"/>
                <w:smallCaps w:val="0"/>
                <w:sz w:val="22"/>
                <w:szCs w:val="22"/>
              </w:rPr>
              <w:tab/>
            </w:r>
            <w:r w:rsidR="005502E3" w:rsidRPr="00107403">
              <w:rPr>
                <w:rStyle w:val="Hyperlink"/>
              </w:rPr>
              <w:t>Checklist</w:t>
            </w:r>
            <w:r w:rsidR="005502E3">
              <w:rPr>
                <w:webHidden/>
              </w:rPr>
              <w:tab/>
            </w:r>
            <w:r w:rsidR="005502E3">
              <w:rPr>
                <w:webHidden/>
              </w:rPr>
              <w:fldChar w:fldCharType="begin"/>
            </w:r>
            <w:r w:rsidR="005502E3">
              <w:rPr>
                <w:webHidden/>
              </w:rPr>
              <w:instrText xml:space="preserve"> PAGEREF _Toc507938220 \h </w:instrText>
            </w:r>
            <w:r w:rsidR="005502E3">
              <w:rPr>
                <w:webHidden/>
              </w:rPr>
            </w:r>
            <w:r w:rsidR="005502E3">
              <w:rPr>
                <w:webHidden/>
              </w:rPr>
              <w:fldChar w:fldCharType="separate"/>
            </w:r>
            <w:r w:rsidR="005502E3">
              <w:rPr>
                <w:webHidden/>
              </w:rPr>
              <w:t>6</w:t>
            </w:r>
            <w:r w:rsidR="005502E3">
              <w:rPr>
                <w:webHidden/>
              </w:rPr>
              <w:fldChar w:fldCharType="end"/>
            </w:r>
          </w:hyperlink>
        </w:p>
        <w:p w:rsidR="005502E3" w:rsidRDefault="00B47425">
          <w:pPr>
            <w:pStyle w:val="TOC1"/>
            <w:rPr>
              <w:rFonts w:asciiTheme="minorHAnsi" w:eastAsiaTheme="minorEastAsia" w:hAnsiTheme="minorHAnsi" w:cstheme="minorBidi"/>
              <w:b w:val="0"/>
              <w:smallCaps w:val="0"/>
              <w:sz w:val="22"/>
              <w:szCs w:val="22"/>
            </w:rPr>
          </w:pPr>
          <w:hyperlink w:anchor="_Toc507938221" w:history="1">
            <w:r w:rsidR="005502E3" w:rsidRPr="00107403">
              <w:rPr>
                <w:rStyle w:val="Hyperlink"/>
              </w:rPr>
              <w:t>9</w:t>
            </w:r>
            <w:r w:rsidR="005502E3">
              <w:rPr>
                <w:rFonts w:asciiTheme="minorHAnsi" w:eastAsiaTheme="minorEastAsia" w:hAnsiTheme="minorHAnsi" w:cstheme="minorBidi"/>
                <w:b w:val="0"/>
                <w:smallCaps w:val="0"/>
                <w:sz w:val="22"/>
                <w:szCs w:val="22"/>
              </w:rPr>
              <w:tab/>
            </w:r>
            <w:r w:rsidR="005502E3" w:rsidRPr="00107403">
              <w:rPr>
                <w:rStyle w:val="Hyperlink"/>
              </w:rPr>
              <w:t>References</w:t>
            </w:r>
            <w:r w:rsidR="005502E3">
              <w:rPr>
                <w:webHidden/>
              </w:rPr>
              <w:tab/>
            </w:r>
            <w:r w:rsidR="005502E3">
              <w:rPr>
                <w:webHidden/>
              </w:rPr>
              <w:fldChar w:fldCharType="begin"/>
            </w:r>
            <w:r w:rsidR="005502E3">
              <w:rPr>
                <w:webHidden/>
              </w:rPr>
              <w:instrText xml:space="preserve"> PAGEREF _Toc507938221 \h </w:instrText>
            </w:r>
            <w:r w:rsidR="005502E3">
              <w:rPr>
                <w:webHidden/>
              </w:rPr>
            </w:r>
            <w:r w:rsidR="005502E3">
              <w:rPr>
                <w:webHidden/>
              </w:rPr>
              <w:fldChar w:fldCharType="separate"/>
            </w:r>
            <w:r w:rsidR="005502E3">
              <w:rPr>
                <w:webHidden/>
              </w:rPr>
              <w:t>6</w:t>
            </w:r>
            <w:r w:rsidR="005502E3">
              <w:rPr>
                <w:webHidden/>
              </w:rPr>
              <w:fldChar w:fldCharType="end"/>
            </w:r>
          </w:hyperlink>
        </w:p>
        <w:p w:rsidR="005502E3" w:rsidRDefault="00B47425">
          <w:pPr>
            <w:pStyle w:val="TOC1"/>
            <w:rPr>
              <w:rFonts w:asciiTheme="minorHAnsi" w:eastAsiaTheme="minorEastAsia" w:hAnsiTheme="minorHAnsi" w:cstheme="minorBidi"/>
              <w:b w:val="0"/>
              <w:smallCaps w:val="0"/>
              <w:sz w:val="22"/>
              <w:szCs w:val="22"/>
            </w:rPr>
          </w:pPr>
          <w:hyperlink w:anchor="_Toc507938222" w:history="1">
            <w:r w:rsidR="005502E3" w:rsidRPr="00107403">
              <w:rPr>
                <w:rStyle w:val="Hyperlink"/>
              </w:rPr>
              <w:t>10</w:t>
            </w:r>
            <w:r w:rsidR="005502E3">
              <w:rPr>
                <w:rFonts w:asciiTheme="minorHAnsi" w:eastAsiaTheme="minorEastAsia" w:hAnsiTheme="minorHAnsi" w:cstheme="minorBidi"/>
                <w:b w:val="0"/>
                <w:smallCaps w:val="0"/>
                <w:sz w:val="22"/>
                <w:szCs w:val="22"/>
              </w:rPr>
              <w:tab/>
            </w:r>
            <w:r w:rsidR="005502E3" w:rsidRPr="00107403">
              <w:rPr>
                <w:rStyle w:val="Hyperlink"/>
              </w:rPr>
              <w:t>Appendix I</w:t>
            </w:r>
            <w:r w:rsidR="005502E3">
              <w:rPr>
                <w:webHidden/>
              </w:rPr>
              <w:tab/>
            </w:r>
            <w:r w:rsidR="005502E3">
              <w:rPr>
                <w:webHidden/>
              </w:rPr>
              <w:fldChar w:fldCharType="begin"/>
            </w:r>
            <w:r w:rsidR="005502E3">
              <w:rPr>
                <w:webHidden/>
              </w:rPr>
              <w:instrText xml:space="preserve"> PAGEREF _Toc507938222 \h </w:instrText>
            </w:r>
            <w:r w:rsidR="005502E3">
              <w:rPr>
                <w:webHidden/>
              </w:rPr>
            </w:r>
            <w:r w:rsidR="005502E3">
              <w:rPr>
                <w:webHidden/>
              </w:rPr>
              <w:fldChar w:fldCharType="separate"/>
            </w:r>
            <w:r w:rsidR="005502E3">
              <w:rPr>
                <w:webHidden/>
              </w:rPr>
              <w:t>6</w:t>
            </w:r>
            <w:r w:rsidR="005502E3">
              <w:rPr>
                <w:webHidden/>
              </w:rPr>
              <w:fldChar w:fldCharType="end"/>
            </w:r>
          </w:hyperlink>
        </w:p>
        <w:p w:rsidR="005502E3" w:rsidRDefault="00B47425">
          <w:pPr>
            <w:pStyle w:val="TOC1"/>
            <w:rPr>
              <w:rFonts w:asciiTheme="minorHAnsi" w:eastAsiaTheme="minorEastAsia" w:hAnsiTheme="minorHAnsi" w:cstheme="minorBidi"/>
              <w:b w:val="0"/>
              <w:smallCaps w:val="0"/>
              <w:sz w:val="22"/>
              <w:szCs w:val="22"/>
            </w:rPr>
          </w:pPr>
          <w:hyperlink w:anchor="_Toc507938223" w:history="1">
            <w:r w:rsidR="005502E3" w:rsidRPr="00107403">
              <w:rPr>
                <w:rStyle w:val="Hyperlink"/>
              </w:rPr>
              <w:t>11</w:t>
            </w:r>
            <w:r w:rsidR="005502E3">
              <w:rPr>
                <w:rFonts w:asciiTheme="minorHAnsi" w:eastAsiaTheme="minorEastAsia" w:hAnsiTheme="minorHAnsi" w:cstheme="minorBidi"/>
                <w:b w:val="0"/>
                <w:smallCaps w:val="0"/>
                <w:sz w:val="22"/>
                <w:szCs w:val="22"/>
              </w:rPr>
              <w:tab/>
            </w:r>
            <w:r w:rsidR="005502E3" w:rsidRPr="00107403">
              <w:rPr>
                <w:rStyle w:val="Hyperlink"/>
              </w:rPr>
              <w:t>Version Control</w:t>
            </w:r>
            <w:r w:rsidR="005502E3">
              <w:rPr>
                <w:webHidden/>
              </w:rPr>
              <w:tab/>
            </w:r>
            <w:r w:rsidR="005502E3">
              <w:rPr>
                <w:webHidden/>
              </w:rPr>
              <w:fldChar w:fldCharType="begin"/>
            </w:r>
            <w:r w:rsidR="005502E3">
              <w:rPr>
                <w:webHidden/>
              </w:rPr>
              <w:instrText xml:space="preserve"> PAGEREF _Toc507938223 \h </w:instrText>
            </w:r>
            <w:r w:rsidR="005502E3">
              <w:rPr>
                <w:webHidden/>
              </w:rPr>
            </w:r>
            <w:r w:rsidR="005502E3">
              <w:rPr>
                <w:webHidden/>
              </w:rPr>
              <w:fldChar w:fldCharType="separate"/>
            </w:r>
            <w:r w:rsidR="005502E3">
              <w:rPr>
                <w:webHidden/>
              </w:rPr>
              <w:t>6</w:t>
            </w:r>
            <w:r w:rsidR="005502E3">
              <w:rPr>
                <w:webHidden/>
              </w:rPr>
              <w:fldChar w:fldCharType="end"/>
            </w:r>
          </w:hyperlink>
        </w:p>
        <w:p w:rsidR="005502E3" w:rsidRDefault="00B47425">
          <w:pPr>
            <w:pStyle w:val="TOC4"/>
            <w:rPr>
              <w:rFonts w:asciiTheme="minorHAnsi" w:eastAsiaTheme="minorEastAsia" w:hAnsiTheme="minorHAnsi" w:cstheme="minorBidi"/>
              <w:noProof/>
              <w:sz w:val="22"/>
              <w:szCs w:val="22"/>
            </w:rPr>
          </w:pPr>
          <w:hyperlink w:anchor="_Toc507938224" w:history="1">
            <w:r w:rsidR="005502E3" w:rsidRPr="00107403">
              <w:rPr>
                <w:rStyle w:val="Hyperlink"/>
                <w:noProof/>
              </w:rPr>
              <w:t>Table 3</w:t>
            </w:r>
            <w:r w:rsidR="005502E3" w:rsidRPr="00107403">
              <w:rPr>
                <w:rStyle w:val="Hyperlink"/>
                <w:noProof/>
              </w:rPr>
              <w:noBreakHyphen/>
              <w:t>1 Version Control and History</w:t>
            </w:r>
            <w:r w:rsidR="005502E3">
              <w:rPr>
                <w:noProof/>
                <w:webHidden/>
              </w:rPr>
              <w:tab/>
            </w:r>
            <w:r w:rsidR="005502E3">
              <w:rPr>
                <w:noProof/>
                <w:webHidden/>
              </w:rPr>
              <w:fldChar w:fldCharType="begin"/>
            </w:r>
            <w:r w:rsidR="005502E3">
              <w:rPr>
                <w:noProof/>
                <w:webHidden/>
              </w:rPr>
              <w:instrText xml:space="preserve"> PAGEREF _Toc507938224 \h </w:instrText>
            </w:r>
            <w:r w:rsidR="005502E3">
              <w:rPr>
                <w:noProof/>
                <w:webHidden/>
              </w:rPr>
            </w:r>
            <w:r w:rsidR="005502E3">
              <w:rPr>
                <w:noProof/>
                <w:webHidden/>
              </w:rPr>
              <w:fldChar w:fldCharType="separate"/>
            </w:r>
            <w:r w:rsidR="005502E3">
              <w:rPr>
                <w:noProof/>
                <w:webHidden/>
              </w:rPr>
              <w:t>6</w:t>
            </w:r>
            <w:r w:rsidR="005502E3">
              <w:rPr>
                <w:noProof/>
                <w:webHidden/>
              </w:rPr>
              <w:fldChar w:fldCharType="end"/>
            </w:r>
          </w:hyperlink>
        </w:p>
        <w:p w:rsidR="00EB5C61" w:rsidRDefault="0096065C">
          <w:r>
            <w:rPr>
              <w:noProof/>
            </w:rPr>
            <w:fldChar w:fldCharType="end"/>
          </w:r>
        </w:p>
      </w:sdtContent>
    </w:sdt>
    <w:p w:rsidR="00A335BA" w:rsidRPr="0077674E" w:rsidRDefault="00A335BA" w:rsidP="00EB5C61">
      <w:pPr>
        <w:tabs>
          <w:tab w:val="right" w:leader="dot" w:pos="9180"/>
        </w:tabs>
        <w:rPr>
          <w:rFonts w:eastAsiaTheme="majorEastAsia"/>
        </w:rPr>
      </w:pPr>
      <w:r w:rsidRPr="0077674E">
        <w:br w:type="page"/>
      </w:r>
    </w:p>
    <w:p w:rsidR="00A335BA" w:rsidRDefault="00B906DB" w:rsidP="000F79AC">
      <w:pPr>
        <w:pStyle w:val="Heading1"/>
      </w:pPr>
      <w:bookmarkStart w:id="1" w:name="_Toc507938210"/>
      <w:r>
        <w:lastRenderedPageBreak/>
        <w:t>introduction</w:t>
      </w:r>
      <w:bookmarkEnd w:id="1"/>
    </w:p>
    <w:p w:rsidR="0002624B" w:rsidRDefault="0002624B" w:rsidP="007748FC">
      <w:pPr>
        <w:autoSpaceDE w:val="0"/>
        <w:autoSpaceDN w:val="0"/>
        <w:adjustRightInd w:val="0"/>
        <w:contextualSpacing/>
      </w:pPr>
      <w:r w:rsidRPr="00385265">
        <w:t xml:space="preserve">This document represents </w:t>
      </w:r>
      <w:r w:rsidRPr="0002624B">
        <w:t>Al-Futtaim Group</w:t>
      </w:r>
      <w:r w:rsidR="005502E3">
        <w:t xml:space="preserve"> Standard and associated implementation p</w:t>
      </w:r>
      <w:r w:rsidRPr="00385265">
        <w:t xml:space="preserve">rocedures </w:t>
      </w:r>
      <w:r w:rsidR="00C2784F">
        <w:t xml:space="preserve">for </w:t>
      </w:r>
      <w:r w:rsidR="002059EC">
        <w:t xml:space="preserve">following services </w:t>
      </w:r>
      <w:r w:rsidR="009E3314">
        <w:t>of O365</w:t>
      </w:r>
      <w:r w:rsidR="00C2784F">
        <w:t>.</w:t>
      </w:r>
    </w:p>
    <w:p w:rsidR="002059EC" w:rsidRPr="002059EC" w:rsidRDefault="002059EC" w:rsidP="002059EC">
      <w:pPr>
        <w:pStyle w:val="NormalBullet1"/>
        <w:ind w:left="720"/>
        <w:rPr>
          <w:b/>
        </w:rPr>
      </w:pPr>
      <w:r w:rsidRPr="002059EC">
        <w:rPr>
          <w:b/>
        </w:rPr>
        <w:t>One Drive for Business (ODFB)</w:t>
      </w:r>
    </w:p>
    <w:p w:rsidR="002059EC" w:rsidRPr="002059EC" w:rsidRDefault="002059EC" w:rsidP="002059EC">
      <w:pPr>
        <w:pStyle w:val="NormalBullet1"/>
        <w:ind w:left="720"/>
        <w:rPr>
          <w:b/>
        </w:rPr>
      </w:pPr>
      <w:r w:rsidRPr="002059EC">
        <w:rPr>
          <w:b/>
        </w:rPr>
        <w:t>Exchange Online (EXO)</w:t>
      </w:r>
    </w:p>
    <w:p w:rsidR="002059EC" w:rsidRPr="002059EC" w:rsidRDefault="002059EC" w:rsidP="002059EC">
      <w:pPr>
        <w:pStyle w:val="NormalBullet1"/>
        <w:ind w:left="720"/>
        <w:rPr>
          <w:b/>
        </w:rPr>
      </w:pPr>
      <w:r w:rsidRPr="002059EC">
        <w:rPr>
          <w:b/>
        </w:rPr>
        <w:t>Sharepoint Online (SPO)</w:t>
      </w:r>
    </w:p>
    <w:p w:rsidR="0002624B" w:rsidRPr="00385265" w:rsidRDefault="0002624B" w:rsidP="007748FC">
      <w:pPr>
        <w:spacing w:before="120" w:after="120"/>
        <w:rPr>
          <w:szCs w:val="24"/>
        </w:rPr>
      </w:pPr>
      <w:r w:rsidRPr="00385265">
        <w:rPr>
          <w:szCs w:val="24"/>
        </w:rPr>
        <w:t>Each Standard statement comprises of:</w:t>
      </w:r>
    </w:p>
    <w:p w:rsidR="0002624B" w:rsidRPr="00385265" w:rsidRDefault="00CA3B2E" w:rsidP="0002624B">
      <w:pPr>
        <w:pStyle w:val="NormalBullet1"/>
        <w:ind w:left="630"/>
      </w:pPr>
      <w:r>
        <w:t>A Control Standard/</w:t>
      </w:r>
      <w:r w:rsidR="0002624B" w:rsidRPr="00385265">
        <w:t>Requirement</w:t>
      </w:r>
    </w:p>
    <w:p w:rsidR="0002624B" w:rsidRPr="00385265" w:rsidRDefault="0002624B" w:rsidP="0002624B">
      <w:pPr>
        <w:pStyle w:val="NormalBullet1"/>
        <w:ind w:left="630"/>
      </w:pPr>
      <w:r w:rsidRPr="00385265">
        <w:t>An impact statement</w:t>
      </w:r>
    </w:p>
    <w:p w:rsidR="0002624B" w:rsidRPr="00385265" w:rsidRDefault="0002624B" w:rsidP="0002624B">
      <w:pPr>
        <w:pStyle w:val="NormalBullet1"/>
        <w:ind w:left="630"/>
      </w:pPr>
      <w:r w:rsidRPr="00385265">
        <w:t>Implementation procedures</w:t>
      </w:r>
    </w:p>
    <w:p w:rsidR="0002624B" w:rsidRPr="00385265" w:rsidRDefault="0002624B" w:rsidP="007748FC">
      <w:pPr>
        <w:spacing w:before="120" w:after="120"/>
        <w:rPr>
          <w:szCs w:val="24"/>
        </w:rPr>
      </w:pPr>
      <w:r w:rsidRPr="00385265">
        <w:rPr>
          <w:szCs w:val="24"/>
        </w:rPr>
        <w:t xml:space="preserve">The </w:t>
      </w:r>
      <w:r w:rsidRPr="00DE6880">
        <w:rPr>
          <w:b/>
        </w:rPr>
        <w:t>Control Standard/Requirement</w:t>
      </w:r>
      <w:r w:rsidRPr="00385265">
        <w:rPr>
          <w:szCs w:val="24"/>
        </w:rPr>
        <w:t xml:space="preserve"> specifies uniform control practices and system parameters to enforce security.</w:t>
      </w:r>
    </w:p>
    <w:p w:rsidR="0002624B" w:rsidRPr="00385265" w:rsidRDefault="0002624B" w:rsidP="007748FC">
      <w:pPr>
        <w:spacing w:before="120" w:after="120"/>
        <w:rPr>
          <w:szCs w:val="24"/>
        </w:rPr>
      </w:pPr>
      <w:r w:rsidRPr="00385265">
        <w:rPr>
          <w:szCs w:val="24"/>
        </w:rPr>
        <w:t xml:space="preserve">The </w:t>
      </w:r>
      <w:r w:rsidRPr="00DE6880">
        <w:rPr>
          <w:b/>
        </w:rPr>
        <w:t>Impact Statement</w:t>
      </w:r>
      <w:r w:rsidRPr="00920086">
        <w:t xml:space="preserve"> provides</w:t>
      </w:r>
      <w:r w:rsidRPr="00385265">
        <w:rPr>
          <w:szCs w:val="24"/>
        </w:rPr>
        <w:t xml:space="preserve"> the possible negative implications of not following the defined control standard.</w:t>
      </w:r>
    </w:p>
    <w:p w:rsidR="0002624B" w:rsidRDefault="0002624B" w:rsidP="007748FC">
      <w:pPr>
        <w:spacing w:before="120" w:after="120"/>
        <w:rPr>
          <w:szCs w:val="24"/>
        </w:rPr>
      </w:pPr>
      <w:r w:rsidRPr="00DE6880">
        <w:rPr>
          <w:b/>
        </w:rPr>
        <w:t>Implementation Procedures</w:t>
      </w:r>
      <w:r>
        <w:t xml:space="preserve"> are high-level concepts, provided as guidance to asset owner </w:t>
      </w:r>
      <w:r w:rsidR="00B81FDB">
        <w:t xml:space="preserve">or data custodian </w:t>
      </w:r>
      <w:r>
        <w:t>who would need to perform or configure the control standards.</w:t>
      </w:r>
    </w:p>
    <w:p w:rsidR="00272600" w:rsidRPr="00BB5CDF" w:rsidRDefault="00272600" w:rsidP="00C2784F">
      <w:pPr>
        <w:pStyle w:val="Heading1"/>
        <w:rPr>
          <w:sz w:val="24"/>
          <w:szCs w:val="24"/>
        </w:rPr>
      </w:pPr>
      <w:bookmarkStart w:id="2" w:name="_Toc506117171"/>
      <w:bookmarkStart w:id="3" w:name="_Toc507938211"/>
      <w:bookmarkStart w:id="4" w:name="_Toc326830702"/>
      <w:bookmarkStart w:id="5" w:name="_Toc327452571"/>
      <w:r w:rsidRPr="00BB5CDF">
        <w:rPr>
          <w:sz w:val="24"/>
          <w:szCs w:val="24"/>
        </w:rPr>
        <w:t>scope</w:t>
      </w:r>
      <w:bookmarkEnd w:id="2"/>
      <w:bookmarkEnd w:id="3"/>
    </w:p>
    <w:p w:rsidR="00920086" w:rsidRDefault="00B0155E" w:rsidP="007748FC">
      <w:r>
        <w:rPr>
          <w:szCs w:val="24"/>
        </w:rPr>
        <w:t xml:space="preserve">One drive for Business (ODFB), </w:t>
      </w:r>
      <w:r w:rsidR="004C54B4">
        <w:rPr>
          <w:szCs w:val="24"/>
        </w:rPr>
        <w:t>Exchange Online</w:t>
      </w:r>
      <w:r>
        <w:rPr>
          <w:szCs w:val="24"/>
        </w:rPr>
        <w:t xml:space="preserve"> (EXO) and Sharepoint Online (SPO)</w:t>
      </w:r>
      <w:r w:rsidR="004C54B4">
        <w:rPr>
          <w:szCs w:val="24"/>
        </w:rPr>
        <w:t xml:space="preserve"> </w:t>
      </w:r>
      <w:r w:rsidR="00920086">
        <w:rPr>
          <w:szCs w:val="24"/>
        </w:rPr>
        <w:t>deployed within Microsoft Cloud Infrastructure and controls are classified under following categories:</w:t>
      </w:r>
    </w:p>
    <w:p w:rsidR="00920086" w:rsidRDefault="00920086" w:rsidP="00920086">
      <w:pPr>
        <w:pStyle w:val="NormalBullet1"/>
        <w:ind w:left="630"/>
      </w:pPr>
      <w:r>
        <w:t>Access Control</w:t>
      </w:r>
    </w:p>
    <w:p w:rsidR="00920086" w:rsidRDefault="00920086" w:rsidP="00920086">
      <w:pPr>
        <w:pStyle w:val="NormalBullet1"/>
        <w:ind w:left="630"/>
      </w:pPr>
      <w:r>
        <w:t>Secure Configuration and Administration</w:t>
      </w:r>
    </w:p>
    <w:p w:rsidR="00920086" w:rsidRDefault="00920086" w:rsidP="00920086">
      <w:pPr>
        <w:pStyle w:val="NormalBullet1"/>
        <w:ind w:left="630"/>
      </w:pPr>
      <w:r>
        <w:t>Logging, Auditing and Monitoring</w:t>
      </w:r>
    </w:p>
    <w:p w:rsidR="00920086" w:rsidRDefault="00920086" w:rsidP="007748FC">
      <w:pPr>
        <w:autoSpaceDE w:val="0"/>
        <w:autoSpaceDN w:val="0"/>
        <w:adjustRightInd w:val="0"/>
        <w:rPr>
          <w:b/>
          <w:szCs w:val="24"/>
        </w:rPr>
      </w:pPr>
      <w:r>
        <w:rPr>
          <w:b/>
        </w:rPr>
        <w:t>Compliance</w:t>
      </w:r>
      <w:r>
        <w:t xml:space="preserve"> with defined </w:t>
      </w:r>
      <w:r>
        <w:rPr>
          <w:b/>
        </w:rPr>
        <w:t xml:space="preserve">Mandatory </w:t>
      </w:r>
      <w:r>
        <w:t>control standards are considered necessary within the Al-Futtaim Group, unless their implementation unfavorably impacts business and operational requirements.</w:t>
      </w:r>
    </w:p>
    <w:p w:rsidR="00920086" w:rsidRDefault="00920086" w:rsidP="007748FC">
      <w:pPr>
        <w:autoSpaceDE w:val="0"/>
        <w:autoSpaceDN w:val="0"/>
        <w:adjustRightInd w:val="0"/>
      </w:pPr>
      <w:r>
        <w:rPr>
          <w:b/>
        </w:rPr>
        <w:t>Non-compliance</w:t>
      </w:r>
      <w:r>
        <w:t xml:space="preserve"> with Standards must be documented with </w:t>
      </w:r>
      <w:r>
        <w:rPr>
          <w:b/>
        </w:rPr>
        <w:t>Appendix I</w:t>
      </w:r>
      <w:r>
        <w:t xml:space="preserve">. Standard compliance status sheet must be submitted to the IT Compliance with non-compliance, mitigating controls, and related residual risk. The </w:t>
      </w:r>
      <w:r w:rsidR="00B4408C">
        <w:t xml:space="preserve">Information Security Group </w:t>
      </w:r>
      <w:r>
        <w:t>will review this sheet and ensure appropriate acceptance/ rejection signoffs are sought from appropriate authorities through formal exception document to avoid non-compliance.</w:t>
      </w:r>
    </w:p>
    <w:p w:rsidR="00920086" w:rsidRPr="007748FC" w:rsidRDefault="00920086" w:rsidP="007748FC">
      <w:pPr>
        <w:pStyle w:val="Heading1"/>
        <w:rPr>
          <w:sz w:val="24"/>
          <w:szCs w:val="24"/>
        </w:rPr>
      </w:pPr>
      <w:bookmarkStart w:id="6" w:name="_Toc363031306"/>
      <w:bookmarkStart w:id="7" w:name="_Toc361738415"/>
      <w:bookmarkStart w:id="8" w:name="_Toc361727406"/>
      <w:bookmarkStart w:id="9" w:name="_Toc365967015"/>
      <w:bookmarkStart w:id="10" w:name="_Toc378144444"/>
      <w:bookmarkStart w:id="11" w:name="_Toc379879804"/>
      <w:bookmarkStart w:id="12" w:name="_Toc379884968"/>
      <w:bookmarkStart w:id="13" w:name="_Toc385753516"/>
      <w:bookmarkStart w:id="14" w:name="_Toc507938212"/>
      <w:bookmarkEnd w:id="4"/>
      <w:bookmarkEnd w:id="5"/>
      <w:r w:rsidRPr="007748FC">
        <w:rPr>
          <w:sz w:val="24"/>
          <w:szCs w:val="24"/>
        </w:rPr>
        <w:t>Roles and Responsibilities</w:t>
      </w:r>
      <w:bookmarkEnd w:id="6"/>
      <w:bookmarkEnd w:id="7"/>
      <w:bookmarkEnd w:id="8"/>
      <w:bookmarkEnd w:id="9"/>
      <w:bookmarkEnd w:id="10"/>
      <w:bookmarkEnd w:id="11"/>
      <w:bookmarkEnd w:id="12"/>
      <w:bookmarkEnd w:id="13"/>
      <w:bookmarkEnd w:id="14"/>
      <w:r w:rsidRPr="007748FC">
        <w:rPr>
          <w:sz w:val="24"/>
          <w:szCs w:val="24"/>
        </w:rPr>
        <w:t xml:space="preserve"> </w:t>
      </w:r>
    </w:p>
    <w:p w:rsidR="00920086" w:rsidRPr="007748FC" w:rsidRDefault="00920086" w:rsidP="007748FC">
      <w:pPr>
        <w:pStyle w:val="NormalBullet1"/>
      </w:pPr>
      <w:r w:rsidRPr="007748FC">
        <w:t xml:space="preserve">Infrastructure &amp; Operations team shall be responsible for implementation of all the Controls mentioned in the standard on </w:t>
      </w:r>
      <w:r w:rsidR="0042549A" w:rsidRPr="007748FC">
        <w:t>One Drive for Business (ODFB)</w:t>
      </w:r>
      <w:r w:rsidR="002279F7">
        <w:t xml:space="preserve">, </w:t>
      </w:r>
      <w:r w:rsidR="00801F53">
        <w:t xml:space="preserve">Exchange </w:t>
      </w:r>
      <w:r w:rsidR="002279F7">
        <w:t>online (EXO) and Sharepoint (SPO)</w:t>
      </w:r>
      <w:r w:rsidR="00801F53">
        <w:t xml:space="preserve"> </w:t>
      </w:r>
      <w:r w:rsidRPr="007748FC">
        <w:t>from the publishing/last release date.</w:t>
      </w:r>
    </w:p>
    <w:p w:rsidR="00920086" w:rsidRPr="007748FC" w:rsidRDefault="00C2784F" w:rsidP="007748FC">
      <w:pPr>
        <w:pStyle w:val="NormalBullet1"/>
      </w:pPr>
      <w:r w:rsidRPr="007748FC">
        <w:t xml:space="preserve">InfoSec </w:t>
      </w:r>
      <w:r w:rsidR="00920086" w:rsidRPr="007748FC">
        <w:t xml:space="preserve">is responsible for controls compliance verification as per the Information Security Risk Management Framework </w:t>
      </w:r>
      <w:r w:rsidR="00B4408C" w:rsidRPr="007748FC">
        <w:t>(Refer</w:t>
      </w:r>
      <w:r w:rsidR="00BE0032" w:rsidRPr="007748FC">
        <w:t>: AFG</w:t>
      </w:r>
      <w:r w:rsidR="00920086" w:rsidRPr="007748FC">
        <w:t>-EIT-IG-GL-04_Information-Security-Risk-Management-Framework).</w:t>
      </w:r>
    </w:p>
    <w:p w:rsidR="00920086" w:rsidRPr="007748FC" w:rsidRDefault="00920086" w:rsidP="007748FC">
      <w:pPr>
        <w:pStyle w:val="NormalBullet1"/>
      </w:pPr>
      <w:r w:rsidRPr="007748FC">
        <w:t>The Internal Audit team m</w:t>
      </w:r>
      <w:r w:rsidR="00B4408C" w:rsidRPr="007748FC">
        <w:t>ay refer this standard durin</w:t>
      </w:r>
      <w:r w:rsidR="002279F7">
        <w:t xml:space="preserve">g One Drive for Business (ODFB), Sharepoint Online (SPO) and </w:t>
      </w:r>
      <w:r w:rsidR="00801F53">
        <w:t>Exchange Online</w:t>
      </w:r>
      <w:r w:rsidR="002279F7">
        <w:t xml:space="preserve"> (EXO)</w:t>
      </w:r>
      <w:r w:rsidR="00801F53">
        <w:t xml:space="preserve"> </w:t>
      </w:r>
      <w:r w:rsidRPr="007748FC">
        <w:t xml:space="preserve">Audit. </w:t>
      </w:r>
    </w:p>
    <w:p w:rsidR="009E3314" w:rsidRPr="007748FC" w:rsidRDefault="009E3314" w:rsidP="007748FC">
      <w:pPr>
        <w:pStyle w:val="Heading1"/>
        <w:rPr>
          <w:sz w:val="24"/>
          <w:szCs w:val="24"/>
        </w:rPr>
      </w:pPr>
      <w:bookmarkStart w:id="15" w:name="_Toc363031307"/>
      <w:bookmarkStart w:id="16" w:name="_Toc361738416"/>
      <w:bookmarkStart w:id="17" w:name="_Toc361727407"/>
      <w:bookmarkStart w:id="18" w:name="_Toc365967016"/>
      <w:bookmarkStart w:id="19" w:name="_Toc378144445"/>
      <w:bookmarkStart w:id="20" w:name="_Toc379879805"/>
      <w:bookmarkStart w:id="21" w:name="_Toc379884969"/>
      <w:bookmarkStart w:id="22" w:name="_Toc385753517"/>
      <w:bookmarkStart w:id="23" w:name="_Toc507938213"/>
      <w:r w:rsidRPr="007748FC">
        <w:rPr>
          <w:sz w:val="24"/>
          <w:szCs w:val="24"/>
        </w:rPr>
        <w:t>Document Review</w:t>
      </w:r>
      <w:bookmarkEnd w:id="15"/>
      <w:bookmarkEnd w:id="16"/>
      <w:bookmarkEnd w:id="17"/>
      <w:bookmarkEnd w:id="18"/>
      <w:bookmarkEnd w:id="19"/>
      <w:bookmarkEnd w:id="20"/>
      <w:bookmarkEnd w:id="21"/>
      <w:bookmarkEnd w:id="22"/>
      <w:bookmarkEnd w:id="23"/>
    </w:p>
    <w:p w:rsidR="009E3314" w:rsidRPr="007748FC" w:rsidRDefault="001E0900" w:rsidP="009E3314">
      <w:pPr>
        <w:autoSpaceDE w:val="0"/>
        <w:autoSpaceDN w:val="0"/>
        <w:adjustRightInd w:val="0"/>
      </w:pPr>
      <w:r w:rsidRPr="007748FC">
        <w:t>InfoSec</w:t>
      </w:r>
      <w:r w:rsidR="00CA3B2E" w:rsidRPr="007748FC">
        <w:t xml:space="preserve"> </w:t>
      </w:r>
      <w:r w:rsidR="00B4408C" w:rsidRPr="007748FC">
        <w:t>must</w:t>
      </w:r>
      <w:r w:rsidR="009E3314" w:rsidRPr="007748FC">
        <w:t xml:space="preserve"> review this document at least once in a year or whenever major changes occur in </w:t>
      </w:r>
      <w:r w:rsidR="00B4408C" w:rsidRPr="007748FC">
        <w:t>One Drive for Business (ODFB)</w:t>
      </w:r>
      <w:r w:rsidR="002279F7">
        <w:t xml:space="preserve">, Sharepoint Online (SPO) and </w:t>
      </w:r>
      <w:r w:rsidR="00776247">
        <w:t>Exchange Online</w:t>
      </w:r>
      <w:r w:rsidR="002279F7">
        <w:t xml:space="preserve"> (EXO)</w:t>
      </w:r>
      <w:r w:rsidR="00B4408C" w:rsidRPr="007748FC">
        <w:t xml:space="preserve"> </w:t>
      </w:r>
      <w:r w:rsidR="004B4605" w:rsidRPr="007748FC">
        <w:t xml:space="preserve">features/controls released by Microsoft </w:t>
      </w:r>
      <w:r w:rsidR="00B4408C" w:rsidRPr="007748FC">
        <w:t>and circulate for stakeholders review.</w:t>
      </w:r>
    </w:p>
    <w:p w:rsidR="00747B70" w:rsidRPr="007748FC" w:rsidRDefault="00747B70" w:rsidP="00747B70">
      <w:pPr>
        <w:pStyle w:val="Heading1"/>
        <w:rPr>
          <w:sz w:val="24"/>
          <w:szCs w:val="24"/>
        </w:rPr>
      </w:pPr>
      <w:bookmarkStart w:id="24" w:name="_Toc385753518"/>
      <w:bookmarkStart w:id="25" w:name="_Toc507938214"/>
      <w:r w:rsidRPr="007748FC">
        <w:rPr>
          <w:sz w:val="24"/>
          <w:szCs w:val="24"/>
        </w:rPr>
        <w:lastRenderedPageBreak/>
        <w:t>Access Control</w:t>
      </w:r>
      <w:bookmarkEnd w:id="24"/>
      <w:bookmarkEnd w:id="25"/>
    </w:p>
    <w:p w:rsidR="00747B70" w:rsidRPr="007748FC" w:rsidRDefault="00747B70" w:rsidP="007748FC">
      <w:pPr>
        <w:autoSpaceDE w:val="0"/>
        <w:autoSpaceDN w:val="0"/>
        <w:adjustRightInd w:val="0"/>
      </w:pPr>
      <w:r w:rsidRPr="007748FC">
        <w:t>This section contains standards designed to protect the confidentiality and integrity of information by introducing controls that restrict access to authorized users and limit the possibility of unauthorized access. Also address the control requirements related to legitimate user credentials, and the definition of users having similar access requirements into manageable groups.</w:t>
      </w:r>
    </w:p>
    <w:p w:rsidR="003075D7" w:rsidRPr="003075D7" w:rsidRDefault="003075D7" w:rsidP="003075D7">
      <w:pPr>
        <w:pStyle w:val="Caption"/>
        <w:keepNext/>
        <w:spacing w:after="0"/>
        <w:rPr>
          <w:rFonts w:eastAsia="Times New Roman" w:cs="Calibri"/>
        </w:rPr>
      </w:pPr>
      <w:bookmarkStart w:id="26" w:name="_Toc385753519"/>
      <w:bookmarkStart w:id="27" w:name="_Toc507938215"/>
      <w:r w:rsidRPr="003075D7">
        <w:rPr>
          <w:rFonts w:eastAsia="Times New Roman" w:cs="Calibri"/>
        </w:rPr>
        <w:t xml:space="preserve">Table </w:t>
      </w:r>
      <w:r w:rsidRPr="003075D7">
        <w:rPr>
          <w:rFonts w:eastAsia="Times New Roman" w:cs="Calibri"/>
        </w:rPr>
        <w:fldChar w:fldCharType="begin"/>
      </w:r>
      <w:r w:rsidRPr="003075D7">
        <w:rPr>
          <w:rFonts w:eastAsia="Times New Roman" w:cs="Calibri"/>
        </w:rPr>
        <w:instrText xml:space="preserve"> STYLEREF 1 \s </w:instrText>
      </w:r>
      <w:r w:rsidRPr="003075D7">
        <w:rPr>
          <w:rFonts w:eastAsia="Times New Roman" w:cs="Calibri"/>
        </w:rPr>
        <w:fldChar w:fldCharType="separate"/>
      </w:r>
      <w:r w:rsidRPr="003075D7">
        <w:rPr>
          <w:rFonts w:eastAsia="Times New Roman" w:cs="Calibri"/>
        </w:rPr>
        <w:t>5</w:t>
      </w:r>
      <w:r w:rsidRPr="003075D7">
        <w:rPr>
          <w:rFonts w:eastAsia="Times New Roman" w:cs="Calibri"/>
        </w:rPr>
        <w:fldChar w:fldCharType="end"/>
      </w:r>
      <w:r w:rsidRPr="003075D7">
        <w:rPr>
          <w:rFonts w:eastAsia="Times New Roman" w:cs="Calibri"/>
        </w:rPr>
        <w:noBreakHyphen/>
      </w:r>
      <w:r w:rsidRPr="003075D7">
        <w:rPr>
          <w:rFonts w:eastAsia="Times New Roman" w:cs="Calibri"/>
        </w:rPr>
        <w:fldChar w:fldCharType="begin"/>
      </w:r>
      <w:r w:rsidRPr="003075D7">
        <w:rPr>
          <w:rFonts w:eastAsia="Times New Roman" w:cs="Calibri"/>
        </w:rPr>
        <w:instrText xml:space="preserve"> SEQ Table \* ARABIC \s 1 </w:instrText>
      </w:r>
      <w:r w:rsidRPr="003075D7">
        <w:rPr>
          <w:rFonts w:eastAsia="Times New Roman" w:cs="Calibri"/>
        </w:rPr>
        <w:fldChar w:fldCharType="separate"/>
      </w:r>
      <w:r w:rsidRPr="003075D7">
        <w:rPr>
          <w:rFonts w:eastAsia="Times New Roman" w:cs="Calibri"/>
        </w:rPr>
        <w:t>1</w:t>
      </w:r>
      <w:r w:rsidRPr="003075D7">
        <w:rPr>
          <w:rFonts w:eastAsia="Times New Roman" w:cs="Calibri"/>
        </w:rPr>
        <w:fldChar w:fldCharType="end"/>
      </w:r>
      <w:r w:rsidRPr="003075D7">
        <w:rPr>
          <w:rFonts w:eastAsia="Times New Roman" w:cs="Calibri"/>
        </w:rPr>
        <w:t xml:space="preserve"> Access Control</w:t>
      </w:r>
      <w:bookmarkEnd w:id="26"/>
      <w:bookmarkEnd w:id="27"/>
    </w:p>
    <w:tbl>
      <w:tblPr>
        <w:tblStyle w:val="TableGrid1"/>
        <w:tblW w:w="0" w:type="auto"/>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553"/>
        <w:gridCol w:w="2112"/>
        <w:gridCol w:w="2216"/>
        <w:gridCol w:w="3004"/>
        <w:gridCol w:w="1278"/>
      </w:tblGrid>
      <w:tr w:rsidR="00DE7BAC" w:rsidRPr="008227F5" w:rsidTr="00C65636">
        <w:trPr>
          <w:jc w:val="center"/>
        </w:trPr>
        <w:tc>
          <w:tcPr>
            <w:tcW w:w="553" w:type="dxa"/>
            <w:shd w:val="clear" w:color="auto" w:fill="C6D9F1"/>
            <w:vAlign w:val="center"/>
          </w:tcPr>
          <w:p w:rsidR="008227F5" w:rsidRPr="008227F5" w:rsidRDefault="008227F5" w:rsidP="008227F5">
            <w:pPr>
              <w:spacing w:after="40"/>
              <w:jc w:val="center"/>
              <w:rPr>
                <w:rFonts w:asciiTheme="minorHAnsi" w:hAnsiTheme="minorHAnsi"/>
                <w:b/>
              </w:rPr>
            </w:pPr>
            <w:r w:rsidRPr="008227F5">
              <w:rPr>
                <w:rFonts w:asciiTheme="minorHAnsi" w:hAnsiTheme="minorHAnsi"/>
                <w:b/>
              </w:rPr>
              <w:t>Sr. No.</w:t>
            </w:r>
          </w:p>
        </w:tc>
        <w:tc>
          <w:tcPr>
            <w:tcW w:w="2112" w:type="dxa"/>
            <w:shd w:val="clear" w:color="auto" w:fill="C6D9F1"/>
          </w:tcPr>
          <w:p w:rsidR="008227F5" w:rsidRPr="008227F5" w:rsidRDefault="008227F5" w:rsidP="008227F5">
            <w:pPr>
              <w:spacing w:after="40"/>
              <w:rPr>
                <w:rFonts w:asciiTheme="minorHAnsi" w:hAnsiTheme="minorHAnsi"/>
                <w:b/>
              </w:rPr>
            </w:pPr>
            <w:r w:rsidRPr="008227F5">
              <w:rPr>
                <w:rFonts w:asciiTheme="minorHAnsi" w:hAnsiTheme="minorHAnsi"/>
                <w:b/>
              </w:rPr>
              <w:t>Control Standard / Requirement</w:t>
            </w:r>
          </w:p>
        </w:tc>
        <w:tc>
          <w:tcPr>
            <w:tcW w:w="2216" w:type="dxa"/>
            <w:shd w:val="clear" w:color="auto" w:fill="C6D9F1"/>
          </w:tcPr>
          <w:p w:rsidR="008227F5" w:rsidRPr="008227F5" w:rsidRDefault="008227F5" w:rsidP="008227F5">
            <w:pPr>
              <w:spacing w:after="40"/>
              <w:rPr>
                <w:rFonts w:asciiTheme="minorHAnsi" w:hAnsiTheme="minorHAnsi"/>
                <w:b/>
              </w:rPr>
            </w:pPr>
            <w:r w:rsidRPr="008227F5">
              <w:rPr>
                <w:rFonts w:asciiTheme="minorHAnsi" w:hAnsiTheme="minorHAnsi"/>
                <w:b/>
              </w:rPr>
              <w:t>Impact if Not Implemented</w:t>
            </w:r>
          </w:p>
        </w:tc>
        <w:tc>
          <w:tcPr>
            <w:tcW w:w="3004" w:type="dxa"/>
            <w:shd w:val="clear" w:color="auto" w:fill="C6D9F1"/>
          </w:tcPr>
          <w:p w:rsidR="008227F5" w:rsidRPr="008227F5" w:rsidRDefault="008227F5" w:rsidP="008227F5">
            <w:pPr>
              <w:spacing w:after="40"/>
              <w:rPr>
                <w:rFonts w:asciiTheme="minorHAnsi" w:hAnsiTheme="minorHAnsi"/>
                <w:b/>
              </w:rPr>
            </w:pPr>
            <w:r w:rsidRPr="008227F5">
              <w:rPr>
                <w:rFonts w:asciiTheme="minorHAnsi" w:hAnsiTheme="minorHAnsi"/>
                <w:b/>
              </w:rPr>
              <w:t>Implementation Procedures</w:t>
            </w:r>
          </w:p>
        </w:tc>
        <w:tc>
          <w:tcPr>
            <w:tcW w:w="1278" w:type="dxa"/>
            <w:shd w:val="clear" w:color="auto" w:fill="C6D9F1"/>
          </w:tcPr>
          <w:p w:rsidR="008227F5" w:rsidRPr="008227F5" w:rsidRDefault="008227F5" w:rsidP="008227F5">
            <w:pPr>
              <w:spacing w:after="40"/>
              <w:rPr>
                <w:rFonts w:asciiTheme="minorHAnsi" w:hAnsiTheme="minorHAnsi"/>
                <w:b/>
              </w:rPr>
            </w:pPr>
            <w:r w:rsidRPr="008227F5">
              <w:rPr>
                <w:rFonts w:asciiTheme="minorHAnsi" w:hAnsiTheme="minorHAnsi"/>
                <w:b/>
              </w:rPr>
              <w:t>Mandatory/ Good to Have</w:t>
            </w:r>
          </w:p>
        </w:tc>
      </w:tr>
      <w:tr w:rsidR="00F85C73" w:rsidRPr="008227F5" w:rsidTr="00066CA8">
        <w:trPr>
          <w:jc w:val="center"/>
        </w:trPr>
        <w:tc>
          <w:tcPr>
            <w:tcW w:w="9163" w:type="dxa"/>
            <w:gridSpan w:val="5"/>
          </w:tcPr>
          <w:p w:rsidR="00F85C73" w:rsidRDefault="00F85C73" w:rsidP="00F85C73">
            <w:pPr>
              <w:autoSpaceDE w:val="0"/>
              <w:autoSpaceDN w:val="0"/>
              <w:adjustRightInd w:val="0"/>
              <w:spacing w:after="40"/>
              <w:jc w:val="left"/>
              <w:rPr>
                <w:rFonts w:asciiTheme="minorHAnsi" w:hAnsiTheme="minorHAnsi"/>
                <w:b/>
              </w:rPr>
            </w:pPr>
            <w:r>
              <w:rPr>
                <w:rFonts w:asciiTheme="minorHAnsi" w:hAnsiTheme="minorHAnsi"/>
                <w:b/>
              </w:rPr>
              <w:t>Common Access Controls for all services of O365</w:t>
            </w:r>
          </w:p>
        </w:tc>
      </w:tr>
      <w:tr w:rsidR="00DE7BAC" w:rsidRPr="008227F5" w:rsidTr="00C65636">
        <w:trPr>
          <w:jc w:val="center"/>
        </w:trPr>
        <w:tc>
          <w:tcPr>
            <w:tcW w:w="553" w:type="dxa"/>
          </w:tcPr>
          <w:p w:rsidR="00E828AB" w:rsidRPr="008227F5" w:rsidRDefault="00E828AB" w:rsidP="00756C74">
            <w:pPr>
              <w:numPr>
                <w:ilvl w:val="0"/>
                <w:numId w:val="7"/>
              </w:numPr>
              <w:spacing w:after="40"/>
              <w:ind w:right="-108"/>
              <w:jc w:val="left"/>
              <w:rPr>
                <w:rFonts w:asciiTheme="minorHAnsi" w:hAnsiTheme="minorHAnsi"/>
                <w:bCs/>
              </w:rPr>
            </w:pPr>
          </w:p>
        </w:tc>
        <w:tc>
          <w:tcPr>
            <w:tcW w:w="2112" w:type="dxa"/>
          </w:tcPr>
          <w:p w:rsidR="00B433A4" w:rsidRDefault="00E828AB" w:rsidP="00B433A4">
            <w:pPr>
              <w:autoSpaceDE w:val="0"/>
              <w:autoSpaceDN w:val="0"/>
              <w:adjustRightInd w:val="0"/>
              <w:jc w:val="left"/>
              <w:rPr>
                <w:b/>
                <w:szCs w:val="24"/>
              </w:rPr>
            </w:pPr>
            <w:r w:rsidRPr="006245A5">
              <w:rPr>
                <w:b/>
                <w:szCs w:val="24"/>
              </w:rPr>
              <w:t xml:space="preserve">Restrict </w:t>
            </w:r>
            <w:r w:rsidR="00B433A4">
              <w:rPr>
                <w:b/>
                <w:szCs w:val="24"/>
              </w:rPr>
              <w:t xml:space="preserve">access to the </w:t>
            </w:r>
            <w:r w:rsidR="001E0900">
              <w:rPr>
                <w:b/>
                <w:szCs w:val="24"/>
              </w:rPr>
              <w:t xml:space="preserve">O365 </w:t>
            </w:r>
            <w:r w:rsidR="00B433A4">
              <w:rPr>
                <w:b/>
                <w:szCs w:val="24"/>
              </w:rPr>
              <w:t xml:space="preserve">group administrator  portal and </w:t>
            </w:r>
            <w:r w:rsidR="002E0637">
              <w:rPr>
                <w:b/>
                <w:szCs w:val="24"/>
              </w:rPr>
              <w:t>other</w:t>
            </w:r>
            <w:r w:rsidR="00B433A4">
              <w:rPr>
                <w:b/>
                <w:szCs w:val="24"/>
              </w:rPr>
              <w:t xml:space="preserve"> administrator roles</w:t>
            </w:r>
          </w:p>
          <w:p w:rsidR="00E828AB" w:rsidRPr="008227F5" w:rsidRDefault="00B433A4" w:rsidP="00B433A4">
            <w:pPr>
              <w:autoSpaceDE w:val="0"/>
              <w:autoSpaceDN w:val="0"/>
              <w:adjustRightInd w:val="0"/>
              <w:jc w:val="left"/>
              <w:rPr>
                <w:rFonts w:asciiTheme="minorHAnsi" w:hAnsiTheme="minorHAnsi"/>
                <w:b/>
                <w:lang w:val="en-GB"/>
              </w:rPr>
            </w:pPr>
            <w:r>
              <w:rPr>
                <w:szCs w:val="24"/>
              </w:rPr>
              <w:t xml:space="preserve">Access to the group admin and other admin portals need to be restricted to designated AFG administrator of Infrastructure and operations team users  only </w:t>
            </w:r>
          </w:p>
        </w:tc>
        <w:tc>
          <w:tcPr>
            <w:tcW w:w="2216" w:type="dxa"/>
          </w:tcPr>
          <w:p w:rsidR="00E828AB" w:rsidRPr="006245A5" w:rsidRDefault="003075D7" w:rsidP="006245A5">
            <w:pPr>
              <w:autoSpaceDE w:val="0"/>
              <w:autoSpaceDN w:val="0"/>
              <w:adjustRightInd w:val="0"/>
              <w:jc w:val="left"/>
              <w:rPr>
                <w:rFonts w:asciiTheme="minorHAnsi" w:hAnsiTheme="minorHAnsi"/>
              </w:rPr>
            </w:pPr>
            <w:r w:rsidRPr="006245A5">
              <w:rPr>
                <w:szCs w:val="24"/>
              </w:rPr>
              <w:t>O365 administration portal with broad access to admins may lead to access by multiple users. This situation can result</w:t>
            </w:r>
            <w:r w:rsidR="00F90B64" w:rsidRPr="006245A5">
              <w:rPr>
                <w:szCs w:val="24"/>
              </w:rPr>
              <w:t xml:space="preserve"> in configuration discrepancies.</w:t>
            </w:r>
          </w:p>
        </w:tc>
        <w:tc>
          <w:tcPr>
            <w:tcW w:w="3004" w:type="dxa"/>
          </w:tcPr>
          <w:p w:rsidR="00E828AB" w:rsidRPr="006245A5" w:rsidRDefault="003075D7" w:rsidP="000D0F3B">
            <w:pPr>
              <w:pStyle w:val="NormalBullet1"/>
              <w:jc w:val="left"/>
            </w:pPr>
            <w:r w:rsidRPr="006245A5">
              <w:t>Enable multi-factor authentication for global administrator and other administrator roles</w:t>
            </w:r>
          </w:p>
          <w:p w:rsidR="003075D7" w:rsidRPr="008227F5" w:rsidRDefault="003075D7" w:rsidP="000D0F3B">
            <w:pPr>
              <w:pStyle w:val="NormalBullet1"/>
              <w:jc w:val="left"/>
              <w:rPr>
                <w:rFonts w:asciiTheme="minorHAnsi" w:hAnsiTheme="minorHAnsi"/>
              </w:rPr>
            </w:pPr>
            <w:r w:rsidRPr="006245A5">
              <w:t xml:space="preserve">Leverage </w:t>
            </w:r>
            <w:r w:rsidR="002E0637">
              <w:t>Azure</w:t>
            </w:r>
            <w:r w:rsidR="00B11802" w:rsidRPr="006245A5">
              <w:t xml:space="preserve"> multi-factor authentication</w:t>
            </w:r>
            <w:r w:rsidRPr="006245A5">
              <w:t xml:space="preserve"> sol</w:t>
            </w:r>
            <w:r w:rsidR="00B433A4">
              <w:t xml:space="preserve">ution for strong authentication </w:t>
            </w:r>
            <w:r w:rsidRPr="006245A5">
              <w:t xml:space="preserve">in addition to </w:t>
            </w:r>
            <w:r w:rsidR="00B11802" w:rsidRPr="006245A5">
              <w:t xml:space="preserve">Al Futtaim </w:t>
            </w:r>
            <w:r w:rsidR="00B433A4">
              <w:t xml:space="preserve">ADFS authentication </w:t>
            </w:r>
            <w:r w:rsidR="000A6125">
              <w:t xml:space="preserve">to access O365 SAAS platform </w:t>
            </w:r>
          </w:p>
        </w:tc>
        <w:tc>
          <w:tcPr>
            <w:tcW w:w="1278" w:type="dxa"/>
          </w:tcPr>
          <w:p w:rsidR="00E828AB" w:rsidRPr="008227F5" w:rsidRDefault="00E8454C" w:rsidP="008227F5">
            <w:pPr>
              <w:autoSpaceDE w:val="0"/>
              <w:autoSpaceDN w:val="0"/>
              <w:adjustRightInd w:val="0"/>
              <w:spacing w:after="40"/>
              <w:jc w:val="center"/>
              <w:rPr>
                <w:rFonts w:asciiTheme="minorHAnsi" w:hAnsiTheme="minorHAnsi"/>
                <w:b/>
              </w:rPr>
            </w:pPr>
            <w:r>
              <w:rPr>
                <w:rFonts w:asciiTheme="minorHAnsi" w:hAnsiTheme="minorHAnsi"/>
                <w:b/>
              </w:rPr>
              <w:t>Mandatory</w:t>
            </w:r>
          </w:p>
        </w:tc>
      </w:tr>
      <w:tr w:rsidR="00C65636" w:rsidRPr="008227F5" w:rsidTr="00C65636">
        <w:trPr>
          <w:jc w:val="center"/>
        </w:trPr>
        <w:tc>
          <w:tcPr>
            <w:tcW w:w="553" w:type="dxa"/>
          </w:tcPr>
          <w:p w:rsidR="00C65636" w:rsidRPr="008227F5" w:rsidRDefault="00C65636" w:rsidP="00756C74">
            <w:pPr>
              <w:numPr>
                <w:ilvl w:val="0"/>
                <w:numId w:val="7"/>
              </w:numPr>
              <w:spacing w:after="40"/>
              <w:ind w:right="-108"/>
              <w:jc w:val="left"/>
              <w:rPr>
                <w:rFonts w:asciiTheme="minorHAnsi" w:hAnsiTheme="minorHAnsi"/>
                <w:bCs/>
              </w:rPr>
            </w:pPr>
          </w:p>
        </w:tc>
        <w:tc>
          <w:tcPr>
            <w:tcW w:w="2112" w:type="dxa"/>
          </w:tcPr>
          <w:p w:rsidR="00C65636" w:rsidRPr="006245A5" w:rsidRDefault="006245A5" w:rsidP="006245A5">
            <w:pPr>
              <w:autoSpaceDE w:val="0"/>
              <w:autoSpaceDN w:val="0"/>
              <w:adjustRightInd w:val="0"/>
              <w:jc w:val="left"/>
              <w:rPr>
                <w:b/>
                <w:szCs w:val="24"/>
              </w:rPr>
            </w:pPr>
            <w:r w:rsidRPr="006245A5">
              <w:rPr>
                <w:b/>
                <w:szCs w:val="24"/>
              </w:rPr>
              <w:t xml:space="preserve">AFG </w:t>
            </w:r>
            <w:r w:rsidR="003F0D52">
              <w:rPr>
                <w:b/>
                <w:szCs w:val="24"/>
              </w:rPr>
              <w:t xml:space="preserve">End </w:t>
            </w:r>
            <w:r w:rsidRPr="006245A5">
              <w:rPr>
                <w:b/>
                <w:szCs w:val="24"/>
              </w:rPr>
              <w:t>User Authentication</w:t>
            </w:r>
          </w:p>
          <w:p w:rsidR="006245A5" w:rsidRPr="008227F5" w:rsidRDefault="002E0637" w:rsidP="003075D7">
            <w:pPr>
              <w:spacing w:after="40"/>
              <w:jc w:val="left"/>
              <w:rPr>
                <w:rFonts w:asciiTheme="minorHAnsi" w:hAnsiTheme="minorHAnsi"/>
                <w:b/>
                <w:lang w:val="en-GB"/>
              </w:rPr>
            </w:pPr>
            <w:r>
              <w:rPr>
                <w:szCs w:val="24"/>
              </w:rPr>
              <w:t xml:space="preserve">AFG User should access the O365 platform using the AFG domain credentials </w:t>
            </w:r>
          </w:p>
        </w:tc>
        <w:tc>
          <w:tcPr>
            <w:tcW w:w="2216" w:type="dxa"/>
          </w:tcPr>
          <w:p w:rsidR="00C65636" w:rsidRDefault="000A6125" w:rsidP="00E8454C">
            <w:pPr>
              <w:spacing w:after="40"/>
              <w:jc w:val="left"/>
              <w:rPr>
                <w:rFonts w:asciiTheme="minorHAnsi" w:hAnsiTheme="minorHAnsi"/>
                <w:lang w:val="en-GB"/>
              </w:rPr>
            </w:pPr>
            <w:r>
              <w:rPr>
                <w:rFonts w:asciiTheme="minorHAnsi" w:hAnsiTheme="minorHAnsi"/>
                <w:lang w:val="en-GB"/>
              </w:rPr>
              <w:t>Unauthorized</w:t>
            </w:r>
            <w:r w:rsidR="005402A4">
              <w:rPr>
                <w:rFonts w:asciiTheme="minorHAnsi" w:hAnsiTheme="minorHAnsi"/>
                <w:lang w:val="en-GB"/>
              </w:rPr>
              <w:t xml:space="preserve"> access</w:t>
            </w:r>
            <w:r w:rsidR="00E8454C">
              <w:rPr>
                <w:rFonts w:asciiTheme="minorHAnsi" w:hAnsiTheme="minorHAnsi"/>
                <w:lang w:val="en-GB"/>
              </w:rPr>
              <w:t xml:space="preserve"> and privileges</w:t>
            </w:r>
            <w:r w:rsidR="005402A4">
              <w:rPr>
                <w:rFonts w:asciiTheme="minorHAnsi" w:hAnsiTheme="minorHAnsi"/>
                <w:lang w:val="en-GB"/>
              </w:rPr>
              <w:t xml:space="preserve"> </w:t>
            </w:r>
            <w:r>
              <w:rPr>
                <w:rFonts w:asciiTheme="minorHAnsi" w:hAnsiTheme="minorHAnsi"/>
                <w:lang w:val="en-GB"/>
              </w:rPr>
              <w:t>to O365 AFG account</w:t>
            </w:r>
            <w:r w:rsidR="001E0900">
              <w:rPr>
                <w:rFonts w:asciiTheme="minorHAnsi" w:hAnsiTheme="minorHAnsi"/>
                <w:lang w:val="en-GB"/>
              </w:rPr>
              <w:t xml:space="preserve"> and information</w:t>
            </w:r>
            <w:r w:rsidR="00D75C0C">
              <w:rPr>
                <w:rFonts w:asciiTheme="minorHAnsi" w:hAnsiTheme="minorHAnsi"/>
                <w:lang w:val="en-GB"/>
              </w:rPr>
              <w:t>.</w:t>
            </w:r>
          </w:p>
        </w:tc>
        <w:tc>
          <w:tcPr>
            <w:tcW w:w="3004" w:type="dxa"/>
          </w:tcPr>
          <w:p w:rsidR="00091CD0" w:rsidRPr="00091CD0" w:rsidRDefault="00091CD0" w:rsidP="000D0F3B">
            <w:pPr>
              <w:pStyle w:val="NormalBullet1"/>
              <w:jc w:val="left"/>
              <w:rPr>
                <w:rFonts w:asciiTheme="minorHAnsi" w:hAnsiTheme="minorHAnsi"/>
              </w:rPr>
            </w:pPr>
            <w:r>
              <w:t xml:space="preserve">AFG </w:t>
            </w:r>
            <w:r w:rsidR="00E8454C">
              <w:t>A</w:t>
            </w:r>
            <w:r>
              <w:t>ctive Directory Federation Services (ADFS) authentication</w:t>
            </w:r>
            <w:r w:rsidR="00E8454C">
              <w:t xml:space="preserve"> should be in place using SAML </w:t>
            </w:r>
            <w:r>
              <w:t>a</w:t>
            </w:r>
            <w:r w:rsidR="00E8454C">
              <w:t>uthentication</w:t>
            </w:r>
            <w:r>
              <w:t xml:space="preserve"> when in AFG network or through AFG VPN</w:t>
            </w:r>
          </w:p>
          <w:p w:rsidR="00A1678A" w:rsidRPr="00A1678A" w:rsidRDefault="00091CD0" w:rsidP="000D0F3B">
            <w:pPr>
              <w:pStyle w:val="NormalBullet1"/>
              <w:jc w:val="left"/>
              <w:rPr>
                <w:rFonts w:asciiTheme="minorHAnsi" w:hAnsiTheme="minorHAnsi"/>
              </w:rPr>
            </w:pPr>
            <w:r>
              <w:t>Any connections initiated from outside AFG network or AFG VPN need to have a Multi</w:t>
            </w:r>
            <w:r w:rsidR="00A1678A">
              <w:t>-factor authentication in place</w:t>
            </w:r>
          </w:p>
        </w:tc>
        <w:tc>
          <w:tcPr>
            <w:tcW w:w="1278" w:type="dxa"/>
          </w:tcPr>
          <w:p w:rsidR="00C65636" w:rsidRDefault="00091CD0" w:rsidP="008227F5">
            <w:pPr>
              <w:autoSpaceDE w:val="0"/>
              <w:autoSpaceDN w:val="0"/>
              <w:adjustRightInd w:val="0"/>
              <w:spacing w:after="40"/>
              <w:jc w:val="center"/>
              <w:rPr>
                <w:rFonts w:asciiTheme="minorHAnsi" w:hAnsiTheme="minorHAnsi"/>
                <w:b/>
              </w:rPr>
            </w:pPr>
            <w:r>
              <w:rPr>
                <w:rFonts w:asciiTheme="minorHAnsi" w:hAnsiTheme="minorHAnsi"/>
                <w:b/>
              </w:rPr>
              <w:t>Mandatory</w:t>
            </w:r>
          </w:p>
        </w:tc>
      </w:tr>
      <w:tr w:rsidR="00513E44" w:rsidRPr="008227F5" w:rsidTr="00C65636">
        <w:trPr>
          <w:jc w:val="center"/>
        </w:trPr>
        <w:tc>
          <w:tcPr>
            <w:tcW w:w="553" w:type="dxa"/>
          </w:tcPr>
          <w:p w:rsidR="00513E44" w:rsidRPr="008227F5" w:rsidRDefault="00513E44" w:rsidP="00756C74">
            <w:pPr>
              <w:numPr>
                <w:ilvl w:val="0"/>
                <w:numId w:val="7"/>
              </w:numPr>
              <w:spacing w:after="40"/>
              <w:ind w:right="-108"/>
              <w:jc w:val="left"/>
              <w:rPr>
                <w:rFonts w:asciiTheme="minorHAnsi" w:hAnsiTheme="minorHAnsi"/>
                <w:bCs/>
              </w:rPr>
            </w:pPr>
          </w:p>
        </w:tc>
        <w:tc>
          <w:tcPr>
            <w:tcW w:w="2112" w:type="dxa"/>
          </w:tcPr>
          <w:p w:rsidR="00513E44" w:rsidRDefault="00513E44" w:rsidP="006245A5">
            <w:pPr>
              <w:autoSpaceDE w:val="0"/>
              <w:autoSpaceDN w:val="0"/>
              <w:adjustRightInd w:val="0"/>
              <w:jc w:val="left"/>
              <w:rPr>
                <w:b/>
                <w:szCs w:val="24"/>
              </w:rPr>
            </w:pPr>
            <w:r>
              <w:rPr>
                <w:b/>
                <w:szCs w:val="24"/>
              </w:rPr>
              <w:t xml:space="preserve">Authorized AFG Devices </w:t>
            </w:r>
          </w:p>
          <w:p w:rsidR="00513E44" w:rsidRPr="00513E44" w:rsidRDefault="00513E44" w:rsidP="00513E44">
            <w:pPr>
              <w:spacing w:after="40"/>
              <w:jc w:val="left"/>
              <w:rPr>
                <w:szCs w:val="24"/>
              </w:rPr>
            </w:pPr>
            <w:r w:rsidRPr="00513E44">
              <w:rPr>
                <w:szCs w:val="24"/>
              </w:rPr>
              <w:t xml:space="preserve">Access to O365 platform should be allowed only from AFG managed devices </w:t>
            </w:r>
          </w:p>
          <w:p w:rsidR="00513E44" w:rsidRPr="006245A5" w:rsidRDefault="00513E44" w:rsidP="006245A5">
            <w:pPr>
              <w:autoSpaceDE w:val="0"/>
              <w:autoSpaceDN w:val="0"/>
              <w:adjustRightInd w:val="0"/>
              <w:jc w:val="left"/>
              <w:rPr>
                <w:b/>
                <w:szCs w:val="24"/>
              </w:rPr>
            </w:pPr>
          </w:p>
        </w:tc>
        <w:tc>
          <w:tcPr>
            <w:tcW w:w="2216" w:type="dxa"/>
          </w:tcPr>
          <w:p w:rsidR="00513E44" w:rsidRDefault="001E0900" w:rsidP="00986EDB">
            <w:pPr>
              <w:spacing w:after="40"/>
              <w:jc w:val="left"/>
              <w:rPr>
                <w:rFonts w:asciiTheme="minorHAnsi" w:hAnsiTheme="minorHAnsi"/>
                <w:lang w:val="en-GB"/>
              </w:rPr>
            </w:pPr>
            <w:r>
              <w:rPr>
                <w:rFonts w:asciiTheme="minorHAnsi" w:hAnsiTheme="minorHAnsi"/>
                <w:lang w:val="en-GB"/>
              </w:rPr>
              <w:t xml:space="preserve">Unauthorized </w:t>
            </w:r>
            <w:r w:rsidR="00986EDB">
              <w:rPr>
                <w:rFonts w:asciiTheme="minorHAnsi" w:hAnsiTheme="minorHAnsi"/>
                <w:lang w:val="en-GB"/>
              </w:rPr>
              <w:t xml:space="preserve">devices </w:t>
            </w:r>
            <w:r>
              <w:rPr>
                <w:rFonts w:asciiTheme="minorHAnsi" w:hAnsiTheme="minorHAnsi"/>
                <w:lang w:val="en-GB"/>
              </w:rPr>
              <w:t>access O365 AFG account</w:t>
            </w:r>
            <w:r w:rsidR="00986EDB">
              <w:rPr>
                <w:rFonts w:asciiTheme="minorHAnsi" w:hAnsiTheme="minorHAnsi"/>
                <w:lang w:val="en-GB"/>
              </w:rPr>
              <w:t xml:space="preserve"> and information.</w:t>
            </w:r>
          </w:p>
        </w:tc>
        <w:tc>
          <w:tcPr>
            <w:tcW w:w="3004" w:type="dxa"/>
          </w:tcPr>
          <w:p w:rsidR="00513E44" w:rsidRDefault="001E0900" w:rsidP="000D0F3B">
            <w:pPr>
              <w:pStyle w:val="NormalBullet1"/>
              <w:jc w:val="left"/>
            </w:pPr>
            <w:r>
              <w:t>Access will be allowed only from corporate AD domain joined desktops / laptops</w:t>
            </w:r>
          </w:p>
          <w:p w:rsidR="001E0900" w:rsidRDefault="001E0900" w:rsidP="000D0F3B">
            <w:pPr>
              <w:pStyle w:val="NormalBullet1"/>
              <w:jc w:val="left"/>
            </w:pPr>
            <w:r>
              <w:t xml:space="preserve">Mobile devices registered in </w:t>
            </w:r>
            <w:r w:rsidR="00986EDB">
              <w:t xml:space="preserve">AFG managed </w:t>
            </w:r>
            <w:r>
              <w:t xml:space="preserve">Air watch </w:t>
            </w:r>
            <w:r w:rsidR="0096473E">
              <w:t>Enterprise mobility management solution</w:t>
            </w:r>
            <w:r>
              <w:t xml:space="preserve"> </w:t>
            </w:r>
            <w:r w:rsidR="00986EDB">
              <w:t xml:space="preserve">will be allowed to access the O365 </w:t>
            </w:r>
          </w:p>
        </w:tc>
        <w:tc>
          <w:tcPr>
            <w:tcW w:w="1278" w:type="dxa"/>
          </w:tcPr>
          <w:p w:rsidR="00513E44" w:rsidRDefault="00986EDB" w:rsidP="008227F5">
            <w:pPr>
              <w:autoSpaceDE w:val="0"/>
              <w:autoSpaceDN w:val="0"/>
              <w:adjustRightInd w:val="0"/>
              <w:spacing w:after="40"/>
              <w:jc w:val="center"/>
              <w:rPr>
                <w:rFonts w:asciiTheme="minorHAnsi" w:hAnsiTheme="minorHAnsi"/>
                <w:b/>
              </w:rPr>
            </w:pPr>
            <w:r>
              <w:rPr>
                <w:rFonts w:asciiTheme="minorHAnsi" w:hAnsiTheme="minorHAnsi"/>
                <w:b/>
              </w:rPr>
              <w:t>Mandatory</w:t>
            </w:r>
          </w:p>
        </w:tc>
      </w:tr>
    </w:tbl>
    <w:p w:rsidR="00C65636" w:rsidRDefault="00C65636" w:rsidP="009E3314">
      <w:pPr>
        <w:autoSpaceDE w:val="0"/>
        <w:autoSpaceDN w:val="0"/>
        <w:adjustRightInd w:val="0"/>
        <w:rPr>
          <w:b/>
          <w:szCs w:val="24"/>
        </w:rPr>
      </w:pPr>
    </w:p>
    <w:p w:rsidR="00C65636" w:rsidRDefault="00C65636" w:rsidP="00C65636">
      <w:pPr>
        <w:pStyle w:val="Heading1"/>
      </w:pPr>
      <w:bookmarkStart w:id="28" w:name="_Toc385753520"/>
      <w:bookmarkStart w:id="29" w:name="_Toc507938216"/>
      <w:r>
        <w:t>Secure Configuration and Administration</w:t>
      </w:r>
      <w:bookmarkEnd w:id="28"/>
      <w:bookmarkEnd w:id="29"/>
    </w:p>
    <w:p w:rsidR="00C65636" w:rsidRDefault="00C65636" w:rsidP="00C65636">
      <w:r w:rsidRPr="00F43AAA">
        <w:t>Secure Configuration and Administration is to set the best practices recommended for controlling production configurations. By identifying, controlling, maintaining and verifying the items</w:t>
      </w:r>
      <w:r w:rsidR="005D57F3">
        <w:t>,</w:t>
      </w:r>
      <w:r w:rsidRPr="00F43AAA">
        <w:t xml:space="preserve"> make Al-</w:t>
      </w:r>
      <w:r>
        <w:t>Futtaim Group information</w:t>
      </w:r>
      <w:r w:rsidR="005D57F3">
        <w:t xml:space="preserve"> </w:t>
      </w:r>
      <w:r w:rsidRPr="00F43AAA">
        <w:t>administrated securely.</w:t>
      </w:r>
    </w:p>
    <w:p w:rsidR="00440E36" w:rsidRDefault="00440E36" w:rsidP="00440E36">
      <w:pPr>
        <w:pStyle w:val="Caption"/>
        <w:keepNext/>
        <w:spacing w:after="0"/>
      </w:pPr>
      <w:bookmarkStart w:id="30" w:name="_Toc385753521"/>
      <w:bookmarkStart w:id="31" w:name="_Toc507938217"/>
      <w:r>
        <w:lastRenderedPageBreak/>
        <w:t xml:space="preserve">Table </w:t>
      </w:r>
      <w:fldSimple w:instr=" STYLEREF 1 \s ">
        <w:r>
          <w:rPr>
            <w:noProof/>
          </w:rPr>
          <w:t>6</w:t>
        </w:r>
      </w:fldSimple>
      <w:r>
        <w:noBreakHyphen/>
      </w:r>
      <w:fldSimple w:instr=" SEQ Table \* ARABIC \s 1 ">
        <w:r>
          <w:rPr>
            <w:noProof/>
          </w:rPr>
          <w:t>1</w:t>
        </w:r>
      </w:fldSimple>
      <w:r>
        <w:t xml:space="preserve"> Secure Configuration and Administration</w:t>
      </w:r>
      <w:bookmarkEnd w:id="30"/>
      <w:bookmarkEnd w:id="31"/>
    </w:p>
    <w:tbl>
      <w:tblPr>
        <w:tblStyle w:val="TableGrid"/>
        <w:tblW w:w="0" w:type="auto"/>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554"/>
        <w:gridCol w:w="2142"/>
        <w:gridCol w:w="2083"/>
        <w:gridCol w:w="2785"/>
        <w:gridCol w:w="1599"/>
      </w:tblGrid>
      <w:tr w:rsidR="003D7929" w:rsidRPr="00FA10DF" w:rsidTr="001A546A">
        <w:trPr>
          <w:tblHeader/>
          <w:jc w:val="center"/>
        </w:trPr>
        <w:tc>
          <w:tcPr>
            <w:tcW w:w="554" w:type="dxa"/>
            <w:shd w:val="clear" w:color="auto" w:fill="C6D9F1"/>
            <w:vAlign w:val="center"/>
          </w:tcPr>
          <w:p w:rsidR="00440E36" w:rsidRPr="00FA10DF" w:rsidRDefault="00440E36" w:rsidP="00010331">
            <w:pPr>
              <w:spacing w:after="40"/>
              <w:jc w:val="center"/>
              <w:rPr>
                <w:b/>
              </w:rPr>
            </w:pPr>
            <w:r w:rsidRPr="00FA10DF">
              <w:rPr>
                <w:b/>
              </w:rPr>
              <w:t>Sr. No.</w:t>
            </w:r>
          </w:p>
        </w:tc>
        <w:tc>
          <w:tcPr>
            <w:tcW w:w="2142" w:type="dxa"/>
            <w:shd w:val="clear" w:color="auto" w:fill="C6D9F1"/>
          </w:tcPr>
          <w:p w:rsidR="00440E36" w:rsidRPr="00FA10DF" w:rsidRDefault="00440E36" w:rsidP="00010331">
            <w:pPr>
              <w:spacing w:after="40"/>
              <w:rPr>
                <w:b/>
              </w:rPr>
            </w:pPr>
            <w:r w:rsidRPr="00FA10DF">
              <w:rPr>
                <w:b/>
              </w:rPr>
              <w:t>Control Standard / Requirement</w:t>
            </w:r>
          </w:p>
        </w:tc>
        <w:tc>
          <w:tcPr>
            <w:tcW w:w="2083" w:type="dxa"/>
            <w:shd w:val="clear" w:color="auto" w:fill="C6D9F1"/>
          </w:tcPr>
          <w:p w:rsidR="00440E36" w:rsidRPr="00FA10DF" w:rsidRDefault="00440E36" w:rsidP="00010331">
            <w:pPr>
              <w:spacing w:after="40"/>
              <w:rPr>
                <w:b/>
              </w:rPr>
            </w:pPr>
            <w:r w:rsidRPr="00FA10DF">
              <w:rPr>
                <w:b/>
              </w:rPr>
              <w:t>Impact if Not Implemented</w:t>
            </w:r>
          </w:p>
        </w:tc>
        <w:tc>
          <w:tcPr>
            <w:tcW w:w="2785" w:type="dxa"/>
            <w:shd w:val="clear" w:color="auto" w:fill="C6D9F1"/>
          </w:tcPr>
          <w:p w:rsidR="00440E36" w:rsidRPr="00FA10DF" w:rsidRDefault="00440E36" w:rsidP="00010331">
            <w:pPr>
              <w:spacing w:after="40"/>
              <w:rPr>
                <w:b/>
              </w:rPr>
            </w:pPr>
            <w:r w:rsidRPr="00FA10DF">
              <w:rPr>
                <w:b/>
              </w:rPr>
              <w:t>Implementation Procedures</w:t>
            </w:r>
          </w:p>
        </w:tc>
        <w:tc>
          <w:tcPr>
            <w:tcW w:w="1599" w:type="dxa"/>
            <w:shd w:val="clear" w:color="auto" w:fill="C6D9F1"/>
          </w:tcPr>
          <w:p w:rsidR="00440E36" w:rsidRPr="00FA10DF" w:rsidRDefault="00440E36" w:rsidP="00010331">
            <w:pPr>
              <w:spacing w:after="40"/>
              <w:rPr>
                <w:b/>
              </w:rPr>
            </w:pPr>
            <w:r w:rsidRPr="00FA10DF">
              <w:rPr>
                <w:b/>
              </w:rPr>
              <w:t>Mandatory/ Good to Have</w:t>
            </w:r>
          </w:p>
        </w:tc>
      </w:tr>
      <w:tr w:rsidR="005F3D8D" w:rsidRPr="00FA10DF" w:rsidTr="00FF6259">
        <w:trPr>
          <w:jc w:val="center"/>
        </w:trPr>
        <w:tc>
          <w:tcPr>
            <w:tcW w:w="9163" w:type="dxa"/>
            <w:gridSpan w:val="5"/>
          </w:tcPr>
          <w:p w:rsidR="005F3D8D" w:rsidRPr="008412BB" w:rsidRDefault="005F3D8D" w:rsidP="005F3D8D">
            <w:pPr>
              <w:autoSpaceDE w:val="0"/>
              <w:autoSpaceDN w:val="0"/>
              <w:adjustRightInd w:val="0"/>
              <w:spacing w:before="0" w:after="0"/>
              <w:contextualSpacing/>
              <w:jc w:val="left"/>
              <w:rPr>
                <w:b/>
                <w:color w:val="000000"/>
                <w:sz w:val="22"/>
                <w:szCs w:val="22"/>
              </w:rPr>
            </w:pPr>
            <w:r>
              <w:rPr>
                <w:b/>
                <w:color w:val="000000"/>
                <w:sz w:val="22"/>
                <w:szCs w:val="22"/>
              </w:rPr>
              <w:t>Common Secure Configuration and Administration Controls for all services of O365</w:t>
            </w:r>
          </w:p>
        </w:tc>
      </w:tr>
      <w:tr w:rsidR="008412BB" w:rsidRPr="00FA10DF" w:rsidTr="001A546A">
        <w:trPr>
          <w:jc w:val="center"/>
        </w:trPr>
        <w:tc>
          <w:tcPr>
            <w:tcW w:w="554" w:type="dxa"/>
          </w:tcPr>
          <w:p w:rsidR="00440E36" w:rsidRPr="000D0F3B" w:rsidRDefault="007F247C" w:rsidP="007F247C">
            <w:pPr>
              <w:spacing w:after="40"/>
              <w:jc w:val="left"/>
              <w:rPr>
                <w:bCs/>
                <w:color w:val="000000" w:themeColor="text1"/>
              </w:rPr>
            </w:pPr>
            <w:r w:rsidRPr="000D0F3B">
              <w:rPr>
                <w:color w:val="000000" w:themeColor="text1"/>
                <w:szCs w:val="24"/>
              </w:rPr>
              <w:t>6.1</w:t>
            </w:r>
          </w:p>
        </w:tc>
        <w:tc>
          <w:tcPr>
            <w:tcW w:w="2142" w:type="dxa"/>
          </w:tcPr>
          <w:p w:rsidR="00440E36" w:rsidRPr="000D0F3B" w:rsidRDefault="007F247C" w:rsidP="007F247C">
            <w:pPr>
              <w:autoSpaceDE w:val="0"/>
              <w:autoSpaceDN w:val="0"/>
              <w:adjustRightInd w:val="0"/>
              <w:jc w:val="left"/>
              <w:rPr>
                <w:b/>
                <w:color w:val="000000" w:themeColor="text1"/>
                <w:szCs w:val="24"/>
              </w:rPr>
            </w:pPr>
            <w:r w:rsidRPr="000D0F3B">
              <w:rPr>
                <w:b/>
                <w:color w:val="000000" w:themeColor="text1"/>
                <w:szCs w:val="24"/>
              </w:rPr>
              <w:t>Secure Channel</w:t>
            </w:r>
          </w:p>
          <w:p w:rsidR="007F247C" w:rsidRPr="000D0F3B" w:rsidRDefault="007F247C" w:rsidP="007F247C">
            <w:pPr>
              <w:spacing w:after="40"/>
              <w:jc w:val="left"/>
              <w:rPr>
                <w:color w:val="000000" w:themeColor="text1"/>
                <w:szCs w:val="24"/>
              </w:rPr>
            </w:pPr>
            <w:r w:rsidRPr="000D0F3B">
              <w:rPr>
                <w:color w:val="000000" w:themeColor="text1"/>
                <w:szCs w:val="24"/>
              </w:rPr>
              <w:t xml:space="preserve">All the communications to O365 </w:t>
            </w:r>
            <w:r w:rsidR="00117832" w:rsidRPr="000D0F3B">
              <w:rPr>
                <w:color w:val="000000" w:themeColor="text1"/>
                <w:szCs w:val="24"/>
              </w:rPr>
              <w:t xml:space="preserve">SAAS platform </w:t>
            </w:r>
            <w:r w:rsidRPr="000D0F3B">
              <w:rPr>
                <w:color w:val="000000" w:themeColor="text1"/>
                <w:szCs w:val="24"/>
              </w:rPr>
              <w:t>need to be over an encrypted channel irrespective of the mode of access i.e. browser, rich client or mobile app</w:t>
            </w:r>
          </w:p>
          <w:p w:rsidR="00440E36" w:rsidRPr="000D0F3B" w:rsidRDefault="00440E36" w:rsidP="00010331">
            <w:pPr>
              <w:pStyle w:val="BodyText2"/>
              <w:spacing w:before="40" w:after="40"/>
              <w:rPr>
                <w:rFonts w:ascii="Calibri" w:hAnsi="Calibri" w:cs="Calibri"/>
                <w:b/>
                <w:color w:val="000000" w:themeColor="text1"/>
                <w:sz w:val="20"/>
                <w:szCs w:val="20"/>
                <w:lang w:val="en-GB"/>
              </w:rPr>
            </w:pPr>
          </w:p>
        </w:tc>
        <w:tc>
          <w:tcPr>
            <w:tcW w:w="2083" w:type="dxa"/>
          </w:tcPr>
          <w:p w:rsidR="00440E36" w:rsidRPr="000D0F3B" w:rsidRDefault="007F247C" w:rsidP="007F247C">
            <w:pPr>
              <w:spacing w:after="40"/>
              <w:jc w:val="left"/>
              <w:rPr>
                <w:rFonts w:cs="Calibri"/>
                <w:color w:val="000000" w:themeColor="text1"/>
              </w:rPr>
            </w:pPr>
            <w:r w:rsidRPr="000D0F3B">
              <w:rPr>
                <w:color w:val="000000" w:themeColor="text1"/>
                <w:szCs w:val="24"/>
              </w:rPr>
              <w:t>When communication channel is not encrypted, an attacker can carry out man in the middle attack and also get unauthorized access to AFG information</w:t>
            </w:r>
            <w:r w:rsidRPr="000D0F3B">
              <w:rPr>
                <w:rFonts w:cs="Calibri"/>
                <w:color w:val="000000" w:themeColor="text1"/>
              </w:rPr>
              <w:t xml:space="preserve"> </w:t>
            </w:r>
          </w:p>
        </w:tc>
        <w:tc>
          <w:tcPr>
            <w:tcW w:w="2785" w:type="dxa"/>
          </w:tcPr>
          <w:p w:rsidR="00440E36" w:rsidRPr="000D0F3B" w:rsidRDefault="0039619F" w:rsidP="000D0F3B">
            <w:pPr>
              <w:pStyle w:val="NormalBullet1"/>
              <w:jc w:val="left"/>
              <w:rPr>
                <w:color w:val="000000" w:themeColor="text1"/>
                <w:lang w:val="en-GB"/>
              </w:rPr>
            </w:pPr>
            <w:r w:rsidRPr="000D0F3B">
              <w:rPr>
                <w:color w:val="000000" w:themeColor="text1"/>
              </w:rPr>
              <w:t xml:space="preserve">Set up an SSL VPN or network level VPN for all </w:t>
            </w:r>
            <w:r w:rsidR="008412BB" w:rsidRPr="000D0F3B">
              <w:rPr>
                <w:color w:val="000000" w:themeColor="text1"/>
              </w:rPr>
              <w:t>c</w:t>
            </w:r>
            <w:r w:rsidRPr="000D0F3B">
              <w:rPr>
                <w:color w:val="000000" w:themeColor="text1"/>
              </w:rPr>
              <w:t xml:space="preserve">ommunications to O365 platform irrespective of mode of access and device used and </w:t>
            </w:r>
            <w:r w:rsidR="00587425" w:rsidRPr="000D0F3B">
              <w:rPr>
                <w:color w:val="000000" w:themeColor="text1"/>
              </w:rPr>
              <w:t>network</w:t>
            </w:r>
            <w:r w:rsidRPr="000D0F3B">
              <w:rPr>
                <w:color w:val="000000" w:themeColor="text1"/>
              </w:rPr>
              <w:t xml:space="preserve"> </w:t>
            </w:r>
            <w:r w:rsidR="00D75C0C" w:rsidRPr="000D0F3B">
              <w:rPr>
                <w:color w:val="000000" w:themeColor="text1"/>
              </w:rPr>
              <w:t>source</w:t>
            </w:r>
            <w:r w:rsidRPr="000D0F3B">
              <w:rPr>
                <w:color w:val="000000" w:themeColor="text1"/>
                <w:lang w:val="en-GB"/>
              </w:rPr>
              <w:t xml:space="preserve"> </w:t>
            </w:r>
          </w:p>
        </w:tc>
        <w:tc>
          <w:tcPr>
            <w:tcW w:w="1599" w:type="dxa"/>
          </w:tcPr>
          <w:p w:rsidR="00440E36" w:rsidRPr="000D0F3B" w:rsidRDefault="00440E36" w:rsidP="008412BB">
            <w:pPr>
              <w:autoSpaceDE w:val="0"/>
              <w:autoSpaceDN w:val="0"/>
              <w:adjustRightInd w:val="0"/>
              <w:spacing w:before="0" w:after="0"/>
              <w:ind w:left="360"/>
              <w:contextualSpacing/>
              <w:jc w:val="left"/>
              <w:rPr>
                <w:b/>
                <w:color w:val="000000" w:themeColor="text1"/>
              </w:rPr>
            </w:pPr>
            <w:r w:rsidRPr="000D0F3B">
              <w:rPr>
                <w:b/>
                <w:color w:val="000000" w:themeColor="text1"/>
                <w:sz w:val="22"/>
                <w:szCs w:val="22"/>
              </w:rPr>
              <w:t>Mandatory</w:t>
            </w:r>
          </w:p>
        </w:tc>
      </w:tr>
      <w:tr w:rsidR="001A546A" w:rsidRPr="00FA10DF" w:rsidTr="00D83730">
        <w:trPr>
          <w:jc w:val="center"/>
        </w:trPr>
        <w:tc>
          <w:tcPr>
            <w:tcW w:w="9163" w:type="dxa"/>
            <w:gridSpan w:val="5"/>
          </w:tcPr>
          <w:p w:rsidR="001A546A" w:rsidRPr="001A546A" w:rsidRDefault="001A546A" w:rsidP="001A546A">
            <w:pPr>
              <w:autoSpaceDE w:val="0"/>
              <w:autoSpaceDN w:val="0"/>
              <w:adjustRightInd w:val="0"/>
              <w:spacing w:after="40"/>
              <w:jc w:val="left"/>
              <w:rPr>
                <w:rFonts w:asciiTheme="minorHAnsi" w:hAnsiTheme="minorHAnsi"/>
                <w:b/>
              </w:rPr>
            </w:pPr>
            <w:r w:rsidRPr="001A546A">
              <w:rPr>
                <w:b/>
                <w:szCs w:val="24"/>
              </w:rPr>
              <w:t>One Drive for Business (ODFB)</w:t>
            </w:r>
          </w:p>
        </w:tc>
      </w:tr>
      <w:tr w:rsidR="008412BB" w:rsidRPr="00FA10DF" w:rsidTr="001A546A">
        <w:trPr>
          <w:jc w:val="center"/>
        </w:trPr>
        <w:tc>
          <w:tcPr>
            <w:tcW w:w="554" w:type="dxa"/>
          </w:tcPr>
          <w:p w:rsidR="00211B9C" w:rsidRPr="007F247C" w:rsidRDefault="00211B9C" w:rsidP="007F247C">
            <w:pPr>
              <w:spacing w:after="40"/>
              <w:jc w:val="left"/>
              <w:rPr>
                <w:szCs w:val="24"/>
              </w:rPr>
            </w:pPr>
            <w:r>
              <w:rPr>
                <w:szCs w:val="24"/>
              </w:rPr>
              <w:t>6.2</w:t>
            </w:r>
          </w:p>
        </w:tc>
        <w:tc>
          <w:tcPr>
            <w:tcW w:w="2142" w:type="dxa"/>
          </w:tcPr>
          <w:p w:rsidR="00211B9C" w:rsidRDefault="00211B9C" w:rsidP="007F247C">
            <w:pPr>
              <w:autoSpaceDE w:val="0"/>
              <w:autoSpaceDN w:val="0"/>
              <w:adjustRightInd w:val="0"/>
              <w:jc w:val="left"/>
              <w:rPr>
                <w:b/>
                <w:szCs w:val="24"/>
              </w:rPr>
            </w:pPr>
            <w:r>
              <w:rPr>
                <w:b/>
                <w:szCs w:val="24"/>
              </w:rPr>
              <w:t xml:space="preserve">AFG Internal data Sharing </w:t>
            </w:r>
          </w:p>
          <w:p w:rsidR="00211B9C" w:rsidRDefault="00211B9C" w:rsidP="00FA0C29">
            <w:pPr>
              <w:spacing w:after="40"/>
              <w:jc w:val="left"/>
              <w:rPr>
                <w:szCs w:val="24"/>
              </w:rPr>
            </w:pPr>
            <w:r w:rsidRPr="00FA0C29">
              <w:rPr>
                <w:szCs w:val="24"/>
              </w:rPr>
              <w:t xml:space="preserve">Information </w:t>
            </w:r>
            <w:r w:rsidR="00A1678A">
              <w:rPr>
                <w:szCs w:val="24"/>
              </w:rPr>
              <w:t xml:space="preserve">sharing </w:t>
            </w:r>
            <w:r w:rsidR="00FA0C29" w:rsidRPr="00FA0C29">
              <w:rPr>
                <w:szCs w:val="24"/>
              </w:rPr>
              <w:t xml:space="preserve">between </w:t>
            </w:r>
            <w:r w:rsidRPr="00FA0C29">
              <w:rPr>
                <w:szCs w:val="24"/>
              </w:rPr>
              <w:t xml:space="preserve">AFG </w:t>
            </w:r>
            <w:r w:rsidR="00FA0C29" w:rsidRPr="00FA0C29">
              <w:rPr>
                <w:szCs w:val="24"/>
              </w:rPr>
              <w:t>users is allowed based on the AFG information classification policy</w:t>
            </w:r>
            <w:r w:rsidR="001A546A">
              <w:rPr>
                <w:szCs w:val="24"/>
              </w:rPr>
              <w:t xml:space="preserve"> </w:t>
            </w:r>
          </w:p>
          <w:p w:rsidR="001A546A" w:rsidRPr="007F247C" w:rsidRDefault="00EB3253" w:rsidP="00FA0C29">
            <w:pPr>
              <w:spacing w:after="40"/>
              <w:jc w:val="left"/>
              <w:rPr>
                <w:b/>
                <w:szCs w:val="24"/>
              </w:rPr>
            </w:pPr>
            <w:r>
              <w:rPr>
                <w:szCs w:val="24"/>
              </w:rPr>
              <w:t>i</w:t>
            </w:r>
            <w:r w:rsidR="001A546A">
              <w:rPr>
                <w:szCs w:val="24"/>
              </w:rPr>
              <w:t xml:space="preserve">rrespective of the mode of access i.e. browser, rich client or mobile app </w:t>
            </w:r>
          </w:p>
        </w:tc>
        <w:tc>
          <w:tcPr>
            <w:tcW w:w="2083" w:type="dxa"/>
          </w:tcPr>
          <w:p w:rsidR="00211B9C" w:rsidRPr="007F247C" w:rsidRDefault="00FA0C29" w:rsidP="00DB771F">
            <w:pPr>
              <w:spacing w:after="40"/>
              <w:jc w:val="left"/>
              <w:rPr>
                <w:szCs w:val="24"/>
              </w:rPr>
            </w:pPr>
            <w:r>
              <w:rPr>
                <w:szCs w:val="24"/>
              </w:rPr>
              <w:t xml:space="preserve">AFG sensitive information can be leaked </w:t>
            </w:r>
            <w:r w:rsidR="00DB771F">
              <w:rPr>
                <w:szCs w:val="24"/>
              </w:rPr>
              <w:t>without any restriction at user, device and mode of access</w:t>
            </w:r>
          </w:p>
        </w:tc>
        <w:tc>
          <w:tcPr>
            <w:tcW w:w="2785" w:type="dxa"/>
          </w:tcPr>
          <w:p w:rsidR="00FA0C29" w:rsidRPr="00AC7298" w:rsidRDefault="00CB7591" w:rsidP="000D0F3B">
            <w:pPr>
              <w:pStyle w:val="NormalBullet1"/>
              <w:jc w:val="left"/>
              <w:rPr>
                <w:rFonts w:cs="Calibri"/>
                <w:highlight w:val="yellow"/>
              </w:rPr>
            </w:pPr>
            <w:r w:rsidRPr="00AC7298">
              <w:rPr>
                <w:highlight w:val="yellow"/>
              </w:rPr>
              <w:t>C</w:t>
            </w:r>
            <w:r w:rsidR="00211B9C" w:rsidRPr="00AC7298">
              <w:rPr>
                <w:highlight w:val="yellow"/>
              </w:rPr>
              <w:t>ut-copy-paste</w:t>
            </w:r>
            <w:r w:rsidR="000D0F3B" w:rsidRPr="00AC7298">
              <w:rPr>
                <w:highlight w:val="yellow"/>
              </w:rPr>
              <w:t xml:space="preserve">, </w:t>
            </w:r>
            <w:r w:rsidR="00954489" w:rsidRPr="00AC7298">
              <w:rPr>
                <w:highlight w:val="yellow"/>
              </w:rPr>
              <w:t xml:space="preserve">upload and download features to be </w:t>
            </w:r>
            <w:r w:rsidR="00211B9C" w:rsidRPr="00AC7298">
              <w:rPr>
                <w:highlight w:val="yellow"/>
              </w:rPr>
              <w:t xml:space="preserve">allowed only on </w:t>
            </w:r>
            <w:r w:rsidR="00FA0C29" w:rsidRPr="00AC7298">
              <w:rPr>
                <w:highlight w:val="yellow"/>
              </w:rPr>
              <w:t>AFG Active directory</w:t>
            </w:r>
            <w:r w:rsidR="00211B9C" w:rsidRPr="00AC7298">
              <w:rPr>
                <w:highlight w:val="yellow"/>
              </w:rPr>
              <w:t xml:space="preserve"> joined s</w:t>
            </w:r>
            <w:r w:rsidR="00FA0C29" w:rsidRPr="00AC7298">
              <w:rPr>
                <w:highlight w:val="yellow"/>
              </w:rPr>
              <w:t>ystems</w:t>
            </w:r>
            <w:r w:rsidR="00954489" w:rsidRPr="00AC7298">
              <w:rPr>
                <w:highlight w:val="yellow"/>
              </w:rPr>
              <w:t xml:space="preserve"> using browser and rich clients</w:t>
            </w:r>
          </w:p>
          <w:p w:rsidR="00CB7591" w:rsidRPr="005A7EE9" w:rsidRDefault="00CB7591" w:rsidP="000D0F3B">
            <w:pPr>
              <w:pStyle w:val="NormalBullet1"/>
              <w:jc w:val="left"/>
              <w:rPr>
                <w:rFonts w:cs="Calibri"/>
                <w:highlight w:val="yellow"/>
              </w:rPr>
            </w:pPr>
            <w:r w:rsidRPr="005A7EE9">
              <w:rPr>
                <w:highlight w:val="yellow"/>
              </w:rPr>
              <w:t xml:space="preserve">Sharing of files and folders with Internal users should not be allowed </w:t>
            </w:r>
          </w:p>
          <w:p w:rsidR="0096473E" w:rsidRPr="00587425" w:rsidRDefault="00A1678A" w:rsidP="00CB7591">
            <w:pPr>
              <w:pStyle w:val="NormalBullet1"/>
              <w:jc w:val="left"/>
              <w:rPr>
                <w:rFonts w:cs="Calibri"/>
              </w:rPr>
            </w:pPr>
            <w:r>
              <w:t xml:space="preserve">For mobile apps, </w:t>
            </w:r>
            <w:r w:rsidR="0096473E">
              <w:t xml:space="preserve">cut-copy-paste mechanisms </w:t>
            </w:r>
            <w:r w:rsidR="00CB7591">
              <w:t xml:space="preserve">including upload and download </w:t>
            </w:r>
            <w:r w:rsidR="0096473E">
              <w:t xml:space="preserve">to be allowed </w:t>
            </w:r>
            <w:r w:rsidR="003D7929">
              <w:t xml:space="preserve">managed by </w:t>
            </w:r>
            <w:r w:rsidR="0096473E">
              <w:t xml:space="preserve">AFG </w:t>
            </w:r>
            <w:r w:rsidR="003D7929">
              <w:t>Air watch-</w:t>
            </w:r>
            <w:r w:rsidR="00CB7591">
              <w:t>mobility application management</w:t>
            </w:r>
          </w:p>
        </w:tc>
        <w:tc>
          <w:tcPr>
            <w:tcW w:w="1599" w:type="dxa"/>
          </w:tcPr>
          <w:p w:rsidR="00211B9C" w:rsidRPr="00D75C0C" w:rsidRDefault="00FA0C29" w:rsidP="00D75C0C">
            <w:pPr>
              <w:autoSpaceDE w:val="0"/>
              <w:autoSpaceDN w:val="0"/>
              <w:adjustRightInd w:val="0"/>
              <w:spacing w:after="40"/>
              <w:jc w:val="center"/>
              <w:rPr>
                <w:rFonts w:asciiTheme="minorHAnsi" w:hAnsiTheme="minorHAnsi"/>
                <w:b/>
              </w:rPr>
            </w:pPr>
            <w:r w:rsidRPr="00D75C0C">
              <w:rPr>
                <w:rFonts w:asciiTheme="minorHAnsi" w:hAnsiTheme="minorHAnsi"/>
                <w:b/>
              </w:rPr>
              <w:t>Mandatory</w:t>
            </w:r>
          </w:p>
        </w:tc>
      </w:tr>
      <w:tr w:rsidR="0096473E" w:rsidRPr="00FA10DF" w:rsidTr="00DB771F">
        <w:trPr>
          <w:trHeight w:val="2195"/>
          <w:jc w:val="center"/>
        </w:trPr>
        <w:tc>
          <w:tcPr>
            <w:tcW w:w="554" w:type="dxa"/>
          </w:tcPr>
          <w:p w:rsidR="0096473E" w:rsidRDefault="001640D5" w:rsidP="007F247C">
            <w:pPr>
              <w:spacing w:after="40"/>
              <w:jc w:val="left"/>
              <w:rPr>
                <w:szCs w:val="24"/>
              </w:rPr>
            </w:pPr>
            <w:r>
              <w:rPr>
                <w:szCs w:val="24"/>
              </w:rPr>
              <w:t>6.3</w:t>
            </w:r>
          </w:p>
        </w:tc>
        <w:tc>
          <w:tcPr>
            <w:tcW w:w="2142" w:type="dxa"/>
          </w:tcPr>
          <w:p w:rsidR="001640D5" w:rsidRDefault="001640D5" w:rsidP="001640D5">
            <w:pPr>
              <w:autoSpaceDE w:val="0"/>
              <w:autoSpaceDN w:val="0"/>
              <w:adjustRightInd w:val="0"/>
              <w:jc w:val="left"/>
              <w:rPr>
                <w:b/>
                <w:szCs w:val="24"/>
              </w:rPr>
            </w:pPr>
            <w:r>
              <w:rPr>
                <w:b/>
                <w:szCs w:val="24"/>
              </w:rPr>
              <w:t xml:space="preserve">AFG External data Sharing </w:t>
            </w:r>
          </w:p>
          <w:p w:rsidR="0096473E" w:rsidRPr="00DB771F" w:rsidRDefault="001A546A" w:rsidP="00DB771F">
            <w:pPr>
              <w:spacing w:after="40"/>
              <w:jc w:val="left"/>
              <w:rPr>
                <w:szCs w:val="24"/>
              </w:rPr>
            </w:pPr>
            <w:r w:rsidRPr="002D4349">
              <w:rPr>
                <w:szCs w:val="24"/>
              </w:rPr>
              <w:t>AFG Information</w:t>
            </w:r>
            <w:r w:rsidR="002D4349" w:rsidRPr="002D4349">
              <w:rPr>
                <w:szCs w:val="24"/>
              </w:rPr>
              <w:t xml:space="preserve">, </w:t>
            </w:r>
            <w:r w:rsidRPr="002D4349">
              <w:rPr>
                <w:szCs w:val="24"/>
              </w:rPr>
              <w:t xml:space="preserve"> </w:t>
            </w:r>
            <w:r w:rsidR="002D4349" w:rsidRPr="002D4349">
              <w:rPr>
                <w:szCs w:val="24"/>
              </w:rPr>
              <w:t xml:space="preserve">irrespective of the mode of access i.e. browser, rich client or mobile app </w:t>
            </w:r>
            <w:r w:rsidR="002D4349">
              <w:rPr>
                <w:szCs w:val="24"/>
              </w:rPr>
              <w:t xml:space="preserve">should be disabled for ODFB </w:t>
            </w:r>
          </w:p>
        </w:tc>
        <w:tc>
          <w:tcPr>
            <w:tcW w:w="2083" w:type="dxa"/>
          </w:tcPr>
          <w:p w:rsidR="0096473E" w:rsidRDefault="00DB771F" w:rsidP="00FA0C29">
            <w:pPr>
              <w:spacing w:after="40"/>
              <w:jc w:val="left"/>
              <w:rPr>
                <w:szCs w:val="24"/>
              </w:rPr>
            </w:pPr>
            <w:r>
              <w:rPr>
                <w:szCs w:val="24"/>
              </w:rPr>
              <w:t>AFG sensitive information can be leaked without any restriction at user, device and mode of access</w:t>
            </w:r>
          </w:p>
        </w:tc>
        <w:tc>
          <w:tcPr>
            <w:tcW w:w="2785" w:type="dxa"/>
          </w:tcPr>
          <w:p w:rsidR="0096473E" w:rsidRDefault="001640D5" w:rsidP="000D0F3B">
            <w:pPr>
              <w:pStyle w:val="NormalBullet1"/>
              <w:jc w:val="left"/>
              <w:rPr>
                <w:color w:val="000000"/>
                <w:sz w:val="22"/>
                <w:szCs w:val="22"/>
              </w:rPr>
            </w:pPr>
            <w:r w:rsidRPr="005A7EE9">
              <w:rPr>
                <w:highlight w:val="yellow"/>
              </w:rPr>
              <w:t>Disable external sharing on O</w:t>
            </w:r>
            <w:r w:rsidR="00604A76" w:rsidRPr="005A7EE9">
              <w:rPr>
                <w:highlight w:val="yellow"/>
              </w:rPr>
              <w:t>ne drive for Business</w:t>
            </w:r>
            <w:r w:rsidR="00604A76">
              <w:rPr>
                <w:color w:val="000000"/>
                <w:sz w:val="22"/>
                <w:szCs w:val="22"/>
              </w:rPr>
              <w:t xml:space="preserve"> </w:t>
            </w:r>
          </w:p>
        </w:tc>
        <w:tc>
          <w:tcPr>
            <w:tcW w:w="1599" w:type="dxa"/>
          </w:tcPr>
          <w:p w:rsidR="0096473E" w:rsidRPr="00D75C0C" w:rsidRDefault="001640D5" w:rsidP="00D75C0C">
            <w:pPr>
              <w:autoSpaceDE w:val="0"/>
              <w:autoSpaceDN w:val="0"/>
              <w:adjustRightInd w:val="0"/>
              <w:spacing w:after="40"/>
              <w:jc w:val="center"/>
              <w:rPr>
                <w:rFonts w:asciiTheme="minorHAnsi" w:hAnsiTheme="minorHAnsi"/>
                <w:b/>
              </w:rPr>
            </w:pPr>
            <w:r w:rsidRPr="00D75C0C">
              <w:rPr>
                <w:rFonts w:asciiTheme="minorHAnsi" w:hAnsiTheme="minorHAnsi"/>
                <w:b/>
              </w:rPr>
              <w:t>Mandatory</w:t>
            </w:r>
          </w:p>
        </w:tc>
      </w:tr>
      <w:tr w:rsidR="00C56A32" w:rsidRPr="00FA10DF" w:rsidTr="00140D38">
        <w:trPr>
          <w:jc w:val="center"/>
        </w:trPr>
        <w:tc>
          <w:tcPr>
            <w:tcW w:w="9163" w:type="dxa"/>
            <w:gridSpan w:val="5"/>
          </w:tcPr>
          <w:p w:rsidR="00C56A32" w:rsidRPr="00D75C0C" w:rsidRDefault="00C56A32" w:rsidP="00C56A32">
            <w:pPr>
              <w:autoSpaceDE w:val="0"/>
              <w:autoSpaceDN w:val="0"/>
              <w:adjustRightInd w:val="0"/>
              <w:spacing w:after="40"/>
              <w:jc w:val="left"/>
              <w:rPr>
                <w:rFonts w:asciiTheme="minorHAnsi" w:hAnsiTheme="minorHAnsi"/>
                <w:b/>
              </w:rPr>
            </w:pPr>
            <w:r>
              <w:rPr>
                <w:rFonts w:asciiTheme="minorHAnsi" w:hAnsiTheme="minorHAnsi"/>
                <w:b/>
              </w:rPr>
              <w:t>Sharepoint Online (SPO)</w:t>
            </w:r>
          </w:p>
        </w:tc>
      </w:tr>
      <w:tr w:rsidR="00DB771F" w:rsidRPr="00FA10DF" w:rsidTr="001A546A">
        <w:trPr>
          <w:jc w:val="center"/>
        </w:trPr>
        <w:tc>
          <w:tcPr>
            <w:tcW w:w="554" w:type="dxa"/>
          </w:tcPr>
          <w:p w:rsidR="00DB771F" w:rsidRDefault="00DB771F" w:rsidP="00DB771F">
            <w:pPr>
              <w:spacing w:after="40"/>
              <w:jc w:val="left"/>
              <w:rPr>
                <w:szCs w:val="24"/>
              </w:rPr>
            </w:pPr>
            <w:r>
              <w:rPr>
                <w:szCs w:val="24"/>
              </w:rPr>
              <w:t>6.4</w:t>
            </w:r>
          </w:p>
        </w:tc>
        <w:tc>
          <w:tcPr>
            <w:tcW w:w="2142" w:type="dxa"/>
          </w:tcPr>
          <w:p w:rsidR="00DB771F" w:rsidRDefault="00DB771F" w:rsidP="00DB771F">
            <w:pPr>
              <w:autoSpaceDE w:val="0"/>
              <w:autoSpaceDN w:val="0"/>
              <w:adjustRightInd w:val="0"/>
              <w:jc w:val="left"/>
              <w:rPr>
                <w:b/>
                <w:szCs w:val="24"/>
              </w:rPr>
            </w:pPr>
            <w:r>
              <w:rPr>
                <w:b/>
                <w:szCs w:val="24"/>
              </w:rPr>
              <w:t>Internal Access (Browser Only)</w:t>
            </w:r>
          </w:p>
          <w:p w:rsidR="00DB771F" w:rsidRDefault="00DB771F" w:rsidP="00DB771F">
            <w:pPr>
              <w:spacing w:after="40"/>
              <w:jc w:val="left"/>
              <w:rPr>
                <w:b/>
                <w:szCs w:val="24"/>
              </w:rPr>
            </w:pPr>
            <w:r w:rsidRPr="0063229D">
              <w:rPr>
                <w:szCs w:val="24"/>
              </w:rPr>
              <w:t xml:space="preserve">Restricting the mode of access only to browsers for internal usage </w:t>
            </w:r>
          </w:p>
        </w:tc>
        <w:tc>
          <w:tcPr>
            <w:tcW w:w="2083" w:type="dxa"/>
          </w:tcPr>
          <w:p w:rsidR="00DB771F" w:rsidRDefault="00DB771F" w:rsidP="00DB771F">
            <w:pPr>
              <w:jc w:val="left"/>
            </w:pPr>
            <w:r w:rsidRPr="008127DE">
              <w:rPr>
                <w:szCs w:val="24"/>
              </w:rPr>
              <w:t>AFG sensitive information can be leaked without any restriction at user, device and mode of access</w:t>
            </w:r>
          </w:p>
        </w:tc>
        <w:tc>
          <w:tcPr>
            <w:tcW w:w="2785" w:type="dxa"/>
          </w:tcPr>
          <w:p w:rsidR="00DB771F" w:rsidRDefault="00DB771F" w:rsidP="00DB771F">
            <w:pPr>
              <w:pStyle w:val="NormalBullet1"/>
              <w:jc w:val="left"/>
            </w:pPr>
            <w:r>
              <w:t xml:space="preserve">For Sharepoint online, only browser based access to be enabled. Mobile app and rich/sync clients must not be allowed </w:t>
            </w:r>
          </w:p>
        </w:tc>
        <w:tc>
          <w:tcPr>
            <w:tcW w:w="1599" w:type="dxa"/>
          </w:tcPr>
          <w:p w:rsidR="00DB771F" w:rsidRPr="00D75C0C" w:rsidRDefault="00DB771F" w:rsidP="00DB771F">
            <w:pPr>
              <w:autoSpaceDE w:val="0"/>
              <w:autoSpaceDN w:val="0"/>
              <w:adjustRightInd w:val="0"/>
              <w:spacing w:after="40"/>
              <w:jc w:val="left"/>
              <w:rPr>
                <w:rFonts w:asciiTheme="minorHAnsi" w:hAnsiTheme="minorHAnsi"/>
                <w:b/>
              </w:rPr>
            </w:pPr>
            <w:r w:rsidRPr="00D75C0C">
              <w:rPr>
                <w:rFonts w:asciiTheme="minorHAnsi" w:hAnsiTheme="minorHAnsi"/>
                <w:b/>
              </w:rPr>
              <w:t>Mandatory</w:t>
            </w:r>
          </w:p>
        </w:tc>
      </w:tr>
      <w:tr w:rsidR="00DB771F" w:rsidRPr="00FA10DF" w:rsidTr="001A546A">
        <w:trPr>
          <w:jc w:val="center"/>
        </w:trPr>
        <w:tc>
          <w:tcPr>
            <w:tcW w:w="554" w:type="dxa"/>
          </w:tcPr>
          <w:p w:rsidR="00DB771F" w:rsidRDefault="00DB771F" w:rsidP="00DB771F">
            <w:pPr>
              <w:spacing w:after="40"/>
              <w:jc w:val="left"/>
              <w:rPr>
                <w:szCs w:val="24"/>
              </w:rPr>
            </w:pPr>
            <w:r>
              <w:rPr>
                <w:szCs w:val="24"/>
              </w:rPr>
              <w:t xml:space="preserve">6.5 </w:t>
            </w:r>
          </w:p>
        </w:tc>
        <w:tc>
          <w:tcPr>
            <w:tcW w:w="2142" w:type="dxa"/>
          </w:tcPr>
          <w:p w:rsidR="00DB771F" w:rsidRDefault="00DB771F" w:rsidP="00DB771F">
            <w:pPr>
              <w:autoSpaceDE w:val="0"/>
              <w:autoSpaceDN w:val="0"/>
              <w:adjustRightInd w:val="0"/>
              <w:jc w:val="left"/>
              <w:rPr>
                <w:b/>
                <w:szCs w:val="24"/>
              </w:rPr>
            </w:pPr>
            <w:r>
              <w:rPr>
                <w:b/>
                <w:szCs w:val="24"/>
              </w:rPr>
              <w:t>External Sharing (Browser only)</w:t>
            </w:r>
          </w:p>
          <w:p w:rsidR="00DB771F" w:rsidRDefault="00DB771F" w:rsidP="00DB771F">
            <w:pPr>
              <w:autoSpaceDE w:val="0"/>
              <w:autoSpaceDN w:val="0"/>
              <w:adjustRightInd w:val="0"/>
              <w:jc w:val="left"/>
              <w:rPr>
                <w:b/>
                <w:szCs w:val="24"/>
              </w:rPr>
            </w:pPr>
            <w:r w:rsidRPr="0063229D">
              <w:rPr>
                <w:szCs w:val="24"/>
              </w:rPr>
              <w:t>Restricting the mode of access only to br</w:t>
            </w:r>
            <w:r>
              <w:rPr>
                <w:szCs w:val="24"/>
              </w:rPr>
              <w:t xml:space="preserve">owsers for collaboration </w:t>
            </w:r>
            <w:r>
              <w:rPr>
                <w:szCs w:val="24"/>
              </w:rPr>
              <w:lastRenderedPageBreak/>
              <w:t xml:space="preserve">activity wherein non-AFG users are involved </w:t>
            </w:r>
          </w:p>
        </w:tc>
        <w:tc>
          <w:tcPr>
            <w:tcW w:w="2083" w:type="dxa"/>
          </w:tcPr>
          <w:p w:rsidR="00DB771F" w:rsidRDefault="00DB771F" w:rsidP="00DB771F">
            <w:pPr>
              <w:jc w:val="left"/>
            </w:pPr>
            <w:r w:rsidRPr="008127DE">
              <w:rPr>
                <w:szCs w:val="24"/>
              </w:rPr>
              <w:lastRenderedPageBreak/>
              <w:t xml:space="preserve">AFG sensitive information can be leaked without any restriction at user, </w:t>
            </w:r>
            <w:r w:rsidRPr="008127DE">
              <w:rPr>
                <w:szCs w:val="24"/>
              </w:rPr>
              <w:lastRenderedPageBreak/>
              <w:t>device and mode of access</w:t>
            </w:r>
          </w:p>
        </w:tc>
        <w:tc>
          <w:tcPr>
            <w:tcW w:w="2785" w:type="dxa"/>
          </w:tcPr>
          <w:p w:rsidR="00DB771F" w:rsidRDefault="00DB771F" w:rsidP="00660004">
            <w:pPr>
              <w:pStyle w:val="NormalBullet1"/>
              <w:jc w:val="left"/>
            </w:pPr>
            <w:r>
              <w:lastRenderedPageBreak/>
              <w:t xml:space="preserve">SPO shall be used for external sharing, provided there is automated workflow in place for the site creation and also a </w:t>
            </w:r>
            <w:r w:rsidRPr="00D64D8F">
              <w:rPr>
                <w:szCs w:val="24"/>
              </w:rPr>
              <w:lastRenderedPageBreak/>
              <w:t xml:space="preserve">workflow for </w:t>
            </w:r>
            <w:r w:rsidR="00660004">
              <w:rPr>
                <w:szCs w:val="24"/>
              </w:rPr>
              <w:t>designated owner</w:t>
            </w:r>
            <w:r w:rsidRPr="00D64D8F">
              <w:rPr>
                <w:szCs w:val="24"/>
              </w:rPr>
              <w:t xml:space="preserve"> approval prior to</w:t>
            </w:r>
            <w:r>
              <w:t xml:space="preserve"> enable external sharing for a site </w:t>
            </w:r>
          </w:p>
        </w:tc>
        <w:tc>
          <w:tcPr>
            <w:tcW w:w="1599" w:type="dxa"/>
          </w:tcPr>
          <w:p w:rsidR="00DB771F" w:rsidRPr="00D75C0C" w:rsidRDefault="00DB771F" w:rsidP="00DB771F">
            <w:pPr>
              <w:autoSpaceDE w:val="0"/>
              <w:autoSpaceDN w:val="0"/>
              <w:adjustRightInd w:val="0"/>
              <w:spacing w:after="40"/>
              <w:jc w:val="left"/>
              <w:rPr>
                <w:rFonts w:asciiTheme="minorHAnsi" w:hAnsiTheme="minorHAnsi"/>
                <w:b/>
              </w:rPr>
            </w:pPr>
            <w:r w:rsidRPr="00D75C0C">
              <w:rPr>
                <w:rFonts w:asciiTheme="minorHAnsi" w:hAnsiTheme="minorHAnsi"/>
                <w:b/>
              </w:rPr>
              <w:lastRenderedPageBreak/>
              <w:t>Mandatory</w:t>
            </w:r>
          </w:p>
        </w:tc>
      </w:tr>
      <w:tr w:rsidR="00DB771F" w:rsidRPr="00FA10DF" w:rsidTr="00873722">
        <w:trPr>
          <w:jc w:val="center"/>
        </w:trPr>
        <w:tc>
          <w:tcPr>
            <w:tcW w:w="9163" w:type="dxa"/>
            <w:gridSpan w:val="5"/>
          </w:tcPr>
          <w:p w:rsidR="00DB771F" w:rsidRPr="00D75C0C" w:rsidRDefault="00DB771F" w:rsidP="00DB771F">
            <w:pPr>
              <w:autoSpaceDE w:val="0"/>
              <w:autoSpaceDN w:val="0"/>
              <w:adjustRightInd w:val="0"/>
              <w:spacing w:after="40"/>
              <w:jc w:val="left"/>
              <w:rPr>
                <w:rFonts w:asciiTheme="minorHAnsi" w:hAnsiTheme="minorHAnsi"/>
                <w:b/>
              </w:rPr>
            </w:pPr>
            <w:r>
              <w:rPr>
                <w:rFonts w:asciiTheme="minorHAnsi" w:hAnsiTheme="minorHAnsi"/>
                <w:b/>
              </w:rPr>
              <w:t>Exchange Online (EXO)</w:t>
            </w:r>
          </w:p>
        </w:tc>
      </w:tr>
      <w:tr w:rsidR="00DB771F" w:rsidRPr="00FA10DF" w:rsidTr="001A546A">
        <w:trPr>
          <w:jc w:val="center"/>
        </w:trPr>
        <w:tc>
          <w:tcPr>
            <w:tcW w:w="554" w:type="dxa"/>
          </w:tcPr>
          <w:p w:rsidR="00DB771F" w:rsidRDefault="00DB771F" w:rsidP="00DB771F">
            <w:pPr>
              <w:spacing w:after="40"/>
              <w:jc w:val="left"/>
              <w:rPr>
                <w:szCs w:val="24"/>
              </w:rPr>
            </w:pPr>
            <w:r>
              <w:rPr>
                <w:szCs w:val="24"/>
              </w:rPr>
              <w:t xml:space="preserve">6.6 </w:t>
            </w:r>
          </w:p>
        </w:tc>
        <w:tc>
          <w:tcPr>
            <w:tcW w:w="2142" w:type="dxa"/>
          </w:tcPr>
          <w:p w:rsidR="00DB771F" w:rsidRDefault="00381190" w:rsidP="00381190">
            <w:pPr>
              <w:autoSpaceDE w:val="0"/>
              <w:autoSpaceDN w:val="0"/>
              <w:adjustRightInd w:val="0"/>
              <w:jc w:val="left"/>
              <w:rPr>
                <w:b/>
                <w:szCs w:val="24"/>
              </w:rPr>
            </w:pPr>
            <w:r>
              <w:rPr>
                <w:b/>
                <w:szCs w:val="24"/>
              </w:rPr>
              <w:t>Outlook Client</w:t>
            </w:r>
          </w:p>
        </w:tc>
        <w:tc>
          <w:tcPr>
            <w:tcW w:w="2083" w:type="dxa"/>
          </w:tcPr>
          <w:p w:rsidR="00DB771F" w:rsidRPr="008127DE" w:rsidRDefault="00B36115" w:rsidP="00DB771F">
            <w:pPr>
              <w:jc w:val="left"/>
              <w:rPr>
                <w:szCs w:val="24"/>
              </w:rPr>
            </w:pPr>
            <w:r w:rsidRPr="008127DE">
              <w:rPr>
                <w:szCs w:val="24"/>
              </w:rPr>
              <w:t>AFG sensitive information can be leaked without any restriction at user, device and mode of access</w:t>
            </w:r>
          </w:p>
        </w:tc>
        <w:tc>
          <w:tcPr>
            <w:tcW w:w="2785" w:type="dxa"/>
          </w:tcPr>
          <w:p w:rsidR="00DB771F" w:rsidRDefault="00DB771F" w:rsidP="00B36115">
            <w:pPr>
              <w:pStyle w:val="NormalBullet1"/>
              <w:jc w:val="left"/>
            </w:pPr>
            <w:r>
              <w:t xml:space="preserve">Outlook clients to be allowed from </w:t>
            </w:r>
            <w:r w:rsidR="00381190">
              <w:t>AFG domain systems only</w:t>
            </w:r>
            <w:r w:rsidR="00CE0804">
              <w:t xml:space="preserve"> with connect with single sign on (SSO)</w:t>
            </w:r>
          </w:p>
          <w:p w:rsidR="00381190" w:rsidRDefault="00381190" w:rsidP="00B36115">
            <w:pPr>
              <w:pStyle w:val="NormalBullet1"/>
              <w:jc w:val="left"/>
            </w:pPr>
            <w:r w:rsidRPr="005A7EE9">
              <w:rPr>
                <w:highlight w:val="yellow"/>
              </w:rPr>
              <w:t>For outlook clients connecting from non-AFG systems, AFG ADFS and multi-factor authentication should be in place</w:t>
            </w:r>
          </w:p>
        </w:tc>
        <w:tc>
          <w:tcPr>
            <w:tcW w:w="1599" w:type="dxa"/>
          </w:tcPr>
          <w:p w:rsidR="00DB771F" w:rsidRPr="00D75C0C" w:rsidRDefault="00381190" w:rsidP="00DB771F">
            <w:pPr>
              <w:autoSpaceDE w:val="0"/>
              <w:autoSpaceDN w:val="0"/>
              <w:adjustRightInd w:val="0"/>
              <w:spacing w:after="40"/>
              <w:jc w:val="left"/>
              <w:rPr>
                <w:rFonts w:asciiTheme="minorHAnsi" w:hAnsiTheme="minorHAnsi"/>
                <w:b/>
              </w:rPr>
            </w:pPr>
            <w:r>
              <w:rPr>
                <w:rFonts w:asciiTheme="minorHAnsi" w:hAnsiTheme="minorHAnsi"/>
                <w:b/>
              </w:rPr>
              <w:t>Mandatory</w:t>
            </w:r>
          </w:p>
        </w:tc>
      </w:tr>
      <w:tr w:rsidR="00381190" w:rsidRPr="00FA10DF" w:rsidTr="001A546A">
        <w:trPr>
          <w:jc w:val="center"/>
        </w:trPr>
        <w:tc>
          <w:tcPr>
            <w:tcW w:w="554" w:type="dxa"/>
          </w:tcPr>
          <w:p w:rsidR="00381190" w:rsidRDefault="00381190" w:rsidP="00DB771F">
            <w:pPr>
              <w:spacing w:after="40"/>
              <w:jc w:val="left"/>
              <w:rPr>
                <w:szCs w:val="24"/>
              </w:rPr>
            </w:pPr>
            <w:r>
              <w:rPr>
                <w:szCs w:val="24"/>
              </w:rPr>
              <w:t>6.7</w:t>
            </w:r>
          </w:p>
        </w:tc>
        <w:tc>
          <w:tcPr>
            <w:tcW w:w="2142" w:type="dxa"/>
          </w:tcPr>
          <w:p w:rsidR="00381190" w:rsidRDefault="00CE0804" w:rsidP="00381190">
            <w:pPr>
              <w:autoSpaceDE w:val="0"/>
              <w:autoSpaceDN w:val="0"/>
              <w:adjustRightInd w:val="0"/>
              <w:jc w:val="left"/>
              <w:rPr>
                <w:b/>
                <w:szCs w:val="24"/>
              </w:rPr>
            </w:pPr>
            <w:r>
              <w:rPr>
                <w:b/>
                <w:szCs w:val="24"/>
              </w:rPr>
              <w:t>Outlook Mobile App</w:t>
            </w:r>
          </w:p>
        </w:tc>
        <w:tc>
          <w:tcPr>
            <w:tcW w:w="2083" w:type="dxa"/>
          </w:tcPr>
          <w:p w:rsidR="00381190" w:rsidRPr="008127DE" w:rsidRDefault="00B36115" w:rsidP="00DB771F">
            <w:pPr>
              <w:jc w:val="left"/>
              <w:rPr>
                <w:szCs w:val="24"/>
              </w:rPr>
            </w:pPr>
            <w:r w:rsidRPr="008127DE">
              <w:rPr>
                <w:szCs w:val="24"/>
              </w:rPr>
              <w:t>AFG sensitive information can be leaked without any restriction at user, device and mode of access</w:t>
            </w:r>
          </w:p>
        </w:tc>
        <w:tc>
          <w:tcPr>
            <w:tcW w:w="2785" w:type="dxa"/>
          </w:tcPr>
          <w:p w:rsidR="00CE0804" w:rsidRDefault="00CE0804" w:rsidP="00B36115">
            <w:pPr>
              <w:pStyle w:val="NormalBullet1"/>
              <w:jc w:val="left"/>
            </w:pPr>
            <w:r>
              <w:t xml:space="preserve">Access to O365 will be permitted only from policy complaint mobile devices registered in AFG Enterprise Mobile Management </w:t>
            </w:r>
          </w:p>
        </w:tc>
        <w:tc>
          <w:tcPr>
            <w:tcW w:w="1599" w:type="dxa"/>
          </w:tcPr>
          <w:p w:rsidR="00381190" w:rsidRDefault="00CE0804" w:rsidP="00DB771F">
            <w:pPr>
              <w:autoSpaceDE w:val="0"/>
              <w:autoSpaceDN w:val="0"/>
              <w:adjustRightInd w:val="0"/>
              <w:spacing w:after="40"/>
              <w:jc w:val="left"/>
              <w:rPr>
                <w:rFonts w:asciiTheme="minorHAnsi" w:hAnsiTheme="minorHAnsi"/>
                <w:b/>
              </w:rPr>
            </w:pPr>
            <w:r>
              <w:rPr>
                <w:rFonts w:asciiTheme="minorHAnsi" w:hAnsiTheme="minorHAnsi"/>
                <w:b/>
              </w:rPr>
              <w:t>Mandatory</w:t>
            </w:r>
          </w:p>
        </w:tc>
      </w:tr>
      <w:tr w:rsidR="00CE0804" w:rsidRPr="00FA10DF" w:rsidTr="001A546A">
        <w:trPr>
          <w:jc w:val="center"/>
        </w:trPr>
        <w:tc>
          <w:tcPr>
            <w:tcW w:w="554" w:type="dxa"/>
          </w:tcPr>
          <w:p w:rsidR="00CE0804" w:rsidRDefault="00CE0804" w:rsidP="00DB771F">
            <w:pPr>
              <w:spacing w:after="40"/>
              <w:jc w:val="left"/>
              <w:rPr>
                <w:szCs w:val="24"/>
              </w:rPr>
            </w:pPr>
            <w:r>
              <w:rPr>
                <w:szCs w:val="24"/>
              </w:rPr>
              <w:t>6.8</w:t>
            </w:r>
          </w:p>
        </w:tc>
        <w:tc>
          <w:tcPr>
            <w:tcW w:w="2142" w:type="dxa"/>
          </w:tcPr>
          <w:p w:rsidR="00CE0804" w:rsidRDefault="00106196" w:rsidP="00381190">
            <w:pPr>
              <w:autoSpaceDE w:val="0"/>
              <w:autoSpaceDN w:val="0"/>
              <w:adjustRightInd w:val="0"/>
              <w:jc w:val="left"/>
              <w:rPr>
                <w:b/>
                <w:szCs w:val="24"/>
              </w:rPr>
            </w:pPr>
            <w:r>
              <w:rPr>
                <w:b/>
                <w:szCs w:val="24"/>
              </w:rPr>
              <w:t>Outlook W</w:t>
            </w:r>
            <w:r w:rsidR="00CE0804">
              <w:rPr>
                <w:b/>
                <w:szCs w:val="24"/>
              </w:rPr>
              <w:t xml:space="preserve">eb Access </w:t>
            </w:r>
          </w:p>
        </w:tc>
        <w:tc>
          <w:tcPr>
            <w:tcW w:w="2083" w:type="dxa"/>
          </w:tcPr>
          <w:p w:rsidR="00CE0804" w:rsidRPr="008127DE" w:rsidRDefault="00B36115" w:rsidP="00DB771F">
            <w:pPr>
              <w:jc w:val="left"/>
              <w:rPr>
                <w:szCs w:val="24"/>
              </w:rPr>
            </w:pPr>
            <w:r w:rsidRPr="008127DE">
              <w:rPr>
                <w:szCs w:val="24"/>
              </w:rPr>
              <w:t>AFG sensitive information can be leaked without any restriction at user, device and mode of access</w:t>
            </w:r>
          </w:p>
        </w:tc>
        <w:tc>
          <w:tcPr>
            <w:tcW w:w="2785" w:type="dxa"/>
          </w:tcPr>
          <w:p w:rsidR="00CE0804" w:rsidRDefault="00CE0804" w:rsidP="00B36115">
            <w:pPr>
              <w:pStyle w:val="NormalBullet1"/>
              <w:jc w:val="left"/>
            </w:pPr>
            <w:r w:rsidRPr="005A7EE9">
              <w:rPr>
                <w:highlight w:val="yellow"/>
              </w:rPr>
              <w:t xml:space="preserve">Email browser access to OWA from any device will be allowed with Multi-factor authentication protection from outside </w:t>
            </w:r>
            <w:r w:rsidR="00B36115" w:rsidRPr="005A7EE9">
              <w:rPr>
                <w:highlight w:val="yellow"/>
              </w:rPr>
              <w:t xml:space="preserve">AFG </w:t>
            </w:r>
            <w:r w:rsidRPr="005A7EE9">
              <w:rPr>
                <w:highlight w:val="yellow"/>
              </w:rPr>
              <w:t>network</w:t>
            </w:r>
          </w:p>
        </w:tc>
        <w:tc>
          <w:tcPr>
            <w:tcW w:w="1599" w:type="dxa"/>
          </w:tcPr>
          <w:p w:rsidR="00CE0804" w:rsidRDefault="00CE0804" w:rsidP="00DB771F">
            <w:pPr>
              <w:autoSpaceDE w:val="0"/>
              <w:autoSpaceDN w:val="0"/>
              <w:adjustRightInd w:val="0"/>
              <w:spacing w:after="40"/>
              <w:jc w:val="left"/>
              <w:rPr>
                <w:rFonts w:asciiTheme="minorHAnsi" w:hAnsiTheme="minorHAnsi"/>
                <w:b/>
              </w:rPr>
            </w:pPr>
            <w:r>
              <w:rPr>
                <w:rFonts w:asciiTheme="minorHAnsi" w:hAnsiTheme="minorHAnsi"/>
                <w:b/>
              </w:rPr>
              <w:t>Mandatory</w:t>
            </w:r>
          </w:p>
        </w:tc>
      </w:tr>
    </w:tbl>
    <w:p w:rsidR="00440E36" w:rsidRDefault="00440E36" w:rsidP="00C65636"/>
    <w:p w:rsidR="00440E36" w:rsidRDefault="00440E36" w:rsidP="00440E36">
      <w:pPr>
        <w:pStyle w:val="Heading1"/>
      </w:pPr>
      <w:bookmarkStart w:id="32" w:name="_Toc385753522"/>
      <w:bookmarkStart w:id="33" w:name="_Toc507938218"/>
      <w:r>
        <w:t>Logging, Auditing and Monitoring</w:t>
      </w:r>
      <w:bookmarkEnd w:id="32"/>
      <w:bookmarkEnd w:id="33"/>
    </w:p>
    <w:p w:rsidR="00440E36" w:rsidRDefault="00440E36" w:rsidP="00440E36">
      <w:pPr>
        <w:spacing w:before="120" w:after="120"/>
        <w:rPr>
          <w:szCs w:val="24"/>
        </w:rPr>
      </w:pPr>
      <w:r w:rsidRPr="002A06F6">
        <w:rPr>
          <w:szCs w:val="24"/>
        </w:rPr>
        <w:t xml:space="preserve">The audit log provides the capability to investigate unauthorized activities after they occur so that proper remedial action can be taken. Auditing and monitoring standards require </w:t>
      </w:r>
      <w:r w:rsidR="00D86C37">
        <w:rPr>
          <w:szCs w:val="24"/>
        </w:rPr>
        <w:t>O365</w:t>
      </w:r>
      <w:r>
        <w:rPr>
          <w:szCs w:val="24"/>
        </w:rPr>
        <w:t xml:space="preserve"> </w:t>
      </w:r>
      <w:r w:rsidRPr="002A06F6">
        <w:rPr>
          <w:szCs w:val="24"/>
        </w:rPr>
        <w:t>administrators to enable mechanism to track user activities and events with the objective of identifying (and responding to) potential security incidents and/or enable timely recognition of potentially unauthorized activity of the systems(s).</w:t>
      </w:r>
    </w:p>
    <w:p w:rsidR="00440E36" w:rsidRPr="00320359" w:rsidRDefault="00440E36" w:rsidP="00320359">
      <w:pPr>
        <w:pStyle w:val="Caption"/>
        <w:keepNext/>
        <w:spacing w:after="0"/>
      </w:pPr>
      <w:bookmarkStart w:id="34" w:name="_Toc385753523"/>
      <w:bookmarkStart w:id="35" w:name="_Toc507938219"/>
      <w:r w:rsidRPr="00320359">
        <w:t xml:space="preserve">Table </w:t>
      </w:r>
      <w:fldSimple w:instr=" STYLEREF 1 \s ">
        <w:r w:rsidRPr="00320359">
          <w:t>7</w:t>
        </w:r>
      </w:fldSimple>
      <w:r w:rsidRPr="00320359">
        <w:noBreakHyphen/>
      </w:r>
      <w:fldSimple w:instr=" SEQ Table \* ARABIC \s 1 ">
        <w:r w:rsidRPr="00320359">
          <w:t>1</w:t>
        </w:r>
      </w:fldSimple>
      <w:r w:rsidRPr="00320359">
        <w:t xml:space="preserve"> Logging, Auditing and Monitoring</w:t>
      </w:r>
      <w:bookmarkEnd w:id="34"/>
      <w:bookmarkEnd w:id="35"/>
    </w:p>
    <w:tbl>
      <w:tblPr>
        <w:tblStyle w:val="TableGrid2"/>
        <w:tblW w:w="0" w:type="auto"/>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564"/>
        <w:gridCol w:w="2131"/>
        <w:gridCol w:w="2610"/>
        <w:gridCol w:w="2610"/>
        <w:gridCol w:w="1248"/>
      </w:tblGrid>
      <w:tr w:rsidR="00440E36" w:rsidRPr="00440E36" w:rsidTr="00525BC3">
        <w:trPr>
          <w:tblHeader/>
          <w:jc w:val="center"/>
        </w:trPr>
        <w:tc>
          <w:tcPr>
            <w:tcW w:w="564" w:type="dxa"/>
            <w:shd w:val="clear" w:color="auto" w:fill="C6D9F1"/>
            <w:vAlign w:val="center"/>
          </w:tcPr>
          <w:p w:rsidR="00440E36" w:rsidRPr="00440E36" w:rsidRDefault="00440E36" w:rsidP="00440E36">
            <w:pPr>
              <w:jc w:val="center"/>
              <w:rPr>
                <w:rFonts w:cs="Calibri"/>
                <w:b/>
              </w:rPr>
            </w:pPr>
            <w:r w:rsidRPr="00440E36">
              <w:rPr>
                <w:rFonts w:cs="Calibri"/>
                <w:b/>
              </w:rPr>
              <w:t>Sr. No.</w:t>
            </w:r>
          </w:p>
        </w:tc>
        <w:tc>
          <w:tcPr>
            <w:tcW w:w="2131" w:type="dxa"/>
            <w:shd w:val="clear" w:color="auto" w:fill="C6D9F1"/>
          </w:tcPr>
          <w:p w:rsidR="00440E36" w:rsidRPr="00440E36" w:rsidRDefault="00440E36" w:rsidP="00440E36">
            <w:pPr>
              <w:rPr>
                <w:rFonts w:cs="Calibri"/>
                <w:b/>
              </w:rPr>
            </w:pPr>
            <w:r w:rsidRPr="00440E36">
              <w:rPr>
                <w:rFonts w:cs="Calibri"/>
                <w:b/>
              </w:rPr>
              <w:t>Control Standard / Requirement</w:t>
            </w:r>
          </w:p>
        </w:tc>
        <w:tc>
          <w:tcPr>
            <w:tcW w:w="2610" w:type="dxa"/>
            <w:shd w:val="clear" w:color="auto" w:fill="C6D9F1"/>
          </w:tcPr>
          <w:p w:rsidR="00440E36" w:rsidRPr="00440E36" w:rsidRDefault="00440E36" w:rsidP="00440E36">
            <w:pPr>
              <w:rPr>
                <w:rFonts w:cs="Calibri"/>
                <w:b/>
              </w:rPr>
            </w:pPr>
            <w:r w:rsidRPr="00440E36">
              <w:rPr>
                <w:rFonts w:cs="Calibri"/>
                <w:b/>
              </w:rPr>
              <w:t>Impact if Not Implemented</w:t>
            </w:r>
          </w:p>
        </w:tc>
        <w:tc>
          <w:tcPr>
            <w:tcW w:w="2610" w:type="dxa"/>
            <w:shd w:val="clear" w:color="auto" w:fill="C6D9F1"/>
          </w:tcPr>
          <w:p w:rsidR="00440E36" w:rsidRPr="00440E36" w:rsidRDefault="00440E36" w:rsidP="00440E36">
            <w:pPr>
              <w:rPr>
                <w:rFonts w:cs="Calibri"/>
                <w:b/>
              </w:rPr>
            </w:pPr>
            <w:r w:rsidRPr="00440E36">
              <w:rPr>
                <w:rFonts w:cs="Calibri"/>
                <w:b/>
              </w:rPr>
              <w:t>Implementation Procedures</w:t>
            </w:r>
          </w:p>
        </w:tc>
        <w:tc>
          <w:tcPr>
            <w:tcW w:w="1248" w:type="dxa"/>
            <w:shd w:val="clear" w:color="auto" w:fill="C6D9F1"/>
          </w:tcPr>
          <w:p w:rsidR="00440E36" w:rsidRPr="00440E36" w:rsidRDefault="00440E36" w:rsidP="00440E36">
            <w:pPr>
              <w:rPr>
                <w:rFonts w:cs="Calibri"/>
                <w:b/>
              </w:rPr>
            </w:pPr>
            <w:r w:rsidRPr="00440E36">
              <w:rPr>
                <w:rFonts w:cs="Calibri"/>
                <w:b/>
              </w:rPr>
              <w:t>Mandatory/ Good to Have</w:t>
            </w:r>
          </w:p>
        </w:tc>
      </w:tr>
      <w:tr w:rsidR="00440E36" w:rsidRPr="00440E36" w:rsidTr="00525BC3">
        <w:trPr>
          <w:jc w:val="center"/>
        </w:trPr>
        <w:tc>
          <w:tcPr>
            <w:tcW w:w="564" w:type="dxa"/>
          </w:tcPr>
          <w:p w:rsidR="00440E36" w:rsidRPr="00440E36" w:rsidRDefault="00440E36" w:rsidP="00756C74">
            <w:pPr>
              <w:numPr>
                <w:ilvl w:val="0"/>
                <w:numId w:val="9"/>
              </w:numPr>
              <w:spacing w:after="40"/>
              <w:ind w:right="-108"/>
              <w:contextualSpacing/>
              <w:jc w:val="center"/>
              <w:rPr>
                <w:rFonts w:cs="Calibri"/>
                <w:bCs/>
              </w:rPr>
            </w:pPr>
          </w:p>
        </w:tc>
        <w:tc>
          <w:tcPr>
            <w:tcW w:w="2131" w:type="dxa"/>
          </w:tcPr>
          <w:p w:rsidR="00440E36" w:rsidRPr="00440E36" w:rsidRDefault="00525BC3" w:rsidP="00440E36">
            <w:pPr>
              <w:spacing w:before="60" w:after="0"/>
              <w:rPr>
                <w:rFonts w:asciiTheme="minorHAnsi" w:hAnsiTheme="minorHAnsi" w:cs="OLLNAL+TimesNewRoman,Bold"/>
                <w:b/>
                <w:bCs/>
                <w:color w:val="000000"/>
                <w:szCs w:val="22"/>
              </w:rPr>
            </w:pPr>
            <w:r>
              <w:rPr>
                <w:rFonts w:asciiTheme="minorHAnsi" w:hAnsiTheme="minorHAnsi" w:cs="OLLNAL+TimesNewRoman,Bold"/>
                <w:b/>
                <w:bCs/>
                <w:color w:val="000000"/>
                <w:szCs w:val="22"/>
              </w:rPr>
              <w:t xml:space="preserve">Audit Logging </w:t>
            </w:r>
          </w:p>
          <w:p w:rsidR="00440E36" w:rsidRPr="00440E36" w:rsidRDefault="00525BC3" w:rsidP="00440E36">
            <w:pPr>
              <w:spacing w:before="60" w:after="0"/>
              <w:rPr>
                <w:rFonts w:asciiTheme="minorHAnsi" w:hAnsiTheme="minorHAnsi" w:cs="OLLNAL+TimesNewRoman,Bold"/>
                <w:bCs/>
                <w:color w:val="000000"/>
                <w:szCs w:val="22"/>
              </w:rPr>
            </w:pPr>
            <w:r>
              <w:rPr>
                <w:rFonts w:asciiTheme="minorHAnsi" w:hAnsiTheme="minorHAnsi" w:cs="OLLNAL+TimesNewRoman,Bold"/>
                <w:bCs/>
                <w:color w:val="000000"/>
                <w:szCs w:val="22"/>
              </w:rPr>
              <w:t xml:space="preserve">Audit trail of all the activities need to be logged and maintained </w:t>
            </w:r>
          </w:p>
        </w:tc>
        <w:tc>
          <w:tcPr>
            <w:tcW w:w="2610" w:type="dxa"/>
          </w:tcPr>
          <w:p w:rsidR="00440E36" w:rsidRPr="00440E36" w:rsidRDefault="00525BC3" w:rsidP="00525BC3">
            <w:pPr>
              <w:spacing w:before="60" w:after="0"/>
              <w:jc w:val="left"/>
              <w:rPr>
                <w:rFonts w:cs="Calibri"/>
                <w:szCs w:val="22"/>
              </w:rPr>
            </w:pPr>
            <w:r w:rsidRPr="00525BC3">
              <w:rPr>
                <w:rFonts w:cs="Calibri"/>
                <w:szCs w:val="22"/>
              </w:rPr>
              <w:t>Without appropriate audit logging, an attacker's activities</w:t>
            </w:r>
            <w:r>
              <w:rPr>
                <w:rFonts w:ascii="Arial" w:hAnsi="Arial" w:cs="Arial"/>
                <w:color w:val="333333"/>
                <w:sz w:val="23"/>
                <w:szCs w:val="23"/>
                <w:lang w:val="en"/>
              </w:rPr>
              <w:t xml:space="preserve"> </w:t>
            </w:r>
            <w:r w:rsidRPr="00525BC3">
              <w:rPr>
                <w:rFonts w:cs="Calibri"/>
                <w:szCs w:val="22"/>
              </w:rPr>
              <w:t>can go unnoticed, and evidence of whether or not the attack led to a breach can be inconclusive</w:t>
            </w:r>
            <w:r>
              <w:rPr>
                <w:rFonts w:ascii="Arial" w:hAnsi="Arial" w:cs="Arial"/>
                <w:color w:val="333333"/>
                <w:sz w:val="23"/>
                <w:szCs w:val="23"/>
                <w:lang w:val="en"/>
              </w:rPr>
              <w:t>.</w:t>
            </w:r>
          </w:p>
        </w:tc>
        <w:tc>
          <w:tcPr>
            <w:tcW w:w="2610" w:type="dxa"/>
          </w:tcPr>
          <w:p w:rsidR="00440E36" w:rsidRPr="00F1313F" w:rsidRDefault="00525BC3" w:rsidP="00F1313F">
            <w:pPr>
              <w:pStyle w:val="NormalBullet1"/>
              <w:jc w:val="left"/>
            </w:pPr>
            <w:r w:rsidRPr="00F1313F">
              <w:t xml:space="preserve">Enable </w:t>
            </w:r>
            <w:r w:rsidR="00D9508A" w:rsidRPr="00F1313F">
              <w:t>O365 audit l</w:t>
            </w:r>
            <w:r w:rsidRPr="00F1313F">
              <w:t xml:space="preserve">og </w:t>
            </w:r>
            <w:r w:rsidR="00D9508A" w:rsidRPr="00F1313F">
              <w:t>s</w:t>
            </w:r>
            <w:r w:rsidRPr="00F1313F">
              <w:t>earch and retaining of logs for at least 6 months</w:t>
            </w:r>
          </w:p>
        </w:tc>
        <w:tc>
          <w:tcPr>
            <w:tcW w:w="1248" w:type="dxa"/>
          </w:tcPr>
          <w:p w:rsidR="00440E36" w:rsidRPr="00440E36" w:rsidRDefault="00440E36" w:rsidP="00440E36">
            <w:pPr>
              <w:autoSpaceDE w:val="0"/>
              <w:autoSpaceDN w:val="0"/>
              <w:adjustRightInd w:val="0"/>
              <w:spacing w:before="0" w:after="0"/>
              <w:contextualSpacing/>
              <w:jc w:val="center"/>
              <w:rPr>
                <w:rFonts w:asciiTheme="minorHAnsi" w:hAnsiTheme="minorHAnsi" w:cs="Calibri"/>
                <w:b/>
              </w:rPr>
            </w:pPr>
            <w:r w:rsidRPr="00440E36">
              <w:rPr>
                <w:rFonts w:asciiTheme="minorHAnsi" w:hAnsiTheme="minorHAnsi" w:cs="Calibri"/>
                <w:b/>
              </w:rPr>
              <w:t>Mandatory</w:t>
            </w:r>
          </w:p>
        </w:tc>
      </w:tr>
      <w:tr w:rsidR="00525BC3" w:rsidRPr="00440E36" w:rsidTr="00525BC3">
        <w:trPr>
          <w:jc w:val="center"/>
        </w:trPr>
        <w:tc>
          <w:tcPr>
            <w:tcW w:w="564" w:type="dxa"/>
          </w:tcPr>
          <w:p w:rsidR="00525BC3" w:rsidRPr="00440E36" w:rsidRDefault="00525BC3" w:rsidP="00756C74">
            <w:pPr>
              <w:numPr>
                <w:ilvl w:val="0"/>
                <w:numId w:val="9"/>
              </w:numPr>
              <w:spacing w:after="40"/>
              <w:ind w:right="-108"/>
              <w:contextualSpacing/>
              <w:jc w:val="center"/>
              <w:rPr>
                <w:rFonts w:cs="Calibri"/>
                <w:bCs/>
              </w:rPr>
            </w:pPr>
          </w:p>
        </w:tc>
        <w:tc>
          <w:tcPr>
            <w:tcW w:w="2131" w:type="dxa"/>
          </w:tcPr>
          <w:p w:rsidR="00BA54F8" w:rsidRDefault="00BA54F8" w:rsidP="00BA54F8">
            <w:pPr>
              <w:pStyle w:val="BodyText2"/>
              <w:spacing w:after="0"/>
              <w:jc w:val="left"/>
              <w:rPr>
                <w:rFonts w:asciiTheme="minorHAnsi" w:hAnsiTheme="minorHAnsi" w:cs="OLLNAL+TimesNewRoman,Bold"/>
                <w:b/>
                <w:bCs/>
                <w:color w:val="000000"/>
                <w:sz w:val="20"/>
                <w:szCs w:val="22"/>
              </w:rPr>
            </w:pPr>
            <w:r w:rsidRPr="00DF0B5F">
              <w:rPr>
                <w:rFonts w:asciiTheme="minorHAnsi" w:hAnsiTheme="minorHAnsi" w:cs="OLLNAL+TimesNewRoman,Bold"/>
                <w:b/>
                <w:bCs/>
                <w:color w:val="000000"/>
                <w:sz w:val="20"/>
                <w:szCs w:val="22"/>
              </w:rPr>
              <w:t>Monitoring</w:t>
            </w:r>
            <w:r>
              <w:rPr>
                <w:rFonts w:asciiTheme="minorHAnsi" w:hAnsiTheme="minorHAnsi" w:cs="OLLNAL+TimesNewRoman,Bold"/>
                <w:b/>
                <w:bCs/>
                <w:color w:val="000000"/>
                <w:sz w:val="20"/>
                <w:szCs w:val="22"/>
              </w:rPr>
              <w:t xml:space="preserve"> and Alerting of Administrator portal activity</w:t>
            </w:r>
          </w:p>
          <w:p w:rsidR="00BA54F8" w:rsidRPr="00BA54F8" w:rsidRDefault="00BA54F8" w:rsidP="00BA54F8">
            <w:pPr>
              <w:spacing w:before="60" w:after="0"/>
              <w:jc w:val="left"/>
              <w:rPr>
                <w:rFonts w:asciiTheme="minorHAnsi" w:hAnsiTheme="minorHAnsi" w:cs="OLLNAL+TimesNewRoman,Bold"/>
                <w:bCs/>
                <w:color w:val="000000"/>
                <w:szCs w:val="22"/>
              </w:rPr>
            </w:pPr>
            <w:r>
              <w:rPr>
                <w:rFonts w:asciiTheme="minorHAnsi" w:hAnsiTheme="minorHAnsi" w:cs="OLLNAL+TimesNewRoman,Bold"/>
                <w:bCs/>
                <w:color w:val="000000"/>
                <w:szCs w:val="22"/>
              </w:rPr>
              <w:lastRenderedPageBreak/>
              <w:t xml:space="preserve">O365 </w:t>
            </w:r>
            <w:r w:rsidRPr="00BA54F8">
              <w:rPr>
                <w:rFonts w:asciiTheme="minorHAnsi" w:hAnsiTheme="minorHAnsi" w:cs="OLLNAL+TimesNewRoman,Bold"/>
                <w:bCs/>
                <w:color w:val="000000"/>
                <w:szCs w:val="22"/>
              </w:rPr>
              <w:t xml:space="preserve">global administered portal and other administrator activity needs to be monitored and altering mechanism should be in place </w:t>
            </w:r>
          </w:p>
          <w:p w:rsidR="00525BC3" w:rsidRDefault="00525BC3" w:rsidP="00440E36">
            <w:pPr>
              <w:spacing w:before="60" w:after="0"/>
              <w:rPr>
                <w:rFonts w:asciiTheme="minorHAnsi" w:hAnsiTheme="minorHAnsi" w:cs="OLLNAL+TimesNewRoman,Bold"/>
                <w:b/>
                <w:bCs/>
                <w:color w:val="000000"/>
                <w:szCs w:val="22"/>
              </w:rPr>
            </w:pPr>
          </w:p>
        </w:tc>
        <w:tc>
          <w:tcPr>
            <w:tcW w:w="2610" w:type="dxa"/>
          </w:tcPr>
          <w:p w:rsidR="00525BC3" w:rsidRPr="00525BC3" w:rsidRDefault="00BA54F8" w:rsidP="00BA54F8">
            <w:pPr>
              <w:spacing w:before="60" w:after="0"/>
              <w:jc w:val="left"/>
              <w:rPr>
                <w:rFonts w:cs="Calibri"/>
                <w:szCs w:val="22"/>
              </w:rPr>
            </w:pPr>
            <w:r>
              <w:rPr>
                <w:rFonts w:cs="Calibri"/>
                <w:szCs w:val="22"/>
              </w:rPr>
              <w:lastRenderedPageBreak/>
              <w:t xml:space="preserve">Administrative changes at the group level and specific application level impacts the </w:t>
            </w:r>
            <w:r>
              <w:rPr>
                <w:rFonts w:cs="Calibri"/>
                <w:szCs w:val="22"/>
              </w:rPr>
              <w:lastRenderedPageBreak/>
              <w:t>configurations for the entire AFG O365 platform</w:t>
            </w:r>
          </w:p>
        </w:tc>
        <w:tc>
          <w:tcPr>
            <w:tcW w:w="2610" w:type="dxa"/>
          </w:tcPr>
          <w:p w:rsidR="00492170" w:rsidRPr="005A7EE9" w:rsidRDefault="00492170" w:rsidP="00F1313F">
            <w:pPr>
              <w:pStyle w:val="NormalBullet1"/>
              <w:jc w:val="left"/>
              <w:rPr>
                <w:highlight w:val="yellow"/>
              </w:rPr>
            </w:pPr>
            <w:r w:rsidRPr="005A7EE9">
              <w:rPr>
                <w:highlight w:val="yellow"/>
              </w:rPr>
              <w:lastRenderedPageBreak/>
              <w:t>Create Poli</w:t>
            </w:r>
            <w:r w:rsidR="00C846CF" w:rsidRPr="005A7EE9">
              <w:rPr>
                <w:highlight w:val="yellow"/>
              </w:rPr>
              <w:t>ci</w:t>
            </w:r>
            <w:r w:rsidRPr="005A7EE9">
              <w:rPr>
                <w:highlight w:val="yellow"/>
              </w:rPr>
              <w:t xml:space="preserve">es that will trigger right alerts and generate sufficient logs that will support </w:t>
            </w:r>
            <w:r w:rsidRPr="005A7EE9">
              <w:rPr>
                <w:highlight w:val="yellow"/>
              </w:rPr>
              <w:lastRenderedPageBreak/>
              <w:t>investigation during and after incident(s)</w:t>
            </w:r>
          </w:p>
          <w:p w:rsidR="00525BC3" w:rsidRPr="00F1313F" w:rsidRDefault="00525BC3" w:rsidP="00F1313F">
            <w:pPr>
              <w:pStyle w:val="NormalBullet1"/>
              <w:numPr>
                <w:ilvl w:val="0"/>
                <w:numId w:val="0"/>
              </w:numPr>
              <w:ind w:left="360"/>
              <w:jc w:val="left"/>
            </w:pPr>
          </w:p>
        </w:tc>
        <w:tc>
          <w:tcPr>
            <w:tcW w:w="1248" w:type="dxa"/>
          </w:tcPr>
          <w:p w:rsidR="00525BC3" w:rsidRPr="00440E36" w:rsidRDefault="00BA54F8" w:rsidP="00440E36">
            <w:pPr>
              <w:autoSpaceDE w:val="0"/>
              <w:autoSpaceDN w:val="0"/>
              <w:adjustRightInd w:val="0"/>
              <w:spacing w:before="0" w:after="0"/>
              <w:contextualSpacing/>
              <w:jc w:val="center"/>
              <w:rPr>
                <w:rFonts w:asciiTheme="minorHAnsi" w:hAnsiTheme="minorHAnsi" w:cs="Calibri"/>
                <w:b/>
              </w:rPr>
            </w:pPr>
            <w:r w:rsidRPr="00D75C0C">
              <w:rPr>
                <w:rFonts w:asciiTheme="minorHAnsi" w:hAnsiTheme="minorHAnsi"/>
                <w:b/>
              </w:rPr>
              <w:lastRenderedPageBreak/>
              <w:t>Mandatory</w:t>
            </w:r>
          </w:p>
        </w:tc>
      </w:tr>
    </w:tbl>
    <w:p w:rsidR="00492170" w:rsidRDefault="00492170" w:rsidP="00492170">
      <w:bookmarkStart w:id="36" w:name="_Toc385753524"/>
    </w:p>
    <w:p w:rsidR="00492170" w:rsidRDefault="00492170" w:rsidP="00492170">
      <w:pPr>
        <w:pStyle w:val="Heading1"/>
      </w:pPr>
      <w:bookmarkStart w:id="37" w:name="_Toc507938220"/>
      <w:r>
        <w:t>Checklist</w:t>
      </w:r>
      <w:bookmarkEnd w:id="36"/>
      <w:bookmarkEnd w:id="37"/>
    </w:p>
    <w:p w:rsidR="00492170" w:rsidRDefault="00492170" w:rsidP="00492170">
      <w:pPr>
        <w:spacing w:before="120" w:after="120"/>
        <w:rPr>
          <w:szCs w:val="24"/>
          <w:lang w:val="en-GB"/>
        </w:rPr>
      </w:pPr>
      <w:r w:rsidRPr="007E25EE">
        <w:rPr>
          <w:szCs w:val="24"/>
          <w:lang w:val="en-GB"/>
        </w:rPr>
        <w:t xml:space="preserve">It is strongly recommended to apply all the security standards mentioned explained on the above sections; the following checklist contains the consolidated list of major security standards for the convenience of </w:t>
      </w:r>
      <w:r w:rsidR="00EE3FB1">
        <w:rPr>
          <w:szCs w:val="24"/>
          <w:lang w:val="en-GB"/>
        </w:rPr>
        <w:t>O365 administrator</w:t>
      </w:r>
    </w:p>
    <w:tbl>
      <w:tblPr>
        <w:tblStyle w:val="TableGrid"/>
        <w:tblW w:w="0" w:type="auto"/>
        <w:jc w:val="righ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830"/>
        <w:gridCol w:w="8333"/>
      </w:tblGrid>
      <w:tr w:rsidR="00EE3FB1" w:rsidRPr="006932B3" w:rsidTr="003975AE">
        <w:trPr>
          <w:tblHeader/>
          <w:jc w:val="right"/>
        </w:trPr>
        <w:tc>
          <w:tcPr>
            <w:tcW w:w="830" w:type="dxa"/>
            <w:shd w:val="clear" w:color="auto" w:fill="C6D9F1"/>
            <w:vAlign w:val="center"/>
          </w:tcPr>
          <w:p w:rsidR="00EE3FB1" w:rsidRPr="006932B3" w:rsidRDefault="00EE3FB1" w:rsidP="00773F17">
            <w:pPr>
              <w:spacing w:after="40"/>
              <w:jc w:val="center"/>
              <w:rPr>
                <w:b/>
              </w:rPr>
            </w:pPr>
            <w:r w:rsidRPr="006932B3">
              <w:rPr>
                <w:b/>
              </w:rPr>
              <w:t>Sr. No.</w:t>
            </w:r>
          </w:p>
        </w:tc>
        <w:tc>
          <w:tcPr>
            <w:tcW w:w="8333" w:type="dxa"/>
            <w:shd w:val="clear" w:color="auto" w:fill="C6D9F1"/>
            <w:vAlign w:val="center"/>
          </w:tcPr>
          <w:p w:rsidR="00EE3FB1" w:rsidRPr="006932B3" w:rsidRDefault="00EE3FB1" w:rsidP="00773F17">
            <w:pPr>
              <w:spacing w:after="40"/>
              <w:jc w:val="left"/>
              <w:rPr>
                <w:b/>
              </w:rPr>
            </w:pPr>
            <w:r w:rsidRPr="006932B3">
              <w:rPr>
                <w:b/>
              </w:rPr>
              <w:t>Control Standard / Requirement</w:t>
            </w:r>
          </w:p>
        </w:tc>
      </w:tr>
      <w:tr w:rsidR="00EE3FB1" w:rsidRPr="006932B3" w:rsidTr="003975AE">
        <w:trPr>
          <w:trHeight w:val="296"/>
          <w:jc w:val="right"/>
        </w:trPr>
        <w:tc>
          <w:tcPr>
            <w:tcW w:w="830" w:type="dxa"/>
            <w:vAlign w:val="center"/>
          </w:tcPr>
          <w:p w:rsidR="00EE3FB1" w:rsidRPr="00106196" w:rsidRDefault="00106196" w:rsidP="00106196">
            <w:pPr>
              <w:pStyle w:val="ListParagraph"/>
              <w:spacing w:after="40"/>
              <w:ind w:left="360"/>
              <w:contextualSpacing w:val="0"/>
              <w:jc w:val="right"/>
            </w:pPr>
            <w:r w:rsidRPr="00106196">
              <w:t>5.1</w:t>
            </w:r>
          </w:p>
        </w:tc>
        <w:tc>
          <w:tcPr>
            <w:tcW w:w="8333" w:type="dxa"/>
          </w:tcPr>
          <w:p w:rsidR="00EE3FB1" w:rsidRPr="00106196" w:rsidRDefault="00EE3FB1" w:rsidP="00106196">
            <w:pPr>
              <w:spacing w:after="40"/>
              <w:contextualSpacing/>
              <w:jc w:val="left"/>
            </w:pPr>
            <w:r w:rsidRPr="00106196">
              <w:t>Restrict access to the O365 group administrator  portal and other administrator roles</w:t>
            </w:r>
          </w:p>
        </w:tc>
      </w:tr>
      <w:tr w:rsidR="00EE3FB1" w:rsidRPr="006932B3" w:rsidTr="003975AE">
        <w:trPr>
          <w:jc w:val="right"/>
        </w:trPr>
        <w:tc>
          <w:tcPr>
            <w:tcW w:w="830" w:type="dxa"/>
            <w:vAlign w:val="center"/>
          </w:tcPr>
          <w:p w:rsidR="00EE3FB1" w:rsidRPr="00106196" w:rsidRDefault="00106196" w:rsidP="00106196">
            <w:pPr>
              <w:pStyle w:val="ListParagraph"/>
              <w:spacing w:after="40"/>
              <w:ind w:left="360"/>
              <w:contextualSpacing w:val="0"/>
              <w:jc w:val="right"/>
            </w:pPr>
            <w:r w:rsidRPr="00106196">
              <w:t>5.2</w:t>
            </w:r>
          </w:p>
        </w:tc>
        <w:tc>
          <w:tcPr>
            <w:tcW w:w="8333" w:type="dxa"/>
          </w:tcPr>
          <w:p w:rsidR="00EE3FB1" w:rsidRPr="00106196" w:rsidRDefault="00EE3FB1" w:rsidP="00106196">
            <w:pPr>
              <w:spacing w:after="40"/>
              <w:contextualSpacing/>
              <w:jc w:val="left"/>
            </w:pPr>
            <w:r w:rsidRPr="00106196">
              <w:t>AFG End User Authentication</w:t>
            </w:r>
          </w:p>
        </w:tc>
      </w:tr>
      <w:tr w:rsidR="00EE3FB1" w:rsidRPr="006932B3" w:rsidTr="003975AE">
        <w:trPr>
          <w:jc w:val="right"/>
        </w:trPr>
        <w:tc>
          <w:tcPr>
            <w:tcW w:w="830" w:type="dxa"/>
            <w:vAlign w:val="center"/>
          </w:tcPr>
          <w:p w:rsidR="00EE3FB1" w:rsidRPr="00106196" w:rsidRDefault="00106196" w:rsidP="00106196">
            <w:pPr>
              <w:pStyle w:val="ListParagraph"/>
              <w:spacing w:after="40"/>
              <w:ind w:left="360"/>
              <w:contextualSpacing w:val="0"/>
              <w:jc w:val="right"/>
            </w:pPr>
            <w:r w:rsidRPr="00106196">
              <w:t>5.3</w:t>
            </w:r>
          </w:p>
        </w:tc>
        <w:tc>
          <w:tcPr>
            <w:tcW w:w="8333" w:type="dxa"/>
          </w:tcPr>
          <w:p w:rsidR="00EE3FB1" w:rsidRPr="00106196" w:rsidRDefault="00EE3FB1" w:rsidP="00106196">
            <w:pPr>
              <w:spacing w:after="40"/>
              <w:contextualSpacing/>
              <w:jc w:val="left"/>
            </w:pPr>
            <w:r w:rsidRPr="00106196">
              <w:t>Authorized AFG Devices</w:t>
            </w:r>
          </w:p>
        </w:tc>
      </w:tr>
      <w:tr w:rsidR="00EE3FB1" w:rsidRPr="006932B3" w:rsidTr="003975AE">
        <w:trPr>
          <w:jc w:val="right"/>
        </w:trPr>
        <w:tc>
          <w:tcPr>
            <w:tcW w:w="830" w:type="dxa"/>
            <w:vAlign w:val="center"/>
          </w:tcPr>
          <w:p w:rsidR="00EE3FB1" w:rsidRPr="00106196" w:rsidRDefault="00106196" w:rsidP="00106196">
            <w:pPr>
              <w:spacing w:after="40"/>
              <w:jc w:val="right"/>
            </w:pPr>
            <w:r>
              <w:t>6.1</w:t>
            </w:r>
          </w:p>
        </w:tc>
        <w:tc>
          <w:tcPr>
            <w:tcW w:w="8333" w:type="dxa"/>
          </w:tcPr>
          <w:p w:rsidR="00EE3FB1" w:rsidRPr="00106196" w:rsidRDefault="00EE3FB1" w:rsidP="00106196">
            <w:pPr>
              <w:spacing w:after="40"/>
              <w:contextualSpacing/>
              <w:jc w:val="left"/>
            </w:pPr>
            <w:r w:rsidRPr="00106196">
              <w:t>Secure Channel</w:t>
            </w:r>
          </w:p>
        </w:tc>
      </w:tr>
      <w:tr w:rsidR="00EE3FB1" w:rsidRPr="006932B3" w:rsidTr="003975AE">
        <w:trPr>
          <w:jc w:val="right"/>
        </w:trPr>
        <w:tc>
          <w:tcPr>
            <w:tcW w:w="830" w:type="dxa"/>
            <w:vAlign w:val="center"/>
          </w:tcPr>
          <w:p w:rsidR="00EE3FB1" w:rsidRPr="00106196" w:rsidRDefault="00106196" w:rsidP="00106196">
            <w:pPr>
              <w:spacing w:after="40"/>
              <w:jc w:val="right"/>
            </w:pPr>
            <w:r>
              <w:t>6.2</w:t>
            </w:r>
          </w:p>
        </w:tc>
        <w:tc>
          <w:tcPr>
            <w:tcW w:w="8333" w:type="dxa"/>
          </w:tcPr>
          <w:p w:rsidR="00EE3FB1" w:rsidRPr="00106196" w:rsidRDefault="00EE3FB1" w:rsidP="00106196">
            <w:pPr>
              <w:spacing w:after="40"/>
              <w:contextualSpacing/>
              <w:jc w:val="left"/>
            </w:pPr>
            <w:r w:rsidRPr="00106196">
              <w:t>AFG Internal data Sharing</w:t>
            </w:r>
          </w:p>
        </w:tc>
      </w:tr>
      <w:tr w:rsidR="00EE3FB1" w:rsidRPr="006932B3" w:rsidTr="003975AE">
        <w:trPr>
          <w:jc w:val="right"/>
        </w:trPr>
        <w:tc>
          <w:tcPr>
            <w:tcW w:w="830" w:type="dxa"/>
            <w:vAlign w:val="center"/>
          </w:tcPr>
          <w:p w:rsidR="00EE3FB1" w:rsidRPr="00106196" w:rsidRDefault="00106196" w:rsidP="00106196">
            <w:pPr>
              <w:spacing w:after="40"/>
              <w:jc w:val="right"/>
            </w:pPr>
            <w:r>
              <w:t>6.3</w:t>
            </w:r>
          </w:p>
        </w:tc>
        <w:tc>
          <w:tcPr>
            <w:tcW w:w="8333" w:type="dxa"/>
          </w:tcPr>
          <w:p w:rsidR="00EE3FB1" w:rsidRPr="00106196" w:rsidRDefault="00EE3FB1" w:rsidP="00106196">
            <w:pPr>
              <w:spacing w:after="40"/>
              <w:contextualSpacing/>
              <w:jc w:val="left"/>
            </w:pPr>
            <w:r w:rsidRPr="00106196">
              <w:t>AFG External data Sharing</w:t>
            </w:r>
          </w:p>
        </w:tc>
      </w:tr>
      <w:tr w:rsidR="00106196" w:rsidRPr="006932B3" w:rsidTr="003975AE">
        <w:trPr>
          <w:jc w:val="right"/>
        </w:trPr>
        <w:tc>
          <w:tcPr>
            <w:tcW w:w="830" w:type="dxa"/>
            <w:vAlign w:val="center"/>
          </w:tcPr>
          <w:p w:rsidR="00106196" w:rsidRPr="00106196" w:rsidRDefault="00106196" w:rsidP="00106196">
            <w:pPr>
              <w:spacing w:after="40"/>
              <w:jc w:val="right"/>
            </w:pPr>
            <w:r>
              <w:t>6.4</w:t>
            </w:r>
          </w:p>
        </w:tc>
        <w:tc>
          <w:tcPr>
            <w:tcW w:w="8333" w:type="dxa"/>
          </w:tcPr>
          <w:p w:rsidR="00106196" w:rsidRPr="00106196" w:rsidRDefault="00106196" w:rsidP="00106196">
            <w:pPr>
              <w:spacing w:after="40"/>
              <w:contextualSpacing/>
              <w:jc w:val="left"/>
            </w:pPr>
            <w:r w:rsidRPr="00106196">
              <w:t>Internal Access (Browser Only)</w:t>
            </w:r>
          </w:p>
        </w:tc>
      </w:tr>
      <w:tr w:rsidR="00106196" w:rsidRPr="006932B3" w:rsidTr="003975AE">
        <w:trPr>
          <w:jc w:val="right"/>
        </w:trPr>
        <w:tc>
          <w:tcPr>
            <w:tcW w:w="830" w:type="dxa"/>
            <w:vAlign w:val="center"/>
          </w:tcPr>
          <w:p w:rsidR="00106196" w:rsidRPr="00106196" w:rsidRDefault="00106196" w:rsidP="00106196">
            <w:pPr>
              <w:spacing w:after="40"/>
              <w:jc w:val="right"/>
            </w:pPr>
            <w:r>
              <w:t>6.5</w:t>
            </w:r>
          </w:p>
        </w:tc>
        <w:tc>
          <w:tcPr>
            <w:tcW w:w="8333" w:type="dxa"/>
          </w:tcPr>
          <w:p w:rsidR="00106196" w:rsidRPr="00106196" w:rsidRDefault="00106196" w:rsidP="00106196">
            <w:pPr>
              <w:spacing w:after="40"/>
              <w:contextualSpacing/>
              <w:jc w:val="left"/>
            </w:pPr>
            <w:r w:rsidRPr="00106196">
              <w:t>External Sharing (Browser only)</w:t>
            </w:r>
          </w:p>
        </w:tc>
      </w:tr>
      <w:tr w:rsidR="00106196" w:rsidRPr="006932B3" w:rsidTr="003975AE">
        <w:trPr>
          <w:jc w:val="right"/>
        </w:trPr>
        <w:tc>
          <w:tcPr>
            <w:tcW w:w="830" w:type="dxa"/>
            <w:vAlign w:val="center"/>
          </w:tcPr>
          <w:p w:rsidR="00106196" w:rsidRPr="00106196" w:rsidRDefault="00106196" w:rsidP="00106196">
            <w:pPr>
              <w:pStyle w:val="ListParagraph"/>
              <w:spacing w:after="40"/>
              <w:ind w:left="360"/>
              <w:contextualSpacing w:val="0"/>
              <w:jc w:val="right"/>
            </w:pPr>
            <w:r w:rsidRPr="00106196">
              <w:t>6.6</w:t>
            </w:r>
          </w:p>
        </w:tc>
        <w:tc>
          <w:tcPr>
            <w:tcW w:w="8333" w:type="dxa"/>
          </w:tcPr>
          <w:p w:rsidR="00106196" w:rsidRPr="00106196" w:rsidRDefault="00106196" w:rsidP="00106196">
            <w:pPr>
              <w:spacing w:after="40"/>
              <w:contextualSpacing/>
              <w:jc w:val="left"/>
            </w:pPr>
            <w:r w:rsidRPr="00106196">
              <w:rPr>
                <w:szCs w:val="24"/>
              </w:rPr>
              <w:t>Outlook Client</w:t>
            </w:r>
          </w:p>
        </w:tc>
      </w:tr>
      <w:tr w:rsidR="00106196" w:rsidRPr="006932B3" w:rsidTr="003975AE">
        <w:trPr>
          <w:jc w:val="right"/>
        </w:trPr>
        <w:tc>
          <w:tcPr>
            <w:tcW w:w="830" w:type="dxa"/>
            <w:vAlign w:val="center"/>
          </w:tcPr>
          <w:p w:rsidR="00106196" w:rsidRPr="00106196" w:rsidRDefault="00106196" w:rsidP="00106196">
            <w:pPr>
              <w:pStyle w:val="ListParagraph"/>
              <w:spacing w:after="40"/>
              <w:ind w:left="360"/>
              <w:contextualSpacing w:val="0"/>
              <w:jc w:val="right"/>
            </w:pPr>
            <w:r w:rsidRPr="00106196">
              <w:t>6.7</w:t>
            </w:r>
          </w:p>
        </w:tc>
        <w:tc>
          <w:tcPr>
            <w:tcW w:w="8333" w:type="dxa"/>
          </w:tcPr>
          <w:p w:rsidR="00106196" w:rsidRPr="00106196" w:rsidRDefault="00106196" w:rsidP="00106196">
            <w:pPr>
              <w:spacing w:after="40"/>
              <w:contextualSpacing/>
              <w:jc w:val="left"/>
            </w:pPr>
            <w:r w:rsidRPr="00106196">
              <w:rPr>
                <w:szCs w:val="24"/>
              </w:rPr>
              <w:t>Outlook Mobile App</w:t>
            </w:r>
          </w:p>
        </w:tc>
      </w:tr>
      <w:tr w:rsidR="00106196" w:rsidRPr="006932B3" w:rsidTr="003975AE">
        <w:trPr>
          <w:jc w:val="right"/>
        </w:trPr>
        <w:tc>
          <w:tcPr>
            <w:tcW w:w="830" w:type="dxa"/>
            <w:vAlign w:val="center"/>
          </w:tcPr>
          <w:p w:rsidR="00106196" w:rsidRPr="00106196" w:rsidRDefault="00106196" w:rsidP="00106196">
            <w:pPr>
              <w:pStyle w:val="ListParagraph"/>
              <w:spacing w:after="40"/>
              <w:ind w:left="360"/>
              <w:contextualSpacing w:val="0"/>
              <w:jc w:val="right"/>
            </w:pPr>
            <w:r w:rsidRPr="00106196">
              <w:t>7.1</w:t>
            </w:r>
          </w:p>
        </w:tc>
        <w:tc>
          <w:tcPr>
            <w:tcW w:w="8333" w:type="dxa"/>
          </w:tcPr>
          <w:p w:rsidR="00106196" w:rsidRPr="00106196" w:rsidRDefault="00106196" w:rsidP="00106196">
            <w:pPr>
              <w:spacing w:after="40"/>
              <w:contextualSpacing/>
              <w:jc w:val="left"/>
            </w:pPr>
            <w:r w:rsidRPr="00106196">
              <w:rPr>
                <w:szCs w:val="24"/>
              </w:rPr>
              <w:t>Outlook web Access</w:t>
            </w:r>
          </w:p>
        </w:tc>
      </w:tr>
      <w:tr w:rsidR="003975AE" w:rsidRPr="006932B3" w:rsidTr="003975AE">
        <w:trPr>
          <w:jc w:val="right"/>
        </w:trPr>
        <w:tc>
          <w:tcPr>
            <w:tcW w:w="830" w:type="dxa"/>
            <w:vAlign w:val="center"/>
          </w:tcPr>
          <w:p w:rsidR="003975AE" w:rsidRPr="00106196" w:rsidRDefault="00106196" w:rsidP="00106196">
            <w:pPr>
              <w:pStyle w:val="ListParagraph"/>
              <w:spacing w:after="40"/>
              <w:ind w:left="360"/>
              <w:contextualSpacing w:val="0"/>
              <w:jc w:val="right"/>
            </w:pPr>
            <w:r w:rsidRPr="00106196">
              <w:t>7.2</w:t>
            </w:r>
          </w:p>
        </w:tc>
        <w:tc>
          <w:tcPr>
            <w:tcW w:w="8333" w:type="dxa"/>
          </w:tcPr>
          <w:p w:rsidR="003975AE" w:rsidRPr="00106196" w:rsidRDefault="003975AE" w:rsidP="00106196">
            <w:pPr>
              <w:spacing w:after="40"/>
              <w:contextualSpacing/>
              <w:jc w:val="left"/>
            </w:pPr>
            <w:r w:rsidRPr="00106196">
              <w:t>Audit Logging</w:t>
            </w:r>
          </w:p>
        </w:tc>
      </w:tr>
      <w:tr w:rsidR="003975AE" w:rsidRPr="006932B3" w:rsidTr="003975AE">
        <w:trPr>
          <w:jc w:val="right"/>
        </w:trPr>
        <w:tc>
          <w:tcPr>
            <w:tcW w:w="830" w:type="dxa"/>
            <w:vAlign w:val="center"/>
          </w:tcPr>
          <w:p w:rsidR="003975AE" w:rsidRPr="00106196" w:rsidRDefault="00106196" w:rsidP="00106196">
            <w:pPr>
              <w:pStyle w:val="ListParagraph"/>
              <w:spacing w:after="40"/>
              <w:ind w:left="360"/>
              <w:contextualSpacing w:val="0"/>
              <w:jc w:val="right"/>
            </w:pPr>
            <w:r w:rsidRPr="00106196">
              <w:t>7.3</w:t>
            </w:r>
          </w:p>
        </w:tc>
        <w:tc>
          <w:tcPr>
            <w:tcW w:w="8333" w:type="dxa"/>
          </w:tcPr>
          <w:p w:rsidR="003975AE" w:rsidRPr="00106196" w:rsidRDefault="003975AE" w:rsidP="00106196">
            <w:pPr>
              <w:spacing w:after="40"/>
              <w:contextualSpacing/>
              <w:jc w:val="left"/>
            </w:pPr>
            <w:r w:rsidRPr="00106196">
              <w:t>Monitoring and Alerting of Administrator portal activity</w:t>
            </w:r>
          </w:p>
        </w:tc>
      </w:tr>
    </w:tbl>
    <w:p w:rsidR="00EE3FB1" w:rsidRPr="007E25EE" w:rsidRDefault="00EE3FB1" w:rsidP="00492170">
      <w:pPr>
        <w:spacing w:before="120" w:after="120"/>
        <w:rPr>
          <w:szCs w:val="24"/>
          <w:lang w:val="en-GB"/>
        </w:rPr>
      </w:pPr>
    </w:p>
    <w:p w:rsidR="00EE3FB1" w:rsidRDefault="00EE3FB1" w:rsidP="00EE3FB1">
      <w:pPr>
        <w:pStyle w:val="Heading1"/>
      </w:pPr>
      <w:bookmarkStart w:id="38" w:name="_Toc385753526"/>
      <w:bookmarkStart w:id="39" w:name="_Toc507938221"/>
      <w:r>
        <w:t>References</w:t>
      </w:r>
      <w:bookmarkEnd w:id="38"/>
      <w:bookmarkEnd w:id="39"/>
    </w:p>
    <w:p w:rsidR="00EE3FB1" w:rsidRPr="007E25EE" w:rsidRDefault="00EE3FB1" w:rsidP="00EE3FB1">
      <w:pPr>
        <w:spacing w:before="120" w:after="120"/>
        <w:rPr>
          <w:szCs w:val="24"/>
        </w:rPr>
      </w:pPr>
      <w:r w:rsidRPr="007E25EE">
        <w:rPr>
          <w:szCs w:val="24"/>
        </w:rPr>
        <w:t xml:space="preserve">The following references have been used while developing the </w:t>
      </w:r>
      <w:r>
        <w:rPr>
          <w:szCs w:val="24"/>
        </w:rPr>
        <w:t>Standard</w:t>
      </w:r>
      <w:r w:rsidRPr="007E25EE">
        <w:rPr>
          <w:szCs w:val="24"/>
        </w:rPr>
        <w:t>:</w:t>
      </w:r>
    </w:p>
    <w:p w:rsidR="00EE3FB1" w:rsidRDefault="00EE3FB1" w:rsidP="00EE3FB1">
      <w:pPr>
        <w:pStyle w:val="NormalBullet1"/>
      </w:pPr>
      <w:r>
        <w:t>Al-Futtaim Group Information Security Policy</w:t>
      </w:r>
    </w:p>
    <w:p w:rsidR="00EE3FB1" w:rsidRDefault="003975AE" w:rsidP="00EE3FB1">
      <w:pPr>
        <w:pStyle w:val="NormalBullet1"/>
      </w:pPr>
      <w:r>
        <w:t>Microsoft O365 Security and Compliance Centre</w:t>
      </w:r>
    </w:p>
    <w:p w:rsidR="00492170" w:rsidRDefault="00492170" w:rsidP="00D746E5"/>
    <w:p w:rsidR="00EE3FB1" w:rsidRDefault="00EE3FB1" w:rsidP="00EE3FB1">
      <w:pPr>
        <w:pStyle w:val="Heading1"/>
      </w:pPr>
      <w:bookmarkStart w:id="40" w:name="_Toc385753527"/>
      <w:bookmarkStart w:id="41" w:name="_Toc507938222"/>
      <w:r>
        <w:t>Appendix I</w:t>
      </w:r>
      <w:bookmarkEnd w:id="40"/>
      <w:bookmarkEnd w:id="41"/>
    </w:p>
    <w:p w:rsidR="00E62FCF" w:rsidRDefault="00EE3FB1" w:rsidP="00EE3FB1">
      <w:r>
        <w:t xml:space="preserve">Compliance status </w:t>
      </w:r>
      <w:r w:rsidR="00D017D9">
        <w:t>checklist (</w:t>
      </w:r>
      <w:r w:rsidR="00E62FCF">
        <w:t>to be added once the control standard has been approved)</w:t>
      </w:r>
    </w:p>
    <w:p w:rsidR="00EE3FB1" w:rsidRDefault="00EE3FB1" w:rsidP="00D746E5"/>
    <w:p w:rsidR="009F6C3A" w:rsidRDefault="00FF4EFF" w:rsidP="000F79AC">
      <w:pPr>
        <w:pStyle w:val="Heading1"/>
      </w:pPr>
      <w:bookmarkStart w:id="42" w:name="_Toc326830707"/>
      <w:bookmarkStart w:id="43" w:name="_Toc327452576"/>
      <w:bookmarkStart w:id="44" w:name="_Toc507938223"/>
      <w:r>
        <w:lastRenderedPageBreak/>
        <w:t>Version</w:t>
      </w:r>
      <w:r w:rsidR="009F6C3A" w:rsidRPr="00DC7153">
        <w:t xml:space="preserve"> Control</w:t>
      </w:r>
      <w:bookmarkEnd w:id="42"/>
      <w:bookmarkEnd w:id="43"/>
      <w:bookmarkEnd w:id="44"/>
    </w:p>
    <w:p w:rsidR="00C26C3B" w:rsidRPr="00F66C9B" w:rsidRDefault="00C26C3B" w:rsidP="00C26C3B">
      <w:pPr>
        <w:pStyle w:val="Caption"/>
        <w:spacing w:before="240" w:after="0"/>
      </w:pPr>
      <w:bookmarkStart w:id="45" w:name="_Toc326830708"/>
      <w:bookmarkStart w:id="46" w:name="_Toc327452577"/>
      <w:bookmarkStart w:id="47" w:name="_Toc507938224"/>
      <w:r w:rsidRPr="00F66C9B">
        <w:t xml:space="preserve">Table </w:t>
      </w:r>
      <w:fldSimple w:instr=" STYLEREF 1 \s ">
        <w:r w:rsidR="00496182">
          <w:rPr>
            <w:noProof/>
          </w:rPr>
          <w:t>3</w:t>
        </w:r>
      </w:fldSimple>
      <w:r w:rsidR="00986AD4">
        <w:noBreakHyphen/>
      </w:r>
      <w:fldSimple w:instr=" SEQ Table \* ARABIC \s 1 ">
        <w:r w:rsidR="00496182">
          <w:rPr>
            <w:noProof/>
          </w:rPr>
          <w:t>1</w:t>
        </w:r>
      </w:fldSimple>
      <w:r w:rsidRPr="00F66C9B">
        <w:t xml:space="preserve"> Version Control and History</w:t>
      </w:r>
      <w:bookmarkEnd w:id="45"/>
      <w:bookmarkEnd w:id="46"/>
      <w:bookmarkEnd w:id="47"/>
    </w:p>
    <w:tbl>
      <w:tblPr>
        <w:tblW w:w="9270" w:type="dxa"/>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1E0" w:firstRow="1" w:lastRow="1" w:firstColumn="1" w:lastColumn="1" w:noHBand="0" w:noVBand="0"/>
      </w:tblPr>
      <w:tblGrid>
        <w:gridCol w:w="2137"/>
        <w:gridCol w:w="1620"/>
        <w:gridCol w:w="1980"/>
        <w:gridCol w:w="3533"/>
      </w:tblGrid>
      <w:tr w:rsidR="009F6C3A" w:rsidRPr="00EC011C" w:rsidTr="003975AE">
        <w:trPr>
          <w:trHeight w:val="405"/>
        </w:trPr>
        <w:tc>
          <w:tcPr>
            <w:tcW w:w="2137" w:type="dxa"/>
            <w:shd w:val="clear" w:color="auto" w:fill="C6D9F1"/>
            <w:vAlign w:val="center"/>
          </w:tcPr>
          <w:p w:rsidR="009F6C3A" w:rsidRPr="001F4CE2" w:rsidRDefault="009F6C3A" w:rsidP="00356E50">
            <w:pPr>
              <w:rPr>
                <w:b/>
              </w:rPr>
            </w:pPr>
            <w:r w:rsidRPr="001F4CE2">
              <w:rPr>
                <w:b/>
              </w:rPr>
              <w:t>Date</w:t>
            </w:r>
          </w:p>
        </w:tc>
        <w:tc>
          <w:tcPr>
            <w:tcW w:w="1620" w:type="dxa"/>
            <w:shd w:val="clear" w:color="auto" w:fill="C6D9F1"/>
            <w:vAlign w:val="center"/>
          </w:tcPr>
          <w:p w:rsidR="009F6C3A" w:rsidRPr="001F4CE2" w:rsidRDefault="009F6C3A" w:rsidP="00356E50">
            <w:pPr>
              <w:rPr>
                <w:b/>
              </w:rPr>
            </w:pPr>
            <w:r w:rsidRPr="001F4CE2">
              <w:rPr>
                <w:b/>
              </w:rPr>
              <w:t>Version No.</w:t>
            </w:r>
          </w:p>
        </w:tc>
        <w:tc>
          <w:tcPr>
            <w:tcW w:w="1980" w:type="dxa"/>
            <w:shd w:val="clear" w:color="auto" w:fill="C6D9F1"/>
            <w:vAlign w:val="center"/>
          </w:tcPr>
          <w:p w:rsidR="009F6C3A" w:rsidRPr="001F4CE2" w:rsidRDefault="009F6C3A" w:rsidP="00356E50">
            <w:pPr>
              <w:rPr>
                <w:b/>
              </w:rPr>
            </w:pPr>
            <w:r w:rsidRPr="001F4CE2">
              <w:rPr>
                <w:b/>
              </w:rPr>
              <w:t>Changed Section</w:t>
            </w:r>
          </w:p>
        </w:tc>
        <w:tc>
          <w:tcPr>
            <w:tcW w:w="3533" w:type="dxa"/>
            <w:shd w:val="clear" w:color="auto" w:fill="C6D9F1"/>
            <w:vAlign w:val="center"/>
          </w:tcPr>
          <w:p w:rsidR="009F6C3A" w:rsidRPr="001F4CE2" w:rsidRDefault="001F4CE2" w:rsidP="00356E50">
            <w:pPr>
              <w:rPr>
                <w:b/>
              </w:rPr>
            </w:pPr>
            <w:r>
              <w:rPr>
                <w:b/>
              </w:rPr>
              <w:t>Change D</w:t>
            </w:r>
            <w:r w:rsidR="009F6C3A" w:rsidRPr="001F4CE2">
              <w:rPr>
                <w:b/>
              </w:rPr>
              <w:t>escription</w:t>
            </w:r>
          </w:p>
        </w:tc>
      </w:tr>
      <w:tr w:rsidR="00EE3FB1" w:rsidRPr="00EC011C" w:rsidTr="003975AE">
        <w:trPr>
          <w:trHeight w:val="357"/>
        </w:trPr>
        <w:tc>
          <w:tcPr>
            <w:tcW w:w="2137" w:type="dxa"/>
            <w:vAlign w:val="center"/>
          </w:tcPr>
          <w:p w:rsidR="00EE3FB1" w:rsidRPr="00EC011C" w:rsidRDefault="008F4E46" w:rsidP="00EE3FB1">
            <w:r>
              <w:t>22</w:t>
            </w:r>
            <w:r w:rsidRPr="008F4E46">
              <w:rPr>
                <w:vertAlign w:val="superscript"/>
              </w:rPr>
              <w:t>nd</w:t>
            </w:r>
            <w:r>
              <w:t xml:space="preserve"> February</w:t>
            </w:r>
            <w:r w:rsidR="00EE3FB1">
              <w:t>, 2018</w:t>
            </w:r>
          </w:p>
        </w:tc>
        <w:tc>
          <w:tcPr>
            <w:tcW w:w="1620" w:type="dxa"/>
            <w:vAlign w:val="center"/>
          </w:tcPr>
          <w:p w:rsidR="00EE3FB1" w:rsidRPr="00EC011C" w:rsidRDefault="00EE3FB1" w:rsidP="00EE3FB1">
            <w:r>
              <w:t>1.0</w:t>
            </w:r>
          </w:p>
        </w:tc>
        <w:tc>
          <w:tcPr>
            <w:tcW w:w="1980" w:type="dxa"/>
            <w:vAlign w:val="center"/>
          </w:tcPr>
          <w:p w:rsidR="00EE3FB1" w:rsidRPr="00EC011C" w:rsidRDefault="00EE3FB1" w:rsidP="00EE3FB1">
            <w:r>
              <w:t>Initial Version</w:t>
            </w:r>
          </w:p>
        </w:tc>
        <w:tc>
          <w:tcPr>
            <w:tcW w:w="3533" w:type="dxa"/>
            <w:vAlign w:val="center"/>
          </w:tcPr>
          <w:p w:rsidR="00EE3FB1" w:rsidRPr="00EC011C" w:rsidRDefault="00EE3FB1" w:rsidP="00EE3FB1">
            <w:r>
              <w:t>NIL</w:t>
            </w:r>
          </w:p>
        </w:tc>
      </w:tr>
      <w:tr w:rsidR="009F6C3A" w:rsidRPr="00EC011C" w:rsidTr="003975AE">
        <w:trPr>
          <w:trHeight w:val="357"/>
        </w:trPr>
        <w:tc>
          <w:tcPr>
            <w:tcW w:w="2137" w:type="dxa"/>
            <w:vAlign w:val="center"/>
          </w:tcPr>
          <w:p w:rsidR="009F6C3A" w:rsidRPr="00EC011C" w:rsidRDefault="009F6C3A" w:rsidP="00356E50"/>
        </w:tc>
        <w:tc>
          <w:tcPr>
            <w:tcW w:w="1620" w:type="dxa"/>
            <w:vAlign w:val="center"/>
          </w:tcPr>
          <w:p w:rsidR="009F6C3A" w:rsidRPr="00EC011C" w:rsidRDefault="009F6C3A" w:rsidP="00356E50"/>
        </w:tc>
        <w:tc>
          <w:tcPr>
            <w:tcW w:w="1980" w:type="dxa"/>
            <w:vAlign w:val="center"/>
          </w:tcPr>
          <w:p w:rsidR="009F6C3A" w:rsidRPr="00EC011C" w:rsidRDefault="009F6C3A" w:rsidP="00356E50"/>
        </w:tc>
        <w:tc>
          <w:tcPr>
            <w:tcW w:w="3533" w:type="dxa"/>
            <w:vAlign w:val="center"/>
          </w:tcPr>
          <w:p w:rsidR="009F6C3A" w:rsidRPr="00EC011C" w:rsidRDefault="009F6C3A" w:rsidP="00356E50"/>
        </w:tc>
      </w:tr>
      <w:tr w:rsidR="009F6C3A" w:rsidRPr="00EC011C" w:rsidTr="003975AE">
        <w:trPr>
          <w:trHeight w:val="357"/>
        </w:trPr>
        <w:tc>
          <w:tcPr>
            <w:tcW w:w="2137" w:type="dxa"/>
            <w:vAlign w:val="center"/>
          </w:tcPr>
          <w:p w:rsidR="009F6C3A" w:rsidRPr="00EC011C" w:rsidRDefault="009F6C3A" w:rsidP="00356E50"/>
        </w:tc>
        <w:tc>
          <w:tcPr>
            <w:tcW w:w="1620" w:type="dxa"/>
            <w:vAlign w:val="center"/>
          </w:tcPr>
          <w:p w:rsidR="009F6C3A" w:rsidRPr="00EC011C" w:rsidRDefault="009F6C3A" w:rsidP="00356E50"/>
        </w:tc>
        <w:tc>
          <w:tcPr>
            <w:tcW w:w="1980" w:type="dxa"/>
            <w:vAlign w:val="center"/>
          </w:tcPr>
          <w:p w:rsidR="009F6C3A" w:rsidRPr="00EC011C" w:rsidRDefault="009F6C3A" w:rsidP="00356E50"/>
        </w:tc>
        <w:tc>
          <w:tcPr>
            <w:tcW w:w="3533" w:type="dxa"/>
            <w:vAlign w:val="center"/>
          </w:tcPr>
          <w:p w:rsidR="009F6C3A" w:rsidRPr="00EC011C" w:rsidRDefault="009F6C3A" w:rsidP="00356E50"/>
        </w:tc>
      </w:tr>
      <w:tr w:rsidR="009F6C3A" w:rsidRPr="00EC011C" w:rsidTr="003975AE">
        <w:trPr>
          <w:trHeight w:val="357"/>
        </w:trPr>
        <w:tc>
          <w:tcPr>
            <w:tcW w:w="2137" w:type="dxa"/>
            <w:vAlign w:val="center"/>
          </w:tcPr>
          <w:p w:rsidR="009F6C3A" w:rsidRPr="00EC011C" w:rsidRDefault="009F6C3A" w:rsidP="00356E50"/>
        </w:tc>
        <w:tc>
          <w:tcPr>
            <w:tcW w:w="1620" w:type="dxa"/>
            <w:vAlign w:val="center"/>
          </w:tcPr>
          <w:p w:rsidR="009F6C3A" w:rsidRPr="00EC011C" w:rsidRDefault="009F6C3A" w:rsidP="00356E50"/>
        </w:tc>
        <w:tc>
          <w:tcPr>
            <w:tcW w:w="1980" w:type="dxa"/>
            <w:vAlign w:val="center"/>
          </w:tcPr>
          <w:p w:rsidR="009F6C3A" w:rsidRPr="00EC011C" w:rsidRDefault="009F6C3A" w:rsidP="00356E50"/>
        </w:tc>
        <w:tc>
          <w:tcPr>
            <w:tcW w:w="3533" w:type="dxa"/>
            <w:vAlign w:val="center"/>
          </w:tcPr>
          <w:p w:rsidR="009F6C3A" w:rsidRPr="00EC011C" w:rsidRDefault="009F6C3A" w:rsidP="00356E50"/>
        </w:tc>
      </w:tr>
    </w:tbl>
    <w:p w:rsidR="009F6C3A" w:rsidRDefault="009F6C3A" w:rsidP="00356E50"/>
    <w:p w:rsidR="009F6C3A" w:rsidRPr="009F6C3A" w:rsidRDefault="009F6C3A" w:rsidP="00356E50"/>
    <w:sectPr w:rsidR="009F6C3A" w:rsidRPr="009F6C3A" w:rsidSect="008F4E46">
      <w:headerReference w:type="default" r:id="rId11"/>
      <w:footerReference w:type="default" r:id="rId12"/>
      <w:headerReference w:type="first" r:id="rId13"/>
      <w:pgSz w:w="11909" w:h="16834" w:code="9"/>
      <w:pgMar w:top="1440" w:right="1296"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425" w:rsidRDefault="00B47425" w:rsidP="00356E50">
      <w:r>
        <w:separator/>
      </w:r>
    </w:p>
  </w:endnote>
  <w:endnote w:type="continuationSeparator" w:id="0">
    <w:p w:rsidR="00B47425" w:rsidRDefault="00B47425" w:rsidP="00356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LLNAL+TimesNewRoman,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4770"/>
      <w:gridCol w:w="1620"/>
      <w:gridCol w:w="1980"/>
    </w:tblGrid>
    <w:tr w:rsidR="00B81FDB" w:rsidRPr="00C71AC2" w:rsidTr="00B81FDB">
      <w:tc>
        <w:tcPr>
          <w:tcW w:w="1008" w:type="dxa"/>
        </w:tcPr>
        <w:p w:rsidR="00B81FDB" w:rsidRPr="00C71AC2" w:rsidRDefault="00B81FDB" w:rsidP="006A2F9A">
          <w:pPr>
            <w:pStyle w:val="Footer"/>
          </w:pPr>
          <w:r>
            <w:rPr>
              <w:noProof/>
            </w:rPr>
            <mc:AlternateContent>
              <mc:Choice Requires="wps">
                <w:drawing>
                  <wp:anchor distT="4294967295" distB="4294967295" distL="114300" distR="114300" simplePos="0" relativeHeight="251662336" behindDoc="0" locked="0" layoutInCell="1" allowOverlap="1" wp14:anchorId="2F18F49F" wp14:editId="6B6D3CEB">
                    <wp:simplePos x="0" y="0"/>
                    <wp:positionH relativeFrom="column">
                      <wp:posOffset>-914400</wp:posOffset>
                    </wp:positionH>
                    <wp:positionV relativeFrom="paragraph">
                      <wp:posOffset>-34290</wp:posOffset>
                    </wp:positionV>
                    <wp:extent cx="7572375" cy="0"/>
                    <wp:effectExtent l="0" t="0" r="9525" b="1905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2375" cy="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1AF24D" id="_x0000_t32" coordsize="21600,21600" o:spt="32" o:oned="t" path="m,l21600,21600e" filled="f">
                    <v:path arrowok="t" fillok="f" o:connecttype="none"/>
                    <o:lock v:ext="edit" shapetype="t"/>
                  </v:shapetype>
                  <v:shape id="AutoShape 4" o:spid="_x0000_s1026" type="#_x0000_t32" style="position:absolute;margin-left:-1in;margin-top:-2.7pt;width:596.2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" strokecolor="black [3213]"/>
                </w:pict>
              </mc:Fallback>
            </mc:AlternateContent>
          </w:r>
          <w:r w:rsidRPr="00C71AC2">
            <w:t xml:space="preserve">Ver: </w:t>
          </w:r>
          <w:fldSimple w:instr=" STYLEREF  VersionNo  \* MERGEFORMAT ">
            <w:r w:rsidR="002D15B5">
              <w:rPr>
                <w:noProof/>
              </w:rPr>
              <w:t>.1</w:t>
            </w:r>
          </w:fldSimple>
        </w:p>
      </w:tc>
      <w:tc>
        <w:tcPr>
          <w:tcW w:w="4770" w:type="dxa"/>
        </w:tcPr>
        <w:p w:rsidR="00B81FDB" w:rsidRPr="00C71AC2" w:rsidRDefault="006B6A15" w:rsidP="006A2F9A">
          <w:pPr>
            <w:pStyle w:val="Footer"/>
            <w:jc w:val="center"/>
          </w:pPr>
          <w:fldSimple w:instr=" STYLEREF  EIT-Title  \* MERGEFORMAT ">
            <w:r w:rsidR="002D15B5">
              <w:rPr>
                <w:noProof/>
              </w:rPr>
              <w:t>O365 Information Security standard</w:t>
            </w:r>
          </w:fldSimple>
        </w:p>
      </w:tc>
      <w:tc>
        <w:tcPr>
          <w:tcW w:w="1620" w:type="dxa"/>
        </w:tcPr>
        <w:p w:rsidR="00B81FDB" w:rsidRPr="00C71AC2" w:rsidRDefault="006B6A15" w:rsidP="001C6CBB">
          <w:pPr>
            <w:pStyle w:val="Footer"/>
            <w:jc w:val="center"/>
          </w:pPr>
          <w:fldSimple w:instr=" STYLEREF  Class  \* MERGEFORMAT ">
            <w:r w:rsidR="002D15B5">
              <w:rPr>
                <w:noProof/>
              </w:rPr>
              <w:t>Internal</w:t>
            </w:r>
          </w:fldSimple>
        </w:p>
      </w:tc>
      <w:tc>
        <w:tcPr>
          <w:tcW w:w="1980" w:type="dxa"/>
        </w:tcPr>
        <w:sdt>
          <w:sdtPr>
            <w:id w:val="-1043126737"/>
            <w:docPartObj>
              <w:docPartGallery w:val="Page Numbers (Top of Page)"/>
              <w:docPartUnique/>
            </w:docPartObj>
          </w:sdtPr>
          <w:sdtEndPr/>
          <w:sdtContent>
            <w:p w:rsidR="00B81FDB" w:rsidRPr="00C71AC2" w:rsidRDefault="00B81FDB" w:rsidP="001C6CBB">
              <w:pPr>
                <w:pStyle w:val="Header"/>
                <w:jc w:val="right"/>
              </w:pPr>
              <w:r w:rsidRPr="00C71AC2">
                <w:t xml:space="preserve">Page </w:t>
              </w:r>
              <w:r w:rsidRPr="00C71AC2">
                <w:rPr>
                  <w:szCs w:val="24"/>
                </w:rPr>
                <w:fldChar w:fldCharType="begin"/>
              </w:r>
              <w:r w:rsidRPr="00C71AC2">
                <w:instrText xml:space="preserve"> PAGE </w:instrText>
              </w:r>
              <w:r w:rsidRPr="00C71AC2">
                <w:rPr>
                  <w:szCs w:val="24"/>
                </w:rPr>
                <w:fldChar w:fldCharType="separate"/>
              </w:r>
              <w:r w:rsidR="00CB7591">
                <w:rPr>
                  <w:noProof/>
                </w:rPr>
                <w:t>7</w:t>
              </w:r>
              <w:r w:rsidRPr="00C71AC2">
                <w:rPr>
                  <w:szCs w:val="24"/>
                </w:rPr>
                <w:fldChar w:fldCharType="end"/>
              </w:r>
              <w:r w:rsidRPr="00C71AC2">
                <w:t xml:space="preserve"> of </w:t>
              </w:r>
              <w:fldSimple w:instr=" NUMPAGES  ">
                <w:r w:rsidR="00CB7591">
                  <w:rPr>
                    <w:noProof/>
                  </w:rPr>
                  <w:t>7</w:t>
                </w:r>
              </w:fldSimple>
            </w:p>
          </w:sdtContent>
        </w:sdt>
      </w:tc>
    </w:tr>
  </w:tbl>
  <w:p w:rsidR="00B81FDB" w:rsidRDefault="00B81FDB" w:rsidP="00356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425" w:rsidRDefault="00B47425" w:rsidP="00356E50">
      <w:r>
        <w:separator/>
      </w:r>
    </w:p>
  </w:footnote>
  <w:footnote w:type="continuationSeparator" w:id="0">
    <w:p w:rsidR="00B47425" w:rsidRDefault="00B47425" w:rsidP="00356E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5"/>
      <w:gridCol w:w="2669"/>
      <w:gridCol w:w="3199"/>
    </w:tblGrid>
    <w:tr w:rsidR="00B81FDB" w:rsidTr="001F29A3">
      <w:trPr>
        <w:jc w:val="center"/>
      </w:trPr>
      <w:tc>
        <w:tcPr>
          <w:tcW w:w="3321" w:type="dxa"/>
        </w:tcPr>
        <w:p w:rsidR="00B81FDB" w:rsidRDefault="00B81FDB" w:rsidP="00356E50">
          <w:pPr>
            <w:pStyle w:val="Header"/>
          </w:pPr>
          <w:r>
            <w:rPr>
              <w:noProof/>
            </w:rPr>
            <w:drawing>
              <wp:inline distT="0" distB="0" distL="0" distR="0" wp14:anchorId="5C059941" wp14:editId="5DD53AB0">
                <wp:extent cx="1920240" cy="31089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rise IT Logo.jpg"/>
                        <pic:cNvPicPr/>
                      </pic:nvPicPr>
                      <pic:blipFill>
                        <a:blip r:embed="rId1">
                          <a:extLst>
                            <a:ext uri="{28A0092B-C50C-407E-A947-70E740481C1C}">
                              <a14:useLocalDpi xmlns:a14="http://schemas.microsoft.com/office/drawing/2010/main" val="0"/>
                            </a:ext>
                          </a:extLst>
                        </a:blip>
                        <a:stretch>
                          <a:fillRect/>
                        </a:stretch>
                      </pic:blipFill>
                      <pic:spPr>
                        <a:xfrm>
                          <a:off x="0" y="0"/>
                          <a:ext cx="1920240" cy="310896"/>
                        </a:xfrm>
                        <a:prstGeom prst="rect">
                          <a:avLst/>
                        </a:prstGeom>
                      </pic:spPr>
                    </pic:pic>
                  </a:graphicData>
                </a:graphic>
              </wp:inline>
            </w:drawing>
          </w:r>
        </w:p>
      </w:tc>
      <w:tc>
        <w:tcPr>
          <w:tcW w:w="3322" w:type="dxa"/>
          <w:vAlign w:val="center"/>
        </w:tcPr>
        <w:p w:rsidR="00B81FDB" w:rsidRDefault="00B81FDB" w:rsidP="00356E50">
          <w:pPr>
            <w:pStyle w:val="Header"/>
          </w:pPr>
        </w:p>
      </w:tc>
      <w:tc>
        <w:tcPr>
          <w:tcW w:w="3322" w:type="dxa"/>
        </w:tcPr>
        <w:p w:rsidR="00B81FDB" w:rsidRDefault="00B81FDB" w:rsidP="00445F1D">
          <w:pPr>
            <w:pStyle w:val="Header"/>
            <w:jc w:val="right"/>
          </w:pPr>
          <w:r>
            <w:rPr>
              <w:noProof/>
            </w:rPr>
            <w:drawing>
              <wp:inline distT="0" distB="0" distL="0" distR="0" wp14:anchorId="5839573D" wp14:editId="2AD4AF2E">
                <wp:extent cx="1591056" cy="320040"/>
                <wp:effectExtent l="0" t="0" r="952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uttaim Co English 1Line.jpg"/>
                        <pic:cNvPicPr/>
                      </pic:nvPicPr>
                      <pic:blipFill>
                        <a:blip r:embed="rId2">
                          <a:extLst>
                            <a:ext uri="{28A0092B-C50C-407E-A947-70E740481C1C}">
                              <a14:useLocalDpi xmlns:a14="http://schemas.microsoft.com/office/drawing/2010/main" val="0"/>
                            </a:ext>
                          </a:extLst>
                        </a:blip>
                        <a:stretch>
                          <a:fillRect/>
                        </a:stretch>
                      </pic:blipFill>
                      <pic:spPr>
                        <a:xfrm>
                          <a:off x="0" y="0"/>
                          <a:ext cx="1591056" cy="320040"/>
                        </a:xfrm>
                        <a:prstGeom prst="rect">
                          <a:avLst/>
                        </a:prstGeom>
                      </pic:spPr>
                    </pic:pic>
                  </a:graphicData>
                </a:graphic>
              </wp:inline>
            </w:drawing>
          </w:r>
        </w:p>
      </w:tc>
    </w:tr>
  </w:tbl>
  <w:p w:rsidR="00B81FDB" w:rsidRPr="00421196" w:rsidRDefault="00B81FDB" w:rsidP="00356E50">
    <w:pPr>
      <w:pStyle w:val="Header"/>
    </w:pPr>
    <w:r w:rsidRPr="00421196">
      <w:rPr>
        <w:noProof/>
      </w:rPr>
      <mc:AlternateContent>
        <mc:Choice Requires="wps">
          <w:drawing>
            <wp:anchor distT="0" distB="0" distL="114300" distR="114300" simplePos="0" relativeHeight="251659264" behindDoc="0" locked="0" layoutInCell="1" allowOverlap="1" wp14:anchorId="3C514064" wp14:editId="14201D83">
              <wp:simplePos x="0" y="0"/>
              <wp:positionH relativeFrom="column">
                <wp:posOffset>-914400</wp:posOffset>
              </wp:positionH>
              <wp:positionV relativeFrom="paragraph">
                <wp:posOffset>28575</wp:posOffset>
              </wp:positionV>
              <wp:extent cx="75723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757237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75F7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2.25pt" to="524.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" strokecolor="black [3213]"/>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5"/>
      <w:gridCol w:w="2669"/>
      <w:gridCol w:w="3199"/>
    </w:tblGrid>
    <w:tr w:rsidR="00B81FDB" w:rsidTr="00B81FDB">
      <w:tc>
        <w:tcPr>
          <w:tcW w:w="3321" w:type="dxa"/>
        </w:tcPr>
        <w:p w:rsidR="00B81FDB" w:rsidRDefault="00B81FDB" w:rsidP="00AD0AF8">
          <w:pPr>
            <w:pStyle w:val="Header"/>
            <w:jc w:val="left"/>
          </w:pPr>
          <w:r>
            <w:rPr>
              <w:noProof/>
            </w:rPr>
            <w:drawing>
              <wp:inline distT="0" distB="0" distL="0" distR="0" wp14:anchorId="58C6F64F" wp14:editId="63E426F7">
                <wp:extent cx="1920240" cy="310896"/>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rise IT Logo.jpg"/>
                        <pic:cNvPicPr/>
                      </pic:nvPicPr>
                      <pic:blipFill>
                        <a:blip r:embed="rId1">
                          <a:extLst>
                            <a:ext uri="{28A0092B-C50C-407E-A947-70E740481C1C}">
                              <a14:useLocalDpi xmlns:a14="http://schemas.microsoft.com/office/drawing/2010/main" val="0"/>
                            </a:ext>
                          </a:extLst>
                        </a:blip>
                        <a:stretch>
                          <a:fillRect/>
                        </a:stretch>
                      </pic:blipFill>
                      <pic:spPr>
                        <a:xfrm>
                          <a:off x="0" y="0"/>
                          <a:ext cx="1920240" cy="310896"/>
                        </a:xfrm>
                        <a:prstGeom prst="rect">
                          <a:avLst/>
                        </a:prstGeom>
                      </pic:spPr>
                    </pic:pic>
                  </a:graphicData>
                </a:graphic>
              </wp:inline>
            </w:drawing>
          </w:r>
        </w:p>
      </w:tc>
      <w:tc>
        <w:tcPr>
          <w:tcW w:w="3322" w:type="dxa"/>
          <w:vAlign w:val="center"/>
        </w:tcPr>
        <w:p w:rsidR="00B81FDB" w:rsidRDefault="00B81FDB" w:rsidP="00356E50">
          <w:pPr>
            <w:pStyle w:val="Header"/>
          </w:pPr>
        </w:p>
      </w:tc>
      <w:tc>
        <w:tcPr>
          <w:tcW w:w="3322" w:type="dxa"/>
        </w:tcPr>
        <w:p w:rsidR="00B81FDB" w:rsidRDefault="00B81FDB" w:rsidP="00AD0AF8">
          <w:pPr>
            <w:pStyle w:val="Header"/>
            <w:jc w:val="right"/>
          </w:pPr>
          <w:r>
            <w:rPr>
              <w:noProof/>
            </w:rPr>
            <w:drawing>
              <wp:inline distT="0" distB="0" distL="0" distR="0" wp14:anchorId="42B7ABA5" wp14:editId="1B40B196">
                <wp:extent cx="1591056" cy="320040"/>
                <wp:effectExtent l="0" t="0" r="952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uttaim Co English 1Line.jpg"/>
                        <pic:cNvPicPr/>
                      </pic:nvPicPr>
                      <pic:blipFill>
                        <a:blip r:embed="rId2">
                          <a:extLst>
                            <a:ext uri="{28A0092B-C50C-407E-A947-70E740481C1C}">
                              <a14:useLocalDpi xmlns:a14="http://schemas.microsoft.com/office/drawing/2010/main" val="0"/>
                            </a:ext>
                          </a:extLst>
                        </a:blip>
                        <a:stretch>
                          <a:fillRect/>
                        </a:stretch>
                      </pic:blipFill>
                      <pic:spPr>
                        <a:xfrm>
                          <a:off x="0" y="0"/>
                          <a:ext cx="1591056" cy="320040"/>
                        </a:xfrm>
                        <a:prstGeom prst="rect">
                          <a:avLst/>
                        </a:prstGeom>
                      </pic:spPr>
                    </pic:pic>
                  </a:graphicData>
                </a:graphic>
              </wp:inline>
            </w:drawing>
          </w:r>
        </w:p>
      </w:tc>
    </w:tr>
  </w:tbl>
  <w:p w:rsidR="00B81FDB" w:rsidRDefault="00B81FDB" w:rsidP="00356E50">
    <w:pPr>
      <w:pStyle w:val="Header"/>
    </w:pPr>
    <w:r>
      <w:rPr>
        <w:noProof/>
      </w:rPr>
      <mc:AlternateContent>
        <mc:Choice Requires="wps">
          <w:drawing>
            <wp:anchor distT="0" distB="0" distL="114300" distR="114300" simplePos="0" relativeHeight="251660288" behindDoc="0" locked="0" layoutInCell="1" allowOverlap="1" wp14:anchorId="1BE97666" wp14:editId="666FF5A7">
              <wp:simplePos x="0" y="0"/>
              <wp:positionH relativeFrom="column">
                <wp:posOffset>-600075</wp:posOffset>
              </wp:positionH>
              <wp:positionV relativeFrom="paragraph">
                <wp:posOffset>28575</wp:posOffset>
              </wp:positionV>
              <wp:extent cx="69437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943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FA7DE1"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7.25pt,2.25pt" to="499.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" strokecolor="black [3213]"/>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81D"/>
    <w:multiLevelType w:val="singleLevel"/>
    <w:tmpl w:val="DE8644AA"/>
    <w:lvl w:ilvl="0">
      <w:start w:val="1"/>
      <w:numFmt w:val="bullet"/>
      <w:pStyle w:val="NormalBullet1"/>
      <w:lvlText w:val=""/>
      <w:lvlJc w:val="left"/>
      <w:pPr>
        <w:ind w:left="360" w:hanging="360"/>
      </w:pPr>
      <w:rPr>
        <w:rFonts w:ascii="Wingdings" w:hAnsi="Wingdings" w:hint="default"/>
        <w:sz w:val="28"/>
      </w:rPr>
    </w:lvl>
  </w:abstractNum>
  <w:abstractNum w:abstractNumId="1" w15:restartNumberingAfterBreak="0">
    <w:nsid w:val="0EC41EED"/>
    <w:multiLevelType w:val="hybridMultilevel"/>
    <w:tmpl w:val="F986276A"/>
    <w:lvl w:ilvl="0" w:tplc="6BD2F74E">
      <w:start w:val="1"/>
      <w:numFmt w:val="bullet"/>
      <w:pStyle w:val="NormalBullet3"/>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61168"/>
    <w:multiLevelType w:val="hybridMultilevel"/>
    <w:tmpl w:val="06DEBD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70D62"/>
    <w:multiLevelType w:val="singleLevel"/>
    <w:tmpl w:val="2A929266"/>
    <w:lvl w:ilvl="0">
      <w:start w:val="1"/>
      <w:numFmt w:val="bullet"/>
      <w:pStyle w:val="NormalBullet4"/>
      <w:lvlText w:val=""/>
      <w:lvlJc w:val="left"/>
      <w:pPr>
        <w:ind w:left="360" w:hanging="360"/>
      </w:pPr>
      <w:rPr>
        <w:rFonts w:ascii="Wingdings" w:hAnsi="Wingdings" w:hint="default"/>
        <w:sz w:val="20"/>
      </w:rPr>
    </w:lvl>
  </w:abstractNum>
  <w:abstractNum w:abstractNumId="4" w15:restartNumberingAfterBreak="0">
    <w:nsid w:val="22A008F0"/>
    <w:multiLevelType w:val="hybridMultilevel"/>
    <w:tmpl w:val="0EFC2AD0"/>
    <w:lvl w:ilvl="0" w:tplc="0D3E6DD8">
      <w:start w:val="1"/>
      <w:numFmt w:val="decimal"/>
      <w:lvlText w:val="6.%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BF49D7"/>
    <w:multiLevelType w:val="hybridMultilevel"/>
    <w:tmpl w:val="0178D1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86694F"/>
    <w:multiLevelType w:val="multilevel"/>
    <w:tmpl w:val="E76822AE"/>
    <w:styleLink w:val="EITMultilevelList"/>
    <w:lvl w:ilvl="0">
      <w:start w:val="1"/>
      <w:numFmt w:val="bullet"/>
      <w:lvlText w:val=""/>
      <w:lvlJc w:val="left"/>
      <w:pPr>
        <w:ind w:left="360" w:hanging="360"/>
      </w:pPr>
      <w:rPr>
        <w:rFonts w:ascii="Wingdings" w:hAnsi="Wingdings" w:hint="default"/>
        <w:sz w:val="28"/>
      </w:rPr>
    </w:lvl>
    <w:lvl w:ilvl="1">
      <w:start w:val="1"/>
      <w:numFmt w:val="bullet"/>
      <w:lvlText w:val=""/>
      <w:lvlJc w:val="left"/>
      <w:pPr>
        <w:ind w:left="720" w:hanging="360"/>
      </w:pPr>
      <w:rPr>
        <w:rFonts w:ascii="Wingdings" w:hAnsi="Wingdings" w:hint="default"/>
        <w:sz w:val="26"/>
      </w:rPr>
    </w:lvl>
    <w:lvl w:ilvl="2">
      <w:start w:val="1"/>
      <w:numFmt w:val="bullet"/>
      <w:lvlText w:val=""/>
      <w:lvlJc w:val="left"/>
      <w:pPr>
        <w:ind w:left="1080" w:hanging="360"/>
      </w:pPr>
      <w:rPr>
        <w:rFonts w:ascii="Wingdings" w:hAnsi="Wingdings" w:hint="default"/>
        <w:sz w:val="24"/>
      </w:rPr>
    </w:lvl>
    <w:lvl w:ilvl="3">
      <w:start w:val="1"/>
      <w:numFmt w:val="bullet"/>
      <w:lvlText w:val=""/>
      <w:lvlJc w:val="left"/>
      <w:pPr>
        <w:ind w:left="1440" w:hanging="360"/>
      </w:pPr>
      <w:rPr>
        <w:rFonts w:ascii="Wingdings" w:hAnsi="Wingdings" w:hint="default"/>
        <w:sz w:val="22"/>
      </w:rPr>
    </w:lvl>
    <w:lvl w:ilvl="4">
      <w:start w:val="1"/>
      <w:numFmt w:val="bullet"/>
      <w:lvlText w:val=""/>
      <w:lvlJc w:val="left"/>
      <w:pPr>
        <w:ind w:left="1800" w:hanging="360"/>
      </w:pPr>
      <w:rPr>
        <w:rFonts w:ascii="Wingdings" w:hAnsi="Wingdings" w:hint="default"/>
        <w:sz w:val="20"/>
      </w:rPr>
    </w:lvl>
    <w:lvl w:ilvl="5">
      <w:start w:val="1"/>
      <w:numFmt w:val="bullet"/>
      <w:lvlText w:val=""/>
      <w:lvlJc w:val="left"/>
      <w:pPr>
        <w:ind w:left="2160" w:hanging="360"/>
      </w:pPr>
      <w:rPr>
        <w:rFonts w:ascii="Wingdings" w:hAnsi="Wingdings" w:hint="default"/>
        <w:sz w:val="18"/>
      </w:rPr>
    </w:lvl>
    <w:lvl w:ilvl="6">
      <w:start w:val="1"/>
      <w:numFmt w:val="bullet"/>
      <w:lvlText w:val=""/>
      <w:lvlJc w:val="left"/>
      <w:pPr>
        <w:ind w:left="2520" w:hanging="360"/>
      </w:pPr>
      <w:rPr>
        <w:rFonts w:ascii="Wingdings" w:hAnsi="Wingdings" w:hint="default"/>
        <w:sz w:val="16"/>
      </w:rPr>
    </w:lvl>
    <w:lvl w:ilvl="7">
      <w:start w:val="1"/>
      <w:numFmt w:val="bullet"/>
      <w:lvlText w:val=""/>
      <w:lvlJc w:val="left"/>
      <w:pPr>
        <w:ind w:left="2880" w:hanging="360"/>
      </w:pPr>
      <w:rPr>
        <w:rFonts w:ascii="Wingdings" w:hAnsi="Wingdings" w:hint="default"/>
        <w:sz w:val="14"/>
      </w:rPr>
    </w:lvl>
    <w:lvl w:ilvl="8">
      <w:start w:val="1"/>
      <w:numFmt w:val="bullet"/>
      <w:lvlText w:val=""/>
      <w:lvlJc w:val="left"/>
      <w:pPr>
        <w:ind w:left="3240" w:hanging="360"/>
      </w:pPr>
      <w:rPr>
        <w:rFonts w:ascii="Wingdings" w:hAnsi="Wingdings" w:hint="default"/>
        <w:sz w:val="14"/>
      </w:rPr>
    </w:lvl>
  </w:abstractNum>
  <w:abstractNum w:abstractNumId="7" w15:restartNumberingAfterBreak="0">
    <w:nsid w:val="329244B3"/>
    <w:multiLevelType w:val="hybridMultilevel"/>
    <w:tmpl w:val="2ECE1FD2"/>
    <w:lvl w:ilvl="0" w:tplc="89BA3352">
      <w:start w:val="1"/>
      <w:numFmt w:val="decimal"/>
      <w:lvlText w:val="7.%1"/>
      <w:lvlJc w:val="left"/>
      <w:pPr>
        <w:ind w:left="360" w:hanging="360"/>
      </w:pPr>
      <w:rPr>
        <w:rFonts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15:restartNumberingAfterBreak="0">
    <w:nsid w:val="3DF77CE0"/>
    <w:multiLevelType w:val="multilevel"/>
    <w:tmpl w:val="09CC31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2E924B8"/>
    <w:multiLevelType w:val="hybridMultilevel"/>
    <w:tmpl w:val="E3FA77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C086E"/>
    <w:multiLevelType w:val="hybridMultilevel"/>
    <w:tmpl w:val="4502DC12"/>
    <w:lvl w:ilvl="0" w:tplc="91C26198">
      <w:start w:val="1"/>
      <w:numFmt w:val="decimal"/>
      <w:lvlText w:val="5.%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4F74584D"/>
    <w:multiLevelType w:val="hybridMultilevel"/>
    <w:tmpl w:val="1F2E817C"/>
    <w:lvl w:ilvl="0" w:tplc="EDAC9E14">
      <w:start w:val="1"/>
      <w:numFmt w:val="bullet"/>
      <w:pStyle w:val="NormalBullet2"/>
      <w:lvlText w:val=""/>
      <w:lvlJc w:val="left"/>
      <w:pPr>
        <w:ind w:left="1260" w:hanging="360"/>
      </w:pPr>
      <w:rPr>
        <w:rFonts w:ascii="Wingdings" w:hAnsi="Wingdings" w:hint="default"/>
        <w:sz w:val="24"/>
      </w:rPr>
    </w:lvl>
    <w:lvl w:ilvl="1" w:tplc="6C0C9978" w:tentative="1">
      <w:start w:val="1"/>
      <w:numFmt w:val="bullet"/>
      <w:lvlText w:val="o"/>
      <w:lvlJc w:val="left"/>
      <w:pPr>
        <w:ind w:left="1980" w:hanging="360"/>
      </w:pPr>
      <w:rPr>
        <w:rFonts w:ascii="Courier New" w:hAnsi="Courier New" w:cs="Courier New" w:hint="default"/>
      </w:rPr>
    </w:lvl>
    <w:lvl w:ilvl="2" w:tplc="2D7078F0" w:tentative="1">
      <w:start w:val="1"/>
      <w:numFmt w:val="bullet"/>
      <w:lvlText w:val=""/>
      <w:lvlJc w:val="left"/>
      <w:pPr>
        <w:ind w:left="2700" w:hanging="360"/>
      </w:pPr>
      <w:rPr>
        <w:rFonts w:ascii="Wingdings" w:hAnsi="Wingdings" w:hint="default"/>
      </w:rPr>
    </w:lvl>
    <w:lvl w:ilvl="3" w:tplc="1FA41AA8" w:tentative="1">
      <w:start w:val="1"/>
      <w:numFmt w:val="bullet"/>
      <w:lvlText w:val=""/>
      <w:lvlJc w:val="left"/>
      <w:pPr>
        <w:ind w:left="3420" w:hanging="360"/>
      </w:pPr>
      <w:rPr>
        <w:rFonts w:ascii="Symbol" w:hAnsi="Symbol" w:hint="default"/>
      </w:rPr>
    </w:lvl>
    <w:lvl w:ilvl="4" w:tplc="118EB9E0" w:tentative="1">
      <w:start w:val="1"/>
      <w:numFmt w:val="bullet"/>
      <w:lvlText w:val="o"/>
      <w:lvlJc w:val="left"/>
      <w:pPr>
        <w:ind w:left="4140" w:hanging="360"/>
      </w:pPr>
      <w:rPr>
        <w:rFonts w:ascii="Courier New" w:hAnsi="Courier New" w:cs="Courier New" w:hint="default"/>
      </w:rPr>
    </w:lvl>
    <w:lvl w:ilvl="5" w:tplc="39BAE95C" w:tentative="1">
      <w:start w:val="1"/>
      <w:numFmt w:val="bullet"/>
      <w:lvlText w:val=""/>
      <w:lvlJc w:val="left"/>
      <w:pPr>
        <w:ind w:left="4860" w:hanging="360"/>
      </w:pPr>
      <w:rPr>
        <w:rFonts w:ascii="Wingdings" w:hAnsi="Wingdings" w:hint="default"/>
      </w:rPr>
    </w:lvl>
    <w:lvl w:ilvl="6" w:tplc="03F8C460" w:tentative="1">
      <w:start w:val="1"/>
      <w:numFmt w:val="bullet"/>
      <w:lvlText w:val=""/>
      <w:lvlJc w:val="left"/>
      <w:pPr>
        <w:ind w:left="5580" w:hanging="360"/>
      </w:pPr>
      <w:rPr>
        <w:rFonts w:ascii="Symbol" w:hAnsi="Symbol" w:hint="default"/>
      </w:rPr>
    </w:lvl>
    <w:lvl w:ilvl="7" w:tplc="2E2A4FD2" w:tentative="1">
      <w:start w:val="1"/>
      <w:numFmt w:val="bullet"/>
      <w:lvlText w:val="o"/>
      <w:lvlJc w:val="left"/>
      <w:pPr>
        <w:ind w:left="6300" w:hanging="360"/>
      </w:pPr>
      <w:rPr>
        <w:rFonts w:ascii="Courier New" w:hAnsi="Courier New" w:cs="Courier New" w:hint="default"/>
      </w:rPr>
    </w:lvl>
    <w:lvl w:ilvl="8" w:tplc="7FBE2F3C" w:tentative="1">
      <w:start w:val="1"/>
      <w:numFmt w:val="bullet"/>
      <w:lvlText w:val=""/>
      <w:lvlJc w:val="left"/>
      <w:pPr>
        <w:ind w:left="7020" w:hanging="360"/>
      </w:pPr>
      <w:rPr>
        <w:rFonts w:ascii="Wingdings" w:hAnsi="Wingdings" w:hint="default"/>
      </w:rPr>
    </w:lvl>
  </w:abstractNum>
  <w:abstractNum w:abstractNumId="12" w15:restartNumberingAfterBreak="0">
    <w:nsid w:val="51393420"/>
    <w:multiLevelType w:val="multilevel"/>
    <w:tmpl w:val="E7E249F4"/>
    <w:lvl w:ilvl="0">
      <w:start w:val="1"/>
      <w:numFmt w:val="bullet"/>
      <w:lvlText w:val=""/>
      <w:lvlJc w:val="left"/>
      <w:pPr>
        <w:ind w:left="720" w:hanging="360"/>
      </w:pPr>
      <w:rPr>
        <w:rFonts w:ascii="Wingdings" w:hAnsi="Wingdings" w:hint="default"/>
        <w:color w:val="auto"/>
        <w:sz w:val="20"/>
      </w:rPr>
    </w:lvl>
    <w:lvl w:ilvl="1" w:tentative="1">
      <w:start w:val="1"/>
      <w:numFmt w:val="bullet"/>
      <w:lvlText w:val="o"/>
      <w:lvlJc w:val="left"/>
      <w:pPr>
        <w:ind w:left="1440" w:hanging="360"/>
      </w:pPr>
      <w:rPr>
        <w:rFonts w:ascii="Courier New" w:hAnsi="Courier New" w:cs="Courier New" w:hint="default"/>
        <w:sz w:val="26"/>
      </w:rPr>
    </w:lvl>
    <w:lvl w:ilvl="2" w:tentative="1">
      <w:start w:val="1"/>
      <w:numFmt w:val="bullet"/>
      <w:lvlText w:val=""/>
      <w:lvlJc w:val="left"/>
      <w:pPr>
        <w:ind w:left="2160" w:hanging="360"/>
      </w:pPr>
      <w:rPr>
        <w:rFonts w:ascii="Wingdings" w:hAnsi="Wingdings" w:hint="default"/>
        <w:sz w:val="24"/>
      </w:rPr>
    </w:lvl>
    <w:lvl w:ilvl="3" w:tentative="1">
      <w:start w:val="1"/>
      <w:numFmt w:val="bullet"/>
      <w:lvlText w:val=""/>
      <w:lvlJc w:val="left"/>
      <w:pPr>
        <w:ind w:left="2880" w:hanging="360"/>
      </w:pPr>
      <w:rPr>
        <w:rFonts w:ascii="Symbol" w:hAnsi="Symbol" w:hint="default"/>
        <w:sz w:val="22"/>
      </w:rPr>
    </w:lvl>
    <w:lvl w:ilvl="4" w:tentative="1">
      <w:start w:val="1"/>
      <w:numFmt w:val="bullet"/>
      <w:lvlText w:val="o"/>
      <w:lvlJc w:val="left"/>
      <w:pPr>
        <w:ind w:left="3600" w:hanging="360"/>
      </w:pPr>
      <w:rPr>
        <w:rFonts w:ascii="Courier New" w:hAnsi="Courier New" w:cs="Courier New" w:hint="default"/>
        <w:sz w:val="20"/>
      </w:rPr>
    </w:lvl>
    <w:lvl w:ilvl="5" w:tentative="1">
      <w:start w:val="1"/>
      <w:numFmt w:val="bullet"/>
      <w:lvlText w:val=""/>
      <w:lvlJc w:val="left"/>
      <w:pPr>
        <w:ind w:left="4320" w:hanging="360"/>
      </w:pPr>
      <w:rPr>
        <w:rFonts w:ascii="Wingdings" w:hAnsi="Wingdings" w:hint="default"/>
        <w:sz w:val="18"/>
      </w:rPr>
    </w:lvl>
    <w:lvl w:ilvl="6" w:tentative="1">
      <w:start w:val="1"/>
      <w:numFmt w:val="bullet"/>
      <w:lvlText w:val=""/>
      <w:lvlJc w:val="left"/>
      <w:pPr>
        <w:ind w:left="5040" w:hanging="360"/>
      </w:pPr>
      <w:rPr>
        <w:rFonts w:ascii="Symbol" w:hAnsi="Symbol" w:hint="default"/>
        <w:sz w:val="16"/>
      </w:rPr>
    </w:lvl>
    <w:lvl w:ilvl="7" w:tentative="1">
      <w:start w:val="1"/>
      <w:numFmt w:val="bullet"/>
      <w:lvlText w:val="o"/>
      <w:lvlJc w:val="left"/>
      <w:pPr>
        <w:ind w:left="5760" w:hanging="360"/>
      </w:pPr>
      <w:rPr>
        <w:rFonts w:ascii="Courier New" w:hAnsi="Courier New" w:cs="Courier New" w:hint="default"/>
        <w:sz w:val="14"/>
      </w:rPr>
    </w:lvl>
    <w:lvl w:ilvl="8" w:tentative="1">
      <w:start w:val="1"/>
      <w:numFmt w:val="bullet"/>
      <w:lvlText w:val=""/>
      <w:lvlJc w:val="left"/>
      <w:pPr>
        <w:ind w:left="6480" w:hanging="360"/>
      </w:pPr>
      <w:rPr>
        <w:rFonts w:ascii="Wingdings" w:hAnsi="Wingdings" w:hint="default"/>
        <w:sz w:val="14"/>
      </w:rPr>
    </w:lvl>
  </w:abstractNum>
  <w:abstractNum w:abstractNumId="13" w15:restartNumberingAfterBreak="0">
    <w:nsid w:val="6B591385"/>
    <w:multiLevelType w:val="hybridMultilevel"/>
    <w:tmpl w:val="261C6F7A"/>
    <w:lvl w:ilvl="0" w:tplc="755E3C0E">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3ED0EE2"/>
    <w:multiLevelType w:val="hybridMultilevel"/>
    <w:tmpl w:val="F8EABD6A"/>
    <w:lvl w:ilvl="0" w:tplc="89BA3352">
      <w:start w:val="1"/>
      <w:numFmt w:val="decimal"/>
      <w:lvlText w:val="7.%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48E3A65"/>
    <w:multiLevelType w:val="hybridMultilevel"/>
    <w:tmpl w:val="E39C7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
  </w:num>
  <w:num w:numId="4">
    <w:abstractNumId w:val="3"/>
  </w:num>
  <w:num w:numId="5">
    <w:abstractNumId w:val="6"/>
  </w:num>
  <w:num w:numId="6">
    <w:abstractNumId w:val="0"/>
  </w:num>
  <w:num w:numId="7">
    <w:abstractNumId w:val="10"/>
  </w:num>
  <w:num w:numId="8">
    <w:abstractNumId w:val="12"/>
  </w:num>
  <w:num w:numId="9">
    <w:abstractNumId w:val="7"/>
  </w:num>
  <w:num w:numId="10">
    <w:abstractNumId w:val="15"/>
  </w:num>
  <w:num w:numId="11">
    <w:abstractNumId w:val="2"/>
  </w:num>
  <w:num w:numId="12">
    <w:abstractNumId w:val="13"/>
  </w:num>
  <w:num w:numId="13">
    <w:abstractNumId w:val="4"/>
  </w:num>
  <w:num w:numId="14">
    <w:abstractNumId w:val="14"/>
  </w:num>
  <w:num w:numId="15">
    <w:abstractNumId w:val="9"/>
  </w:num>
  <w:num w:numId="16">
    <w:abstractNumId w:val="0"/>
  </w:num>
  <w:num w:numId="17">
    <w:abstractNumId w:val="0"/>
  </w:num>
  <w:num w:numId="18">
    <w:abstractNumId w:val="0"/>
  </w:num>
  <w:num w:numId="19">
    <w:abstractNumId w:val="5"/>
  </w:num>
  <w:num w:numId="20">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182"/>
    <w:rsid w:val="00004FE2"/>
    <w:rsid w:val="00023803"/>
    <w:rsid w:val="00024F31"/>
    <w:rsid w:val="0002624B"/>
    <w:rsid w:val="0002671B"/>
    <w:rsid w:val="00027364"/>
    <w:rsid w:val="000431EF"/>
    <w:rsid w:val="00055A5F"/>
    <w:rsid w:val="00061B3D"/>
    <w:rsid w:val="00081E3F"/>
    <w:rsid w:val="00091CD0"/>
    <w:rsid w:val="00093AD5"/>
    <w:rsid w:val="000A59A6"/>
    <w:rsid w:val="000A6125"/>
    <w:rsid w:val="000D0F3B"/>
    <w:rsid w:val="000E639C"/>
    <w:rsid w:val="000F79AC"/>
    <w:rsid w:val="00106196"/>
    <w:rsid w:val="00112FF4"/>
    <w:rsid w:val="00117832"/>
    <w:rsid w:val="00126E7A"/>
    <w:rsid w:val="001546F1"/>
    <w:rsid w:val="001560B1"/>
    <w:rsid w:val="00160210"/>
    <w:rsid w:val="00160B42"/>
    <w:rsid w:val="001629C6"/>
    <w:rsid w:val="001640D5"/>
    <w:rsid w:val="001A2C4F"/>
    <w:rsid w:val="001A546A"/>
    <w:rsid w:val="001A5E68"/>
    <w:rsid w:val="001B5305"/>
    <w:rsid w:val="001C37D3"/>
    <w:rsid w:val="001C3B9B"/>
    <w:rsid w:val="001C6CBB"/>
    <w:rsid w:val="001E0900"/>
    <w:rsid w:val="001E73AE"/>
    <w:rsid w:val="001F08AA"/>
    <w:rsid w:val="001F29A3"/>
    <w:rsid w:val="001F4CE2"/>
    <w:rsid w:val="00204BFE"/>
    <w:rsid w:val="002059EC"/>
    <w:rsid w:val="00211B9C"/>
    <w:rsid w:val="002279F7"/>
    <w:rsid w:val="00227BB2"/>
    <w:rsid w:val="00234929"/>
    <w:rsid w:val="002400EC"/>
    <w:rsid w:val="00242517"/>
    <w:rsid w:val="00243A2C"/>
    <w:rsid w:val="0026117C"/>
    <w:rsid w:val="00272600"/>
    <w:rsid w:val="002910C8"/>
    <w:rsid w:val="0029321B"/>
    <w:rsid w:val="002A7B22"/>
    <w:rsid w:val="002B2AA7"/>
    <w:rsid w:val="002C74A4"/>
    <w:rsid w:val="002D15B5"/>
    <w:rsid w:val="002D3902"/>
    <w:rsid w:val="002D4349"/>
    <w:rsid w:val="002E0637"/>
    <w:rsid w:val="00304AC8"/>
    <w:rsid w:val="003075D7"/>
    <w:rsid w:val="00314A34"/>
    <w:rsid w:val="00320359"/>
    <w:rsid w:val="00336123"/>
    <w:rsid w:val="00347E1C"/>
    <w:rsid w:val="00356E50"/>
    <w:rsid w:val="0036129B"/>
    <w:rsid w:val="00363DE3"/>
    <w:rsid w:val="003709A3"/>
    <w:rsid w:val="00373CD4"/>
    <w:rsid w:val="00381190"/>
    <w:rsid w:val="00386FA4"/>
    <w:rsid w:val="00395A93"/>
    <w:rsid w:val="0039619F"/>
    <w:rsid w:val="003975AE"/>
    <w:rsid w:val="003C1C89"/>
    <w:rsid w:val="003D004F"/>
    <w:rsid w:val="003D508E"/>
    <w:rsid w:val="003D7929"/>
    <w:rsid w:val="003F0D52"/>
    <w:rsid w:val="00421196"/>
    <w:rsid w:val="00423C5B"/>
    <w:rsid w:val="0042407F"/>
    <w:rsid w:val="0042549A"/>
    <w:rsid w:val="00440E36"/>
    <w:rsid w:val="0044412C"/>
    <w:rsid w:val="00445F1D"/>
    <w:rsid w:val="00457A8A"/>
    <w:rsid w:val="0046143C"/>
    <w:rsid w:val="00485F3E"/>
    <w:rsid w:val="00492170"/>
    <w:rsid w:val="0049515A"/>
    <w:rsid w:val="00496182"/>
    <w:rsid w:val="004A0A1B"/>
    <w:rsid w:val="004A6AF5"/>
    <w:rsid w:val="004B4605"/>
    <w:rsid w:val="004C2478"/>
    <w:rsid w:val="004C54B4"/>
    <w:rsid w:val="004D294F"/>
    <w:rsid w:val="004E1BE2"/>
    <w:rsid w:val="004E294F"/>
    <w:rsid w:val="004F42A3"/>
    <w:rsid w:val="00501A0B"/>
    <w:rsid w:val="00513E44"/>
    <w:rsid w:val="00520A49"/>
    <w:rsid w:val="0052515E"/>
    <w:rsid w:val="00525BC3"/>
    <w:rsid w:val="005402A4"/>
    <w:rsid w:val="005502E3"/>
    <w:rsid w:val="00562372"/>
    <w:rsid w:val="00567392"/>
    <w:rsid w:val="005673CE"/>
    <w:rsid w:val="00574EE3"/>
    <w:rsid w:val="00575E28"/>
    <w:rsid w:val="00587425"/>
    <w:rsid w:val="0059062A"/>
    <w:rsid w:val="00590BFD"/>
    <w:rsid w:val="00596C62"/>
    <w:rsid w:val="005A7EE9"/>
    <w:rsid w:val="005B0C40"/>
    <w:rsid w:val="005D362B"/>
    <w:rsid w:val="005D57F3"/>
    <w:rsid w:val="005D6527"/>
    <w:rsid w:val="005E4490"/>
    <w:rsid w:val="005F3D8D"/>
    <w:rsid w:val="005F5643"/>
    <w:rsid w:val="00604A76"/>
    <w:rsid w:val="006245A5"/>
    <w:rsid w:val="0063229D"/>
    <w:rsid w:val="0063521B"/>
    <w:rsid w:val="00642985"/>
    <w:rsid w:val="00660004"/>
    <w:rsid w:val="006A2F9A"/>
    <w:rsid w:val="006A7E0E"/>
    <w:rsid w:val="006B068C"/>
    <w:rsid w:val="006B6A15"/>
    <w:rsid w:val="006C4DA5"/>
    <w:rsid w:val="006D3FE2"/>
    <w:rsid w:val="006D5ADE"/>
    <w:rsid w:val="006E2F03"/>
    <w:rsid w:val="006E359A"/>
    <w:rsid w:val="00705802"/>
    <w:rsid w:val="007064B0"/>
    <w:rsid w:val="007138C7"/>
    <w:rsid w:val="007169E6"/>
    <w:rsid w:val="00723CDB"/>
    <w:rsid w:val="0074258D"/>
    <w:rsid w:val="00747B70"/>
    <w:rsid w:val="00756C74"/>
    <w:rsid w:val="007748FC"/>
    <w:rsid w:val="00776247"/>
    <w:rsid w:val="0077625F"/>
    <w:rsid w:val="0077674E"/>
    <w:rsid w:val="007874F0"/>
    <w:rsid w:val="007A13CE"/>
    <w:rsid w:val="007B6687"/>
    <w:rsid w:val="007D6FAF"/>
    <w:rsid w:val="007F247C"/>
    <w:rsid w:val="00801F53"/>
    <w:rsid w:val="00810B26"/>
    <w:rsid w:val="00820890"/>
    <w:rsid w:val="008227F5"/>
    <w:rsid w:val="008412BB"/>
    <w:rsid w:val="00850205"/>
    <w:rsid w:val="00860EAB"/>
    <w:rsid w:val="00876633"/>
    <w:rsid w:val="00890A64"/>
    <w:rsid w:val="00895006"/>
    <w:rsid w:val="00896B5A"/>
    <w:rsid w:val="008A0097"/>
    <w:rsid w:val="008A28CB"/>
    <w:rsid w:val="008A412D"/>
    <w:rsid w:val="008B731B"/>
    <w:rsid w:val="008D14DD"/>
    <w:rsid w:val="008D486D"/>
    <w:rsid w:val="008F2F3A"/>
    <w:rsid w:val="008F4E46"/>
    <w:rsid w:val="008F5F10"/>
    <w:rsid w:val="00900F96"/>
    <w:rsid w:val="009064F3"/>
    <w:rsid w:val="00916834"/>
    <w:rsid w:val="00916F72"/>
    <w:rsid w:val="00920086"/>
    <w:rsid w:val="00941C50"/>
    <w:rsid w:val="00944256"/>
    <w:rsid w:val="00950E11"/>
    <w:rsid w:val="00952959"/>
    <w:rsid w:val="00954489"/>
    <w:rsid w:val="0096065C"/>
    <w:rsid w:val="00962FA3"/>
    <w:rsid w:val="0096473E"/>
    <w:rsid w:val="00967C7D"/>
    <w:rsid w:val="00975D15"/>
    <w:rsid w:val="00983265"/>
    <w:rsid w:val="00986AD4"/>
    <w:rsid w:val="00986EDB"/>
    <w:rsid w:val="009A7DAE"/>
    <w:rsid w:val="009D3EDB"/>
    <w:rsid w:val="009E3314"/>
    <w:rsid w:val="009F27EF"/>
    <w:rsid w:val="009F3EAE"/>
    <w:rsid w:val="009F6258"/>
    <w:rsid w:val="009F6C3A"/>
    <w:rsid w:val="00A06DA6"/>
    <w:rsid w:val="00A1678A"/>
    <w:rsid w:val="00A1787C"/>
    <w:rsid w:val="00A335BA"/>
    <w:rsid w:val="00A47740"/>
    <w:rsid w:val="00A501CB"/>
    <w:rsid w:val="00A65C6E"/>
    <w:rsid w:val="00A75F09"/>
    <w:rsid w:val="00A773FE"/>
    <w:rsid w:val="00A95C24"/>
    <w:rsid w:val="00AA3434"/>
    <w:rsid w:val="00AB3720"/>
    <w:rsid w:val="00AC2D7D"/>
    <w:rsid w:val="00AC7298"/>
    <w:rsid w:val="00AD0AF8"/>
    <w:rsid w:val="00AE0B13"/>
    <w:rsid w:val="00B0155E"/>
    <w:rsid w:val="00B04CB9"/>
    <w:rsid w:val="00B11802"/>
    <w:rsid w:val="00B1618F"/>
    <w:rsid w:val="00B36115"/>
    <w:rsid w:val="00B433A4"/>
    <w:rsid w:val="00B4408C"/>
    <w:rsid w:val="00B47425"/>
    <w:rsid w:val="00B510C3"/>
    <w:rsid w:val="00B81FDB"/>
    <w:rsid w:val="00B906DB"/>
    <w:rsid w:val="00B91918"/>
    <w:rsid w:val="00BA54F8"/>
    <w:rsid w:val="00BB5CDF"/>
    <w:rsid w:val="00BE0032"/>
    <w:rsid w:val="00BE231A"/>
    <w:rsid w:val="00BF3254"/>
    <w:rsid w:val="00C02096"/>
    <w:rsid w:val="00C15008"/>
    <w:rsid w:val="00C26C3B"/>
    <w:rsid w:val="00C2784F"/>
    <w:rsid w:val="00C46813"/>
    <w:rsid w:val="00C543BA"/>
    <w:rsid w:val="00C56A32"/>
    <w:rsid w:val="00C61DA4"/>
    <w:rsid w:val="00C65636"/>
    <w:rsid w:val="00C66593"/>
    <w:rsid w:val="00C75788"/>
    <w:rsid w:val="00C80FB1"/>
    <w:rsid w:val="00C81EA4"/>
    <w:rsid w:val="00C846CF"/>
    <w:rsid w:val="00C869B4"/>
    <w:rsid w:val="00C875DC"/>
    <w:rsid w:val="00CA039A"/>
    <w:rsid w:val="00CA3B2E"/>
    <w:rsid w:val="00CB7591"/>
    <w:rsid w:val="00CC2A77"/>
    <w:rsid w:val="00CE0804"/>
    <w:rsid w:val="00CE6A09"/>
    <w:rsid w:val="00D017D9"/>
    <w:rsid w:val="00D263DA"/>
    <w:rsid w:val="00D3108A"/>
    <w:rsid w:val="00D40EA7"/>
    <w:rsid w:val="00D43FD0"/>
    <w:rsid w:val="00D60A50"/>
    <w:rsid w:val="00D64D8F"/>
    <w:rsid w:val="00D746E5"/>
    <w:rsid w:val="00D748EA"/>
    <w:rsid w:val="00D75C0C"/>
    <w:rsid w:val="00D76024"/>
    <w:rsid w:val="00D84B19"/>
    <w:rsid w:val="00D85207"/>
    <w:rsid w:val="00D86C37"/>
    <w:rsid w:val="00D9508A"/>
    <w:rsid w:val="00DB771F"/>
    <w:rsid w:val="00DC2353"/>
    <w:rsid w:val="00DC7153"/>
    <w:rsid w:val="00DE0D81"/>
    <w:rsid w:val="00DE3EA1"/>
    <w:rsid w:val="00DE6880"/>
    <w:rsid w:val="00DE7BAC"/>
    <w:rsid w:val="00DF2145"/>
    <w:rsid w:val="00E34B8C"/>
    <w:rsid w:val="00E41A87"/>
    <w:rsid w:val="00E52BF1"/>
    <w:rsid w:val="00E53D69"/>
    <w:rsid w:val="00E62FCF"/>
    <w:rsid w:val="00E74B91"/>
    <w:rsid w:val="00E828AB"/>
    <w:rsid w:val="00E8454C"/>
    <w:rsid w:val="00E90541"/>
    <w:rsid w:val="00E93707"/>
    <w:rsid w:val="00E9700F"/>
    <w:rsid w:val="00EA0FD5"/>
    <w:rsid w:val="00EA55E2"/>
    <w:rsid w:val="00EB3253"/>
    <w:rsid w:val="00EB5C61"/>
    <w:rsid w:val="00ED7736"/>
    <w:rsid w:val="00EE3FB1"/>
    <w:rsid w:val="00EE51CC"/>
    <w:rsid w:val="00EE7EE7"/>
    <w:rsid w:val="00F1313F"/>
    <w:rsid w:val="00F1363C"/>
    <w:rsid w:val="00F13838"/>
    <w:rsid w:val="00F16BEC"/>
    <w:rsid w:val="00F40827"/>
    <w:rsid w:val="00F5182F"/>
    <w:rsid w:val="00F55890"/>
    <w:rsid w:val="00F61810"/>
    <w:rsid w:val="00F6427D"/>
    <w:rsid w:val="00F660CC"/>
    <w:rsid w:val="00F66C9B"/>
    <w:rsid w:val="00F758BE"/>
    <w:rsid w:val="00F83693"/>
    <w:rsid w:val="00F85C73"/>
    <w:rsid w:val="00F90B64"/>
    <w:rsid w:val="00F92A01"/>
    <w:rsid w:val="00FA0C29"/>
    <w:rsid w:val="00FA6B81"/>
    <w:rsid w:val="00FB624D"/>
    <w:rsid w:val="00FC2609"/>
    <w:rsid w:val="00FC7698"/>
    <w:rsid w:val="00FE0DBF"/>
    <w:rsid w:val="00FE29CC"/>
    <w:rsid w:val="00FF34E5"/>
    <w:rsid w:val="00FF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D6B42"/>
  <w15:docId w15:val="{C6FDA57D-69B2-4060-8BEA-BC430A450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6E50"/>
    <w:pPr>
      <w:spacing w:before="40" w:after="80"/>
      <w:jc w:val="both"/>
    </w:pPr>
    <w:rPr>
      <w:rFonts w:ascii="Calibri" w:hAnsi="Calibri" w:cstheme="minorHAnsi"/>
    </w:rPr>
  </w:style>
  <w:style w:type="paragraph" w:styleId="Heading1">
    <w:name w:val="heading 1"/>
    <w:aliases w:val="H1,Part,Main heading,Document,h1,Chapter,Main Section,Section Header,DPHead1,1.Heading 1,Heading,Project 1,RFS,Heading1,1,H11,H12,H13,H111,H14,H112,H15,H16,H17,H113,H121,H131,H1111,H141,H1121,H151,H161,H18,H114,H122,H132,H1112,H142,H1122,H152"/>
    <w:basedOn w:val="Normal"/>
    <w:next w:val="Normal"/>
    <w:link w:val="Heading1Char"/>
    <w:uiPriority w:val="9"/>
    <w:qFormat/>
    <w:rsid w:val="000F79AC"/>
    <w:pPr>
      <w:keepNext/>
      <w:keepLines/>
      <w:numPr>
        <w:numId w:val="1"/>
      </w:numPr>
      <w:spacing w:before="80" w:after="40"/>
      <w:outlineLvl w:val="0"/>
    </w:pPr>
    <w:rPr>
      <w:rFonts w:ascii="Tahoma" w:eastAsiaTheme="majorEastAsia" w:hAnsi="Tahoma" w:cs="Tahoma"/>
      <w:b/>
      <w:bCs/>
      <w:smallCaps/>
      <w:sz w:val="28"/>
      <w:szCs w:val="28"/>
    </w:rPr>
  </w:style>
  <w:style w:type="paragraph" w:styleId="Heading2">
    <w:name w:val="heading 2"/>
    <w:aliases w:val="Heading_Numbered_2,H2,l2,heading 2,I2,l2+toc 2,h2"/>
    <w:basedOn w:val="Normal"/>
    <w:next w:val="Normal"/>
    <w:link w:val="Heading2Char"/>
    <w:uiPriority w:val="9"/>
    <w:unhideWhenUsed/>
    <w:qFormat/>
    <w:rsid w:val="000F79AC"/>
    <w:pPr>
      <w:keepNext/>
      <w:keepLines/>
      <w:numPr>
        <w:ilvl w:val="1"/>
        <w:numId w:val="1"/>
      </w:numPr>
      <w:spacing w:before="80" w:after="40"/>
      <w:outlineLvl w:val="1"/>
    </w:pPr>
    <w:rPr>
      <w:rFonts w:ascii="Tahoma" w:eastAsiaTheme="majorEastAsia" w:hAnsi="Tahoma" w:cs="Tahoma"/>
      <w:b/>
      <w:bCs/>
      <w:smallCaps/>
      <w:sz w:val="24"/>
      <w:szCs w:val="24"/>
    </w:rPr>
  </w:style>
  <w:style w:type="paragraph" w:styleId="Heading3">
    <w:name w:val="heading 3"/>
    <w:basedOn w:val="Normal"/>
    <w:next w:val="Normal"/>
    <w:link w:val="Heading3Char"/>
    <w:uiPriority w:val="9"/>
    <w:unhideWhenUsed/>
    <w:qFormat/>
    <w:rsid w:val="000F79AC"/>
    <w:pPr>
      <w:keepNext/>
      <w:keepLines/>
      <w:numPr>
        <w:ilvl w:val="2"/>
        <w:numId w:val="1"/>
      </w:numPr>
      <w:spacing w:before="80" w:after="40"/>
      <w:ind w:left="2174" w:hanging="907"/>
      <w:outlineLvl w:val="2"/>
    </w:pPr>
    <w:rPr>
      <w:rFonts w:ascii="Tahoma" w:eastAsiaTheme="majorEastAsia" w:hAnsi="Tahoma" w:cs="Tahoma"/>
      <w:b/>
      <w:bCs/>
      <w:smallCaps/>
      <w:sz w:val="22"/>
      <w:szCs w:val="24"/>
    </w:rPr>
  </w:style>
  <w:style w:type="paragraph" w:styleId="Heading4">
    <w:name w:val="heading 4"/>
    <w:basedOn w:val="Normal"/>
    <w:next w:val="Normal"/>
    <w:link w:val="Heading4Char"/>
    <w:uiPriority w:val="9"/>
    <w:unhideWhenUsed/>
    <w:qFormat/>
    <w:rsid w:val="000F79AC"/>
    <w:pPr>
      <w:keepNext/>
      <w:keepLines/>
      <w:numPr>
        <w:ilvl w:val="3"/>
        <w:numId w:val="1"/>
      </w:numPr>
      <w:spacing w:before="80" w:after="40"/>
      <w:ind w:left="2894" w:hanging="907"/>
      <w:outlineLvl w:val="3"/>
    </w:pPr>
    <w:rPr>
      <w:rFonts w:ascii="Tahoma" w:eastAsiaTheme="majorEastAsia" w:hAnsi="Tahoma" w:cs="Tahoma"/>
      <w:b/>
      <w:bCs/>
      <w:iCs/>
      <w:smallCaps/>
    </w:rPr>
  </w:style>
  <w:style w:type="paragraph" w:styleId="Heading5">
    <w:name w:val="heading 5"/>
    <w:basedOn w:val="Normal"/>
    <w:next w:val="Normal"/>
    <w:link w:val="Heading5Char"/>
    <w:uiPriority w:val="9"/>
    <w:semiHidden/>
    <w:unhideWhenUsed/>
    <w:qFormat/>
    <w:rsid w:val="0029321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321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32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321B"/>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321B"/>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196"/>
  </w:style>
  <w:style w:type="paragraph" w:styleId="Footer">
    <w:name w:val="footer"/>
    <w:basedOn w:val="Normal"/>
    <w:link w:val="FooterChar"/>
    <w:uiPriority w:val="99"/>
    <w:unhideWhenUsed/>
    <w:rsid w:val="00421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196"/>
  </w:style>
  <w:style w:type="table" w:styleId="TableGrid">
    <w:name w:val="Table Grid"/>
    <w:basedOn w:val="TableNormal"/>
    <w:uiPriority w:val="59"/>
    <w:rsid w:val="00421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7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4F0"/>
    <w:rPr>
      <w:rFonts w:ascii="Tahoma" w:hAnsi="Tahoma" w:cs="Tahoma"/>
      <w:sz w:val="16"/>
      <w:szCs w:val="16"/>
    </w:rPr>
  </w:style>
  <w:style w:type="character" w:customStyle="1" w:styleId="VersionNo">
    <w:name w:val="VersionNo"/>
    <w:basedOn w:val="DefaultParagraphFont"/>
    <w:uiPriority w:val="1"/>
    <w:qFormat/>
    <w:rsid w:val="00F66C9B"/>
    <w:rPr>
      <w:rFonts w:ascii="Calibri" w:hAnsi="Calibri" w:cstheme="minorHAnsi"/>
      <w:color w:val="auto"/>
      <w:sz w:val="20"/>
    </w:rPr>
  </w:style>
  <w:style w:type="paragraph" w:customStyle="1" w:styleId="EIT-Title">
    <w:name w:val="EIT-Title"/>
    <w:basedOn w:val="Normal"/>
    <w:link w:val="EIT-TitleChar"/>
    <w:qFormat/>
    <w:rsid w:val="00896B5A"/>
    <w:pPr>
      <w:jc w:val="left"/>
    </w:pPr>
    <w:rPr>
      <w:rFonts w:ascii="Tahoma" w:hAnsi="Tahoma" w:cs="Tahoma"/>
      <w:b/>
      <w:caps/>
      <w:sz w:val="40"/>
      <w:szCs w:val="40"/>
    </w:rPr>
  </w:style>
  <w:style w:type="character" w:customStyle="1" w:styleId="EIT-TitleChar">
    <w:name w:val="EIT-Title Char"/>
    <w:basedOn w:val="DefaultParagraphFont"/>
    <w:link w:val="EIT-Title"/>
    <w:rsid w:val="00896B5A"/>
    <w:rPr>
      <w:rFonts w:ascii="Tahoma" w:hAnsi="Tahoma" w:cs="Tahoma"/>
      <w:b/>
      <w:caps/>
      <w:sz w:val="40"/>
      <w:szCs w:val="40"/>
    </w:rPr>
  </w:style>
  <w:style w:type="paragraph" w:customStyle="1" w:styleId="Class">
    <w:name w:val="Class"/>
    <w:basedOn w:val="Normal"/>
    <w:link w:val="ClassChar"/>
    <w:autoRedefine/>
    <w:qFormat/>
    <w:rsid w:val="00004FE2"/>
    <w:pPr>
      <w:spacing w:before="0" w:after="0"/>
    </w:pPr>
  </w:style>
  <w:style w:type="character" w:customStyle="1" w:styleId="ClassChar">
    <w:name w:val="Class Char"/>
    <w:basedOn w:val="DefaultParagraphFont"/>
    <w:link w:val="Class"/>
    <w:rsid w:val="00004FE2"/>
    <w:rPr>
      <w:rFonts w:ascii="Calibri" w:hAnsi="Calibri" w:cstheme="minorHAnsi"/>
    </w:rPr>
  </w:style>
  <w:style w:type="character" w:customStyle="1" w:styleId="Heading1Char">
    <w:name w:val="Heading 1 Char"/>
    <w:aliases w:val="H1 Char,Part Char,Main heading Char,Document Char,h1 Char,Chapter Char,Main Section Char,Section Header Char,DPHead1 Char,1.Heading 1 Char,Heading Char,Project 1 Char,RFS Char,Heading1 Char,1 Char,H11 Char,H12 Char,H13 Char,H111 Char"/>
    <w:basedOn w:val="DefaultParagraphFont"/>
    <w:link w:val="Heading1"/>
    <w:uiPriority w:val="9"/>
    <w:rsid w:val="000F79AC"/>
    <w:rPr>
      <w:rFonts w:ascii="Tahoma" w:eastAsiaTheme="majorEastAsia" w:hAnsi="Tahoma" w:cs="Tahoma"/>
      <w:b/>
      <w:bCs/>
      <w:smallCaps/>
      <w:sz w:val="28"/>
      <w:szCs w:val="28"/>
    </w:rPr>
  </w:style>
  <w:style w:type="character" w:customStyle="1" w:styleId="Heading2Char">
    <w:name w:val="Heading 2 Char"/>
    <w:aliases w:val="Heading_Numbered_2 Char,H2 Char,l2 Char,heading 2 Char,I2 Char,l2+toc 2 Char,h2 Char"/>
    <w:basedOn w:val="DefaultParagraphFont"/>
    <w:link w:val="Heading2"/>
    <w:uiPriority w:val="9"/>
    <w:rsid w:val="000F79AC"/>
    <w:rPr>
      <w:rFonts w:ascii="Tahoma" w:eastAsiaTheme="majorEastAsia" w:hAnsi="Tahoma" w:cs="Tahoma"/>
      <w:b/>
      <w:bCs/>
      <w:smallCaps/>
      <w:sz w:val="24"/>
      <w:szCs w:val="24"/>
    </w:rPr>
  </w:style>
  <w:style w:type="character" w:customStyle="1" w:styleId="Heading3Char">
    <w:name w:val="Heading 3 Char"/>
    <w:basedOn w:val="DefaultParagraphFont"/>
    <w:link w:val="Heading3"/>
    <w:uiPriority w:val="9"/>
    <w:rsid w:val="000F79AC"/>
    <w:rPr>
      <w:rFonts w:ascii="Tahoma" w:eastAsiaTheme="majorEastAsia" w:hAnsi="Tahoma" w:cs="Tahoma"/>
      <w:b/>
      <w:bCs/>
      <w:smallCaps/>
      <w:sz w:val="22"/>
      <w:szCs w:val="24"/>
    </w:rPr>
  </w:style>
  <w:style w:type="character" w:customStyle="1" w:styleId="Heading4Char">
    <w:name w:val="Heading 4 Char"/>
    <w:basedOn w:val="DefaultParagraphFont"/>
    <w:link w:val="Heading4"/>
    <w:uiPriority w:val="9"/>
    <w:rsid w:val="000F79AC"/>
    <w:rPr>
      <w:rFonts w:ascii="Tahoma" w:eastAsiaTheme="majorEastAsia" w:hAnsi="Tahoma" w:cs="Tahoma"/>
      <w:b/>
      <w:bCs/>
      <w:iCs/>
      <w:smallCaps/>
    </w:rPr>
  </w:style>
  <w:style w:type="character" w:customStyle="1" w:styleId="Heading5Char">
    <w:name w:val="Heading 5 Char"/>
    <w:basedOn w:val="DefaultParagraphFont"/>
    <w:link w:val="Heading5"/>
    <w:uiPriority w:val="9"/>
    <w:semiHidden/>
    <w:rsid w:val="002932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32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32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321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29321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qFormat/>
    <w:rsid w:val="00EB5C61"/>
    <w:pPr>
      <w:tabs>
        <w:tab w:val="left" w:pos="400"/>
        <w:tab w:val="right" w:leader="dot" w:pos="9180"/>
      </w:tabs>
      <w:spacing w:after="100"/>
    </w:pPr>
    <w:rPr>
      <w:b/>
      <w:smallCaps/>
      <w:noProof/>
    </w:rPr>
  </w:style>
  <w:style w:type="character" w:styleId="Hyperlink">
    <w:name w:val="Hyperlink"/>
    <w:basedOn w:val="DefaultParagraphFont"/>
    <w:uiPriority w:val="99"/>
    <w:unhideWhenUsed/>
    <w:rsid w:val="0029321B"/>
    <w:rPr>
      <w:color w:val="0000FF" w:themeColor="hyperlink"/>
      <w:u w:val="single"/>
    </w:rPr>
  </w:style>
  <w:style w:type="paragraph" w:styleId="ListParagraph">
    <w:name w:val="List Paragraph"/>
    <w:basedOn w:val="Normal"/>
    <w:link w:val="ListParagraphChar"/>
    <w:uiPriority w:val="34"/>
    <w:qFormat/>
    <w:rsid w:val="004F42A3"/>
    <w:pPr>
      <w:ind w:left="720"/>
      <w:contextualSpacing/>
    </w:pPr>
  </w:style>
  <w:style w:type="paragraph" w:customStyle="1" w:styleId="NormalBullet1">
    <w:name w:val="Normal Bullet 1"/>
    <w:basedOn w:val="ListParagraph"/>
    <w:link w:val="NormalBullet1Char"/>
    <w:qFormat/>
    <w:rsid w:val="00DE3EA1"/>
    <w:pPr>
      <w:numPr>
        <w:numId w:val="6"/>
      </w:numPr>
    </w:pPr>
  </w:style>
  <w:style w:type="paragraph" w:customStyle="1" w:styleId="NormalBullet2">
    <w:name w:val="Normal Bullet 2"/>
    <w:basedOn w:val="ListParagraph"/>
    <w:link w:val="NormalBullet2Char"/>
    <w:qFormat/>
    <w:rsid w:val="00DE3EA1"/>
    <w:pPr>
      <w:numPr>
        <w:numId w:val="2"/>
      </w:numPr>
      <w:ind w:left="993" w:hanging="446"/>
    </w:pPr>
  </w:style>
  <w:style w:type="character" w:customStyle="1" w:styleId="ListParagraphChar">
    <w:name w:val="List Paragraph Char"/>
    <w:basedOn w:val="DefaultParagraphFont"/>
    <w:link w:val="ListParagraph"/>
    <w:uiPriority w:val="34"/>
    <w:rsid w:val="004F42A3"/>
  </w:style>
  <w:style w:type="character" w:customStyle="1" w:styleId="NormalBullet1Char">
    <w:name w:val="Normal Bullet 1 Char"/>
    <w:basedOn w:val="ListParagraphChar"/>
    <w:link w:val="NormalBullet1"/>
    <w:rsid w:val="00DE3EA1"/>
    <w:rPr>
      <w:rFonts w:ascii="Calibri" w:hAnsi="Calibri" w:cstheme="minorHAnsi"/>
    </w:rPr>
  </w:style>
  <w:style w:type="paragraph" w:customStyle="1" w:styleId="NormalBullet3">
    <w:name w:val="Normal Bullet 3"/>
    <w:basedOn w:val="ListParagraph"/>
    <w:link w:val="NormalBullet3Char"/>
    <w:qFormat/>
    <w:rsid w:val="00EA0FD5"/>
    <w:pPr>
      <w:numPr>
        <w:numId w:val="3"/>
      </w:numPr>
      <w:ind w:left="1710" w:hanging="450"/>
    </w:pPr>
  </w:style>
  <w:style w:type="character" w:customStyle="1" w:styleId="NormalBullet2Char">
    <w:name w:val="Normal Bullet 2 Char"/>
    <w:basedOn w:val="ListParagraphChar"/>
    <w:link w:val="NormalBullet2"/>
    <w:rsid w:val="00DE3EA1"/>
    <w:rPr>
      <w:rFonts w:ascii="Calibri" w:hAnsi="Calibri" w:cstheme="minorHAnsi"/>
    </w:rPr>
  </w:style>
  <w:style w:type="paragraph" w:customStyle="1" w:styleId="NormalBullet4">
    <w:name w:val="Normal Bullet 4"/>
    <w:basedOn w:val="ListParagraph"/>
    <w:link w:val="NormalBullet4Char"/>
    <w:qFormat/>
    <w:rsid w:val="00850205"/>
    <w:pPr>
      <w:numPr>
        <w:numId w:val="4"/>
      </w:numPr>
      <w:ind w:left="2340"/>
    </w:pPr>
  </w:style>
  <w:style w:type="character" w:customStyle="1" w:styleId="NormalBullet3Char">
    <w:name w:val="Normal Bullet 3 Char"/>
    <w:basedOn w:val="ListParagraphChar"/>
    <w:link w:val="NormalBullet3"/>
    <w:rsid w:val="00EA0FD5"/>
    <w:rPr>
      <w:rFonts w:ascii="Calibri" w:hAnsi="Calibri" w:cstheme="minorHAnsi"/>
    </w:rPr>
  </w:style>
  <w:style w:type="paragraph" w:styleId="TOC2">
    <w:name w:val="toc 2"/>
    <w:aliases w:val="EIT-TOC2"/>
    <w:basedOn w:val="Normal"/>
    <w:next w:val="Normal"/>
    <w:autoRedefine/>
    <w:uiPriority w:val="39"/>
    <w:unhideWhenUsed/>
    <w:rsid w:val="00EB5C61"/>
    <w:pPr>
      <w:tabs>
        <w:tab w:val="left" w:pos="880"/>
        <w:tab w:val="right" w:leader="dot" w:pos="9180"/>
      </w:tabs>
      <w:spacing w:after="100"/>
      <w:ind w:left="200"/>
    </w:pPr>
    <w:rPr>
      <w:b/>
      <w:smallCaps/>
      <w:noProof/>
    </w:rPr>
  </w:style>
  <w:style w:type="character" w:customStyle="1" w:styleId="NormalBullet4Char">
    <w:name w:val="Normal Bullet 4 Char"/>
    <w:basedOn w:val="ListParagraphChar"/>
    <w:link w:val="NormalBullet4"/>
    <w:rsid w:val="00850205"/>
    <w:rPr>
      <w:rFonts w:ascii="Calibri" w:hAnsi="Calibri" w:cstheme="minorHAnsi"/>
    </w:rPr>
  </w:style>
  <w:style w:type="paragraph" w:styleId="TOC3">
    <w:name w:val="toc 3"/>
    <w:basedOn w:val="Normal"/>
    <w:next w:val="Normal"/>
    <w:autoRedefine/>
    <w:uiPriority w:val="39"/>
    <w:unhideWhenUsed/>
    <w:rsid w:val="00723CDB"/>
    <w:pPr>
      <w:tabs>
        <w:tab w:val="left" w:pos="1100"/>
        <w:tab w:val="right" w:leader="dot" w:pos="9180"/>
      </w:tabs>
      <w:spacing w:after="100"/>
      <w:ind w:left="400"/>
    </w:pPr>
    <w:rPr>
      <w:b/>
      <w:smallCaps/>
      <w:noProof/>
    </w:rPr>
  </w:style>
  <w:style w:type="numbering" w:customStyle="1" w:styleId="EITMultilevelList">
    <w:name w:val="EIT Multilevel List"/>
    <w:uiPriority w:val="99"/>
    <w:rsid w:val="00950E11"/>
    <w:pPr>
      <w:numPr>
        <w:numId w:val="5"/>
      </w:numPr>
    </w:pPr>
  </w:style>
  <w:style w:type="paragraph" w:styleId="Quote">
    <w:name w:val="Quote"/>
    <w:aliases w:val="Note"/>
    <w:basedOn w:val="Normal"/>
    <w:next w:val="Normal"/>
    <w:link w:val="QuoteChar"/>
    <w:uiPriority w:val="29"/>
    <w:qFormat/>
    <w:rsid w:val="00FE0DBF"/>
    <w:rPr>
      <w:i/>
    </w:rPr>
  </w:style>
  <w:style w:type="character" w:customStyle="1" w:styleId="QuoteChar">
    <w:name w:val="Quote Char"/>
    <w:aliases w:val="Note Char"/>
    <w:basedOn w:val="DefaultParagraphFont"/>
    <w:link w:val="Quote"/>
    <w:uiPriority w:val="29"/>
    <w:rsid w:val="00FE0DBF"/>
    <w:rPr>
      <w:rFonts w:ascii="Calibri" w:hAnsi="Calibri" w:cstheme="minorHAnsi"/>
      <w:i/>
    </w:rPr>
  </w:style>
  <w:style w:type="paragraph" w:styleId="Title">
    <w:name w:val="Title"/>
    <w:basedOn w:val="Normal"/>
    <w:next w:val="Normal"/>
    <w:link w:val="TitleChar"/>
    <w:uiPriority w:val="10"/>
    <w:qFormat/>
    <w:rsid w:val="001C37D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37D3"/>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F66C9B"/>
    <w:pPr>
      <w:spacing w:before="0" w:after="200" w:line="240" w:lineRule="auto"/>
      <w:jc w:val="center"/>
    </w:pPr>
    <w:rPr>
      <w:b/>
      <w:bCs/>
      <w:sz w:val="18"/>
      <w:szCs w:val="18"/>
    </w:rPr>
  </w:style>
  <w:style w:type="paragraph" w:styleId="TOC4">
    <w:name w:val="toc 4"/>
    <w:basedOn w:val="Normal"/>
    <w:next w:val="Normal"/>
    <w:autoRedefine/>
    <w:uiPriority w:val="39"/>
    <w:unhideWhenUsed/>
    <w:rsid w:val="00D76024"/>
    <w:pPr>
      <w:tabs>
        <w:tab w:val="right" w:leader="dot" w:pos="9180"/>
      </w:tabs>
      <w:spacing w:after="100"/>
      <w:ind w:left="600"/>
    </w:pPr>
  </w:style>
  <w:style w:type="paragraph" w:styleId="NormalWeb">
    <w:name w:val="Normal (Web)"/>
    <w:basedOn w:val="Normal"/>
    <w:uiPriority w:val="99"/>
    <w:semiHidden/>
    <w:unhideWhenUsed/>
    <w:rsid w:val="001A2C4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Ver">
    <w:name w:val="Ver"/>
    <w:basedOn w:val="Normal"/>
    <w:link w:val="VerChar"/>
    <w:autoRedefine/>
    <w:qFormat/>
    <w:rsid w:val="00A06DA6"/>
    <w:pPr>
      <w:spacing w:before="0" w:after="0"/>
    </w:pPr>
  </w:style>
  <w:style w:type="character" w:styleId="PlaceholderText">
    <w:name w:val="Placeholder Text"/>
    <w:basedOn w:val="DefaultParagraphFont"/>
    <w:uiPriority w:val="99"/>
    <w:semiHidden/>
    <w:rsid w:val="00A06DA6"/>
    <w:rPr>
      <w:color w:val="808080"/>
    </w:rPr>
  </w:style>
  <w:style w:type="character" w:customStyle="1" w:styleId="VerChar">
    <w:name w:val="Ver Char"/>
    <w:basedOn w:val="DefaultParagraphFont"/>
    <w:link w:val="Ver"/>
    <w:rsid w:val="00A06DA6"/>
    <w:rPr>
      <w:rFonts w:ascii="Calibri" w:hAnsi="Calibri" w:cstheme="minorHAnsi"/>
    </w:rPr>
  </w:style>
  <w:style w:type="paragraph" w:customStyle="1" w:styleId="NormalText1">
    <w:name w:val="Normal Text 1"/>
    <w:basedOn w:val="Normal"/>
    <w:link w:val="NormalText1Char"/>
    <w:qFormat/>
    <w:rsid w:val="00356E50"/>
  </w:style>
  <w:style w:type="paragraph" w:customStyle="1" w:styleId="NormalText2">
    <w:name w:val="Normal Text 2"/>
    <w:basedOn w:val="Normal"/>
    <w:link w:val="NormalText2Char"/>
    <w:qFormat/>
    <w:rsid w:val="00356E50"/>
    <w:pPr>
      <w:ind w:left="540"/>
    </w:pPr>
  </w:style>
  <w:style w:type="character" w:customStyle="1" w:styleId="NormalText1Char">
    <w:name w:val="Normal Text 1 Char"/>
    <w:basedOn w:val="DefaultParagraphFont"/>
    <w:link w:val="NormalText1"/>
    <w:rsid w:val="00356E50"/>
    <w:rPr>
      <w:rFonts w:ascii="Calibri" w:hAnsi="Calibri" w:cstheme="minorHAnsi"/>
    </w:rPr>
  </w:style>
  <w:style w:type="paragraph" w:customStyle="1" w:styleId="NormalText3">
    <w:name w:val="Normal Text 3"/>
    <w:basedOn w:val="Normal"/>
    <w:link w:val="NormalText3Char"/>
    <w:qFormat/>
    <w:rsid w:val="00356E50"/>
    <w:pPr>
      <w:ind w:left="1260"/>
    </w:pPr>
  </w:style>
  <w:style w:type="character" w:customStyle="1" w:styleId="NormalText2Char">
    <w:name w:val="Normal Text 2 Char"/>
    <w:basedOn w:val="DefaultParagraphFont"/>
    <w:link w:val="NormalText2"/>
    <w:rsid w:val="00356E50"/>
    <w:rPr>
      <w:rFonts w:ascii="Calibri" w:hAnsi="Calibri" w:cstheme="minorHAnsi"/>
    </w:rPr>
  </w:style>
  <w:style w:type="paragraph" w:customStyle="1" w:styleId="NormalText4">
    <w:name w:val="Normal Text 4"/>
    <w:basedOn w:val="Normal"/>
    <w:link w:val="NormalText4Char"/>
    <w:qFormat/>
    <w:rsid w:val="00356E50"/>
    <w:pPr>
      <w:ind w:left="1980"/>
    </w:pPr>
  </w:style>
  <w:style w:type="character" w:customStyle="1" w:styleId="NormalText3Char">
    <w:name w:val="Normal Text 3 Char"/>
    <w:basedOn w:val="DefaultParagraphFont"/>
    <w:link w:val="NormalText3"/>
    <w:rsid w:val="00356E50"/>
    <w:rPr>
      <w:rFonts w:ascii="Calibri" w:hAnsi="Calibri" w:cstheme="minorHAnsi"/>
    </w:rPr>
  </w:style>
  <w:style w:type="character" w:customStyle="1" w:styleId="NormalText4Char">
    <w:name w:val="Normal Text 4 Char"/>
    <w:basedOn w:val="DefaultParagraphFont"/>
    <w:link w:val="NormalText4"/>
    <w:rsid w:val="00356E50"/>
    <w:rPr>
      <w:rFonts w:ascii="Calibri" w:hAnsi="Calibri" w:cstheme="minorHAnsi"/>
    </w:rPr>
  </w:style>
  <w:style w:type="paragraph" w:styleId="TOCHeading">
    <w:name w:val="TOC Heading"/>
    <w:basedOn w:val="Heading1"/>
    <w:next w:val="Normal"/>
    <w:uiPriority w:val="39"/>
    <w:semiHidden/>
    <w:unhideWhenUsed/>
    <w:qFormat/>
    <w:rsid w:val="00EB5C61"/>
    <w:pPr>
      <w:numPr>
        <w:numId w:val="0"/>
      </w:numPr>
      <w:spacing w:before="480" w:after="0"/>
      <w:jc w:val="left"/>
      <w:outlineLvl w:val="9"/>
    </w:pPr>
    <w:rPr>
      <w:rFonts w:asciiTheme="majorHAnsi" w:hAnsiTheme="majorHAnsi" w:cstheme="majorBidi"/>
      <w:smallCaps w:val="0"/>
      <w:color w:val="365F91" w:themeColor="accent1" w:themeShade="BF"/>
      <w:lang w:eastAsia="ja-JP"/>
    </w:rPr>
  </w:style>
  <w:style w:type="table" w:customStyle="1" w:styleId="TableGrid1">
    <w:name w:val="Table Grid1"/>
    <w:basedOn w:val="TableNormal"/>
    <w:next w:val="TableGrid"/>
    <w:uiPriority w:val="59"/>
    <w:rsid w:val="008227F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ITMultilevelList1">
    <w:name w:val="EIT Multilevel List1"/>
    <w:uiPriority w:val="99"/>
    <w:rsid w:val="008227F5"/>
  </w:style>
  <w:style w:type="character" w:styleId="FollowedHyperlink">
    <w:name w:val="FollowedHyperlink"/>
    <w:basedOn w:val="DefaultParagraphFont"/>
    <w:uiPriority w:val="99"/>
    <w:semiHidden/>
    <w:unhideWhenUsed/>
    <w:rsid w:val="00C65636"/>
    <w:rPr>
      <w:color w:val="800080" w:themeColor="followedHyperlink"/>
      <w:u w:val="single"/>
    </w:rPr>
  </w:style>
  <w:style w:type="paragraph" w:styleId="BodyText2">
    <w:name w:val="Body Text 2"/>
    <w:basedOn w:val="Normal"/>
    <w:link w:val="BodyText2Char"/>
    <w:rsid w:val="00440E36"/>
    <w:pPr>
      <w:spacing w:before="60" w:after="120"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440E36"/>
    <w:rPr>
      <w:rFonts w:ascii="Times New Roman" w:eastAsia="Times New Roman" w:hAnsi="Times New Roman" w:cs="Times New Roman"/>
      <w:sz w:val="24"/>
      <w:szCs w:val="24"/>
    </w:rPr>
  </w:style>
  <w:style w:type="table" w:customStyle="1" w:styleId="TableGrid2">
    <w:name w:val="Table Grid2"/>
    <w:basedOn w:val="TableNormal"/>
    <w:next w:val="TableGrid"/>
    <w:uiPriority w:val="59"/>
    <w:rsid w:val="00440E36"/>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ITMultilevelList2">
    <w:name w:val="EIT Multilevel List2"/>
    <w:uiPriority w:val="99"/>
    <w:rsid w:val="00440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lend\Desktop\AFG-EIT-IG-TP-01_EIT-Document-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5898acf7-8989-428b-a323-d2fb15319613">12</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7A678F8A10684DBFD9882C6A0C4980" ma:contentTypeVersion="1" ma:contentTypeDescription="Create a new document." ma:contentTypeScope="" ma:versionID="10818b4d86c8e4b0fbeef16f2388d320">
  <xsd:schema xmlns:xsd="http://www.w3.org/2001/XMLSchema" xmlns:xs="http://www.w3.org/2001/XMLSchema" xmlns:p="http://schemas.microsoft.com/office/2006/metadata/properties" xmlns:ns2="5898acf7-8989-428b-a323-d2fb15319613" targetNamespace="http://schemas.microsoft.com/office/2006/metadata/properties" ma:root="true" ma:fieldsID="4cbe7d434a95058eef35c1776ffed89a" ns2:_="">
    <xsd:import namespace="5898acf7-8989-428b-a323-d2fb15319613"/>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8acf7-8989-428b-a323-d2fb15319613" elementFormDefault="qualified">
    <xsd:import namespace="http://schemas.microsoft.com/office/2006/documentManagement/types"/>
    <xsd:import namespace="http://schemas.microsoft.com/office/infopath/2007/PartnerControls"/>
    <xsd:element name="Category" ma:index="8" nillable="true" ma:displayName="Category" ma:list="{8447f060-1c44-4f4e-8d75-8c73a557a2f3}" ma:internalName="Category"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6A54D-53A8-4DC4-B9FA-27830C1BCC07}">
  <ds:schemaRefs>
    <ds:schemaRef ds:uri="http://schemas.microsoft.com/office/2006/metadata/properties"/>
    <ds:schemaRef ds:uri="http://schemas.microsoft.com/office/infopath/2007/PartnerControls"/>
    <ds:schemaRef ds:uri="5898acf7-8989-428b-a323-d2fb15319613"/>
  </ds:schemaRefs>
</ds:datastoreItem>
</file>

<file path=customXml/itemProps2.xml><?xml version="1.0" encoding="utf-8"?>
<ds:datastoreItem xmlns:ds="http://schemas.openxmlformats.org/officeDocument/2006/customXml" ds:itemID="{A5B9A12F-AA19-42BC-A2B1-82B6FE5A5667}">
  <ds:schemaRefs>
    <ds:schemaRef ds:uri="http://schemas.microsoft.com/sharepoint/v3/contenttype/forms"/>
  </ds:schemaRefs>
</ds:datastoreItem>
</file>

<file path=customXml/itemProps3.xml><?xml version="1.0" encoding="utf-8"?>
<ds:datastoreItem xmlns:ds="http://schemas.openxmlformats.org/officeDocument/2006/customXml" ds:itemID="{F36BE123-3723-4A45-99C2-E22F64204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8acf7-8989-428b-a323-d2fb153196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9884D2-766B-4492-81C4-63359B29F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AFG-EIT-IG-TP-01_EIT-Document-Template</Template>
  <TotalTime>4</TotalTime>
  <Pages>7</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HSH</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Glen DSouza-Business Partner</dc:creator>
  <cp:lastModifiedBy>Test</cp:lastModifiedBy>
  <cp:revision>4</cp:revision>
  <cp:lastPrinted>2012-06-05T13:35:00Z</cp:lastPrinted>
  <dcterms:created xsi:type="dcterms:W3CDTF">2018-03-11T10:06:00Z</dcterms:created>
  <dcterms:modified xsi:type="dcterms:W3CDTF">2020-07-07T18:48:00Z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0x010100C97A678F8A10684DBFD9882C6A0C4980</vt:lpwstr>
  </property>
  <property fmtid="{D5CDD505-2E9C-101B-9397-08002B2CF9AE}" pid="3" name="Order">
    <vt:r8>900</vt:r8>
  </property>
</Properties>
</file>