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B365D"/>
          <w:sz w:val="48"/>
        </w:rPr>
        <w:t>INFORME DE EVALUACIÓN ESTRATÉGICA</w:t>
      </w:r>
    </w:p>
    <w:p>
      <w:pPr>
        <w:spacing w:before="0" w:after="480"/>
        <w:jc w:val="left"/>
      </w:pPr>
      <w:r>
        <w:rPr>
          <w:rFonts w:ascii="Calibri" w:hAnsi="Calibri"/>
          <w:color w:val="4B6B94"/>
          <w:sz w:val="28"/>
        </w:rPr>
        <w:t>Proyecto: Uber Truck – Optimización Dinámica de Capacidad Logística Ociosa</w:t>
      </w:r>
    </w:p>
    <w:p>
      <w:pPr>
        <w:spacing w:after="480"/>
        <w:pBdr>
          <w:bottom w:val="single" w:sz="12" w:space="1" w:color="1B365D"/>
        </w:pBdr>
      </w:pPr>
    </w:p>
    <w:p>
      <w:pPr>
        <w:keepNext/>
        <w:spacing w:before="360" w:after="120"/>
      </w:pPr>
      <w:r>
        <w:rPr>
          <w:rFonts w:ascii="Calibri" w:hAnsi="Calibri"/>
          <w:b/>
          <w:color w:val="1B365D"/>
          <w:sz w:val="32"/>
        </w:rPr>
        <w:t>1. Definición del Concepto y Tesis de Valor</w:t>
      </w:r>
    </w:p>
    <w:p>
      <w:pPr>
        <w:spacing w:before="0" w:after="120" w:line="276" w:lineRule="auto"/>
      </w:pPr>
      <w:r>
        <w:rPr>
          <w:i w:val="0"/>
          <w:color w:val="2B2B2B"/>
        </w:rPr>
        <w:t>La propuesta concebida bajo el nombre preliminar de Uber Truck trasciende el concepto simplista de una plataforma de transporte por aplicación. Su verdadera esencia radica en la creación de un ecosistema de optimización dinámica de capacidad logística ociosa, resolviendo uno de los mayores dolores operativos e ineficiencias del transporte de carga pesada y media: el retorno vacío (backhaul).</w:t>
      </w:r>
    </w:p>
    <w:p>
      <w:pPr>
        <w:keepNext/>
        <w:spacing w:before="240" w:after="80"/>
      </w:pPr>
      <w:r>
        <w:rPr>
          <w:rFonts w:ascii="Calibri" w:hAnsi="Calibri"/>
          <w:b/>
          <w:color w:val="4B6B94"/>
          <w:sz w:val="26"/>
        </w:rPr>
        <w:t>El Problema Real de la Industria</w:t>
      </w:r>
    </w:p>
    <w:p>
      <w:pPr>
        <w:spacing w:before="0" w:after="120" w:line="276" w:lineRule="auto"/>
      </w:pPr>
      <w:r>
        <w:rPr>
          <w:i w:val="0"/>
          <w:color w:val="2B2B2B"/>
        </w:rPr>
        <w:t>El sector logístico actual, particularmente en Latinoamérica, padece un desajuste estructural severo entre la oferta y la demanda de espacio de carga:</w:t>
      </w:r>
    </w:p>
    <w:p>
      <w:pPr>
        <w:pStyle w:val="ListBullet"/>
        <w:spacing w:before="0" w:after="60" w:line="276" w:lineRule="auto"/>
      </w:pPr>
      <w:r>
        <w:rPr>
          <w:b/>
        </w:rPr>
        <w:t>Retornos ineficientes (Kilómetros vacíos): Camiones</w:t>
      </w:r>
      <w:r>
        <w:t xml:space="preserve"> que completan una entrega sectorial o interurbana y se ven obligados a regresar a su base sin carga, destruyendo su rentabilidad operativa.</w:t>
      </w:r>
    </w:p>
    <w:p>
      <w:pPr>
        <w:pStyle w:val="ListBullet"/>
        <w:spacing w:before="0" w:after="60" w:line="276" w:lineRule="auto"/>
      </w:pPr>
      <w:r>
        <w:rPr>
          <w:b/>
        </w:rPr>
        <w:t>Costos hundidos críticos: Combustible desperdiciado y salarios de choferes</w:t>
      </w:r>
      <w:r>
        <w:t xml:space="preserve"> asociados a la pérdida de tiempo y consumo de combustible sin facturación.</w:t>
      </w:r>
    </w:p>
    <w:p>
      <w:pPr>
        <w:pStyle w:val="ListBullet"/>
        <w:spacing w:before="0" w:after="60" w:line="276" w:lineRule="auto"/>
      </w:pPr>
      <w:r>
        <w:rPr>
          <w:b/>
        </w:rPr>
        <w:t>Barreras para PYMEs y dadores de carga: Empresas</w:t>
      </w:r>
      <w:r>
        <w:t xml:space="preserve"> que necesitan desplazar volúmenes medianos o pequeños de forma ágil, urgente y sin la fricción de firmar contratos marco a largo plazo o pasar por procesos lentos de cotización.</w:t>
      </w:r>
    </w:p>
    <w:p>
      <w:pPr>
        <w:keepNext/>
        <w:spacing w:before="240" w:after="80"/>
      </w:pPr>
      <w:r>
        <w:rPr>
          <w:rFonts w:ascii="Calibri" w:hAnsi="Calibri"/>
          <w:b/>
          <w:color w:val="4B6B94"/>
          <w:sz w:val="26"/>
        </w:rPr>
        <w:t>La Propuesta de Valor Diferencial</w:t>
      </w:r>
    </w:p>
    <w:p>
      <w:pPr>
        <w:spacing w:before="0" w:after="120" w:line="276" w:lineRule="auto"/>
      </w:pPr>
      <w:r>
        <w:rPr>
          <w:i w:val="0"/>
          <w:color w:val="2B2B2B"/>
        </w:rPr>
        <w:t>A diferencia de las plataformas tradicionales de corretaje digital de fletes que fallan al ignorar las especificaciones técnicas complejas de la carga, este enfoque introduce una variable inteligente y disruptiva: la gestión en tiempo real de la cubicación disponible, el peso máximo permitido, los tipos de carga compatibles y las ventanas de ruta preexistentes.</w:t>
      </w:r>
    </w:p>
    <w:p>
      <w:pPr>
        <w:keepNext/>
        <w:spacing w:before="360" w:after="120"/>
      </w:pPr>
      <w:r>
        <w:rPr>
          <w:rFonts w:ascii="Calibri" w:hAnsi="Calibri"/>
          <w:b/>
          <w:color w:val="1B365D"/>
          <w:sz w:val="32"/>
        </w:rPr>
        <w:t>2. Arquitectura del Producto Mínimo Viable (MVP)</w:t>
      </w:r>
    </w:p>
    <w:p>
      <w:pPr>
        <w:spacing w:before="0" w:after="120" w:line="276" w:lineRule="auto"/>
      </w:pPr>
      <w:r>
        <w:rPr>
          <w:i w:val="0"/>
          <w:color w:val="2B2B2B"/>
        </w:rPr>
        <w:t>Para validar esta hipótesis de negocio de la manera más rápida y eficiente posible, eliminando los riesgos de sobreingeniería inicial, el MVP se enfocará estrictamente en conectar la oferta y la demanda sin automatizaciones complejas, respondiendo a dos preguntas críticas:</w:t>
      </w:r>
    </w:p>
    <w:p>
      <w:pPr>
        <w:keepNext/>
        <w:spacing w:before="240" w:after="80"/>
      </w:pPr>
      <w:r>
        <w:rPr>
          <w:rFonts w:ascii="Calibri" w:hAnsi="Calibri"/>
          <w:b/>
          <w:color w:val="4B6B94"/>
          <w:sz w:val="26"/>
        </w:rPr>
        <w:t>Preguntas Críticas de Validación</w:t>
      </w:r>
    </w:p>
    <w:p>
      <w:pPr>
        <w:pStyle w:val="ListBullet"/>
        <w:spacing w:before="0" w:after="60" w:line="276" w:lineRule="auto"/>
      </w:pPr>
      <w:r>
        <w:rPr>
          <w:b/>
        </w:rPr>
        <w:t>1. Adopción de la oferta:</w:t>
      </w:r>
      <w:r>
        <w:t xml:space="preserve"> ¿Están dispuestos los transportistas autónomos y las flotas a reportar y monetizar su espacio sobrante en rutas activas a cambio de una transacción digital?</w:t>
      </w:r>
    </w:p>
    <w:p>
      <w:pPr>
        <w:pStyle w:val="ListBullet"/>
        <w:spacing w:before="0" w:after="60" w:line="276" w:lineRule="auto"/>
      </w:pPr>
      <w:r>
        <w:rPr>
          <w:b/>
        </w:rPr>
        <w:t>2. Confianza de la demanda:</w:t>
      </w:r>
      <w:r>
        <w:t xml:space="preserve"> ¿Confiarán las empresas sus mercancías incidentales o urgentes a una red abierta de capacidad disponible para abaratar costos y ganar velocidad?</w:t>
      </w:r>
    </w:p>
    <w:p>
      <w:pPr>
        <w:keepNext/>
        <w:spacing w:before="240" w:after="80"/>
      </w:pPr>
      <w:r>
        <w:rPr>
          <w:rFonts w:ascii="Calibri" w:hAnsi="Calibri"/>
          <w:b/>
          <w:color w:val="4B6B94"/>
          <w:sz w:val="26"/>
        </w:rPr>
        <w:t>Flujo Operativo Simple del MVP</w:t>
      </w:r>
    </w:p>
    <w:tbl>
      <w:tblPr>
        <w:tblW w:type="auto" w:w="0"/>
        <w:jc w:val="center"/>
        <w:tblLayout w:type="fixed"/>
        <w:tblLook w:firstColumn="1" w:firstRow="1" w:lastColumn="0" w:lastRow="0" w:noHBand="0" w:noVBand="1" w:val="04A0"/>
      </w:tblPr>
      <w:tblGrid>
        <w:gridCol w:w="4320"/>
        <w:gridCol w:w="4320"/>
      </w:tblGrid>
      <w:tr>
        <w:tc>
          <w:tcPr>
            <w:tcW w:type="dxa" w:w="2160"/>
            <w:shd w:val="clear" w:color="auto" w:fill="1B365D"/>
            <w:tcMar>
              <w:top w:w="120" w:type="dxa"/>
              <w:bottom w:w="120" w:type="dxa"/>
              <w:left w:w="150" w:type="dxa"/>
              <w:right w:w="150" w:type="dxa"/>
            </w:tcMar>
          </w:tcPr>
          <w:p>
            <w:r>
              <w:rPr>
                <w:b/>
                <w:color w:val="FFFFFF"/>
                <w:sz w:val="20"/>
              </w:rPr>
              <w:t>Rol / Actor</w:t>
            </w:r>
          </w:p>
        </w:tc>
        <w:tc>
          <w:tcPr>
            <w:tcW w:type="dxa" w:w="6480"/>
            <w:shd w:val="clear" w:color="auto" w:fill="1B365D"/>
            <w:tcMar>
              <w:top w:w="120" w:type="dxa"/>
              <w:bottom w:w="120" w:type="dxa"/>
              <w:left w:w="150" w:type="dxa"/>
              <w:right w:w="150" w:type="dxa"/>
            </w:tcMar>
          </w:tcPr>
          <w:p>
            <w:r>
              <w:rPr>
                <w:b/>
                <w:color w:val="FFFFFF"/>
                <w:sz w:val="20"/>
              </w:rPr>
              <w:t>Acción y Parámetros Esenciales en MVP</w:t>
            </w:r>
          </w:p>
        </w:tc>
      </w:tr>
      <w:tr>
        <w:tc>
          <w:tcPr>
            <w:tcW w:type="dxa" w:w="2160"/>
            <w:shd w:val="clear" w:color="auto" w:fill="FFFFFF"/>
            <w:tcMar>
              <w:top w:w="100" w:type="dxa"/>
              <w:bottom w:w="100" w:type="dxa"/>
              <w:left w:w="150" w:type="dxa"/>
              <w:right w:w="150" w:type="dxa"/>
            </w:tcMar>
            <w:vAlign w:val="center"/>
          </w:tcPr>
          <w:p>
            <w:pPr>
              <w:spacing w:line="276" w:lineRule="auto"/>
            </w:pPr>
            <w:r>
              <w:rPr>
                <w:b/>
                <w:color w:val="1B365D"/>
                <w:sz w:val="20"/>
              </w:rPr>
              <w:t>Camionero / Oferta</w:t>
            </w:r>
          </w:p>
        </w:tc>
        <w:tc>
          <w:tcPr>
            <w:tcW w:type="dxa" w:w="6480"/>
            <w:shd w:val="clear" w:color="auto" w:fill="FFFFFF"/>
            <w:tcMar>
              <w:top w:w="100" w:type="dxa"/>
              <w:bottom w:w="100" w:type="dxa"/>
              <w:left w:w="150" w:type="dxa"/>
              <w:right w:w="150" w:type="dxa"/>
            </w:tcMar>
            <w:vAlign w:val="center"/>
          </w:tcPr>
          <w:p>
            <w:pPr>
              <w:spacing w:line="276" w:lineRule="auto"/>
            </w:pPr>
            <w:r>
              <w:rPr>
                <w:sz w:val="20"/>
              </w:rPr>
              <w:t>Apertura de canal y reporte manual: Ubicación actual, ruta de destino planeada, cubicación disponible (ej. medio camión, espacio para 3 pallets), tipo de carga permitida y horario disponible.</w:t>
            </w:r>
          </w:p>
        </w:tc>
      </w:tr>
      <w:tr>
        <w:tc>
          <w:tcPr>
            <w:tcW w:type="dxa" w:w="2160"/>
            <w:shd w:val="clear" w:color="auto" w:fill="F4F6F8"/>
            <w:tcMar>
              <w:top w:w="100" w:type="dxa"/>
              <w:bottom w:w="100" w:type="dxa"/>
              <w:left w:w="150" w:type="dxa"/>
              <w:right w:w="150" w:type="dxa"/>
            </w:tcMar>
            <w:vAlign w:val="center"/>
          </w:tcPr>
          <w:p>
            <w:pPr>
              <w:spacing w:line="276" w:lineRule="auto"/>
            </w:pPr>
            <w:r>
              <w:rPr>
                <w:b/>
                <w:color w:val="1B365D"/>
                <w:sz w:val="20"/>
              </w:rPr>
              <w:t>Empresa / Demanda</w:t>
            </w:r>
          </w:p>
        </w:tc>
        <w:tc>
          <w:tcPr>
            <w:tcW w:type="dxa" w:w="6480"/>
            <w:shd w:val="clear" w:color="auto" w:fill="F4F6F8"/>
            <w:tcMar>
              <w:top w:w="100" w:type="dxa"/>
              <w:bottom w:w="100" w:type="dxa"/>
              <w:left w:w="150" w:type="dxa"/>
              <w:right w:w="150" w:type="dxa"/>
            </w:tcMar>
            <w:vAlign w:val="center"/>
          </w:tcPr>
          <w:p>
            <w:pPr>
              <w:spacing w:line="276" w:lineRule="auto"/>
            </w:pPr>
            <w:r>
              <w:rPr>
                <w:sz w:val="20"/>
              </w:rPr>
              <w:t>Publicación de requerimiento inmediato: Punto de origen, punto de destino, volumen físico/peso de la mercancía (ej. 2 pallets), y margen de urgencia temporal.</w:t>
            </w:r>
          </w:p>
        </w:tc>
      </w:tr>
    </w:tbl>
    <w:p>
      <w:pPr>
        <w:spacing w:after="120"/>
      </w:pPr>
    </w:p>
    <w:p>
      <w:pPr>
        <w:keepNext/>
        <w:spacing w:before="360" w:after="120"/>
      </w:pPr>
      <w:r>
        <w:rPr>
          <w:rFonts w:ascii="Calibri" w:hAnsi="Calibri"/>
          <w:b/>
          <w:color w:val="1B365D"/>
          <w:sz w:val="32"/>
        </w:rPr>
        <w:t>3. Nuevas Apreciaciones Estratégicas y Modelo de Negocio</w:t>
      </w:r>
    </w:p>
    <w:p>
      <w:pPr>
        <w:spacing w:before="0" w:after="120" w:line="276" w:lineRule="auto"/>
      </w:pPr>
      <w:r>
        <w:rPr>
          <w:b/>
          <w:color w:val="2B2B2B"/>
        </w:rPr>
        <w:t xml:space="preserve">Nota de Expansión: </w:t>
      </w:r>
      <w:r>
        <w:rPr>
          <w:i w:val="0"/>
          <w:color w:val="2B2B2B"/>
        </w:rPr>
        <w:t>A continuación, se exponen análisis y consideraciones tácticas críticas desarrolladas en profundidad para transformar este concepto en una solución B2B altamente escalable, sostenible y financieramente atractiva.</w:t>
      </w:r>
    </w:p>
    <w:p>
      <w:pPr>
        <w:keepNext/>
        <w:spacing w:before="240" w:after="80"/>
      </w:pPr>
      <w:r>
        <w:rPr>
          <w:rFonts w:ascii="Calibri" w:hAnsi="Calibri"/>
          <w:b/>
          <w:color w:val="4B6B94"/>
          <w:sz w:val="26"/>
        </w:rPr>
        <w:t>A. El Modelo de Monetización Evolutivo</w:t>
      </w:r>
    </w:p>
    <w:p>
      <w:pPr>
        <w:spacing w:before="0" w:after="120" w:line="276" w:lineRule="auto"/>
      </w:pPr>
      <w:r>
        <w:rPr>
          <w:i w:val="0"/>
          <w:color w:val="2B2B2B"/>
        </w:rPr>
        <w:t>El Marketplace de logística de capacidad ociosa requiere un esquema de monetización por fases para no generar barreras de entrada extremas al inicio:</w:t>
      </w:r>
    </w:p>
    <w:p>
      <w:pPr>
        <w:pStyle w:val="ListBullet"/>
        <w:spacing w:before="0" w:after="60" w:line="276" w:lineRule="auto"/>
      </w:pPr>
      <w:r>
        <w:rPr>
          <w:b/>
        </w:rPr>
        <w:t>Fase 1: Take Rate Transaccional Pura.</w:t>
      </w:r>
      <w:r>
        <w:t xml:space="preserve"> Un porcentaje directo (sugerido entre 12% y 15%) sobre el valor acordado del flete incidental. Dado que para el camionero este ingreso es puramente incremental (el costo de retorno ya estaba asumido), la tolerancia a comisiones competitivas es alta.</w:t>
      </w:r>
    </w:p>
    <w:p>
      <w:pPr>
        <w:pStyle w:val="ListBullet"/>
        <w:spacing w:before="0" w:after="60" w:line="276" w:lineRule="auto"/>
      </w:pPr>
      <w:r>
        <w:rPr>
          <w:b/>
        </w:rPr>
        <w:t>Fase 2: Modelo Híbrido (SaaS + Transaccional).</w:t>
      </w:r>
      <w:r>
        <w:t xml:space="preserve"> Tarifa de suscripción fija para dadores de carga frecuentes (empresas), otorgando acceso a un dashboard avanzado, reportes de huella de carbono mitigada y prioridad de asignación.</w:t>
      </w:r>
    </w:p>
    <w:p>
      <w:pPr>
        <w:keepNext/>
        <w:spacing w:before="240" w:after="80"/>
      </w:pPr>
      <w:r>
        <w:rPr>
          <w:rFonts w:ascii="Calibri" w:hAnsi="Calibri"/>
          <w:b/>
          <w:color w:val="4B6B94"/>
          <w:sz w:val="26"/>
        </w:rPr>
        <w:t>B. Mitigación de los 'Puntos de Dolor Críticos' en LATAM</w:t>
      </w:r>
    </w:p>
    <w:p>
      <w:pPr>
        <w:spacing w:before="0" w:after="120" w:line="276" w:lineRule="auto"/>
      </w:pPr>
      <w:r>
        <w:rPr>
          <w:i w:val="0"/>
          <w:color w:val="2B2B2B"/>
        </w:rPr>
        <w:t>El principal desafío no radica en la interfaz tecnológica, sino en la gestión del riesgo y la confianza operativa en un mercado logístico altamente fragmentado e informal como el latinoamericano. Se proponen las siguientes soluciones estratégicas:</w:t>
      </w:r>
    </w:p>
    <w:p>
      <w:pPr>
        <w:pStyle w:val="ListBullet"/>
        <w:spacing w:before="0" w:after="60" w:line="276" w:lineRule="auto"/>
      </w:pPr>
      <w:r>
        <w:rPr>
          <w:b/>
        </w:rPr>
        <w:t>Seguridad y Pólizas Dinámicas:</w:t>
      </w:r>
      <w:r>
        <w:t xml:space="preserve"> Alianza estratégica con InsurTechs para emitir microseguros automatizados de carga por trayecto (On-Demand Insurance), cobrados directamente dentro de la comisión de la plataforma.</w:t>
      </w:r>
    </w:p>
    <w:p>
      <w:pPr>
        <w:pStyle w:val="ListBullet"/>
        <w:spacing w:before="0" w:after="60" w:line="276" w:lineRule="auto"/>
      </w:pPr>
      <w:r>
        <w:rPr>
          <w:b/>
        </w:rPr>
        <w:t>Verificación Antifraude y Cumplimiento:</w:t>
      </w:r>
      <w:r>
        <w:t xml:space="preserve"> KYC (Know Your Customer) riguroso integrado vía API con organismos de tránsito y de justicia para validar la vigencia de la licencia profesional del conductor, antecedentes y la revisión técnica del vehículo antes de su activación.</w:t>
      </w:r>
    </w:p>
    <w:p>
      <w:pPr>
        <w:pStyle w:val="ListBullet"/>
        <w:spacing w:before="0" w:after="60" w:line="276" w:lineRule="auto"/>
      </w:pPr>
      <w:r>
        <w:rPr>
          <w:b/>
        </w:rPr>
        <w:t>Protocolo de Reputación Dinámica:</w:t>
      </w:r>
      <w:r>
        <w:t xml:space="preserve"> Sistema bidireccional donde la empresa califica el cuidado de la carga y puntualidad, y el transportista califica los tiempos de espera en las bahías de carga/descarga de la empresa (un dolor enorme para los choferes).</w:t>
      </w:r>
    </w:p>
    <w:p>
      <w:pPr>
        <w:keepNext/>
        <w:spacing w:before="240" w:after="80"/>
      </w:pPr>
      <w:r>
        <w:rPr>
          <w:rFonts w:ascii="Calibri" w:hAnsi="Calibri"/>
          <w:b/>
          <w:color w:val="4B6B94"/>
          <w:sz w:val="26"/>
        </w:rPr>
        <w:t>C. El Activo Escondido: La Red de Capacidad Abierta (Open Capacity Network)</w:t>
      </w:r>
    </w:p>
    <w:p>
      <w:pPr>
        <w:spacing w:before="0" w:after="120" w:line="276" w:lineRule="auto"/>
      </w:pPr>
      <w:r>
        <w:rPr>
          <w:i w:val="0"/>
          <w:color w:val="2B2B2B"/>
        </w:rPr>
        <w:t>A mediano plazo, el valor estratégico de la empresa se desplaza del software transaccional hacia la propiedad de la base de datos de flujo logístico predictivo en tiempo real. Esto permitirá el despliegue de:</w:t>
      </w:r>
    </w:p>
    <w:p>
      <w:pPr>
        <w:pStyle w:val="ListBullet"/>
        <w:spacing w:before="0" w:after="60" w:line="276" w:lineRule="auto"/>
      </w:pPr>
      <w:r>
        <w:rPr>
          <w:b/>
        </w:rPr>
        <w:t>Consolidación de Carga Inteligente:</w:t>
      </w:r>
      <w:r>
        <w:t xml:space="preserve"> Algoritmos que unifiquen cargas fraccionadas de múltiples empresas pequeñas para llenar por completo una unidad disponible en una ruta troncal común (LTL - Less-Than-Truckload).</w:t>
      </w:r>
    </w:p>
    <w:p>
      <w:pPr>
        <w:pStyle w:val="ListBullet"/>
        <w:spacing w:before="0" w:after="60" w:line="276" w:lineRule="auto"/>
      </w:pPr>
      <w:r>
        <w:rPr>
          <w:b/>
        </w:rPr>
        <w:t>Estrategias de Dynamic Pricing y Yield Management:</w:t>
      </w:r>
      <w:r>
        <w:t xml:space="preserve"> Precios ajustados automáticamente según la urgencia de la entrega, condiciones meteorológicas, congestión de puertos y la escasez de oferta vehicular en zonas específicas.</w:t>
      </w:r>
    </w:p>
    <w:p>
      <w:pPr>
        <w:pStyle w:val="ListBullet"/>
        <w:spacing w:before="0" w:after="60" w:line="276" w:lineRule="auto"/>
      </w:pPr>
      <w:r>
        <w:rPr>
          <w:b/>
        </w:rPr>
        <w:t>Monetización de Data Logística Secundaria:</w:t>
      </w:r>
      <w:r>
        <w:t xml:space="preserve"> Venta de datos agregados y anonimizados de flujos y cuellos de botella de transporte a gobiernos, constructoras y grandes multinacionales de consumo masivo para optimizar su supply chain.</w:t>
      </w:r>
    </w:p>
    <w:p>
      <w:pPr>
        <w:keepNext/>
        <w:spacing w:before="360" w:after="120"/>
      </w:pPr>
      <w:r>
        <w:rPr>
          <w:rFonts w:ascii="Calibri" w:hAnsi="Calibri"/>
          <w:b/>
          <w:color w:val="1B365D"/>
          <w:sz w:val="32"/>
        </w:rPr>
        <w:t>4. Conclusión y Viabilidad Comparativa</w:t>
      </w:r>
    </w:p>
    <w:p>
      <w:pPr>
        <w:spacing w:before="0" w:after="120" w:line="276" w:lineRule="auto"/>
      </w:pPr>
      <w:r>
        <w:rPr>
          <w:b/>
          <w:color w:val="2B2B2B"/>
        </w:rPr>
        <w:t xml:space="preserve">Evaluación de Potencial: </w:t>
      </w:r>
      <w:r>
        <w:rPr>
          <w:i w:val="0"/>
          <w:color w:val="2B2B2B"/>
        </w:rPr>
        <w:t>En comparación directa con otras iniciativas conceptuales analizadas en el portafolio (como Chanchi o el copiloto financiero), Uber Truck destaca drásticamente por poseer el potencial de escalabilidad y tracción B2B inmediata más elevado.</w:t>
      </w:r>
    </w:p>
    <w:tbl>
      <w:tblPr>
        <w:tblW w:type="auto" w:w="0"/>
        <w:jc w:val="center"/>
        <w:tblLayout w:type="fixed"/>
        <w:tblLook w:firstColumn="1" w:firstRow="1" w:lastColumn="0" w:lastRow="0" w:noHBand="0" w:noVBand="1" w:val="04A0"/>
      </w:tblPr>
      <w:tblGrid>
        <w:gridCol w:w="8640"/>
      </w:tblGrid>
      <w:tr>
        <w:tc>
          <w:tcPr>
            <w:tcW w:type="dxa" w:w="8640"/>
            <w:shd w:val="clear" w:color="auto" w:fill="F4F6F8"/>
            <w:tcMar>
              <w:top w:w="160" w:type="dxa"/>
              <w:bottom w:w="160" w:type="dxa"/>
              <w:left w:w="240" w:type="dxa"/>
              <w:right w:w="200" w:type="dxa"/>
            </w:tcMar>
            <w:tcBorders>
              <w:top w:val="none"/>
              <w:left w:sz="24" w:val="single" w:color="1B365D"/>
              <w:bottom w:val="none"/>
              <w:right w:val="none"/>
            </w:tcBorders>
          </w:tcPr>
          <w:p>
            <w:pPr>
              <w:spacing w:before="40" w:after="80" w:line="276" w:lineRule="auto"/>
            </w:pPr>
            <w:r>
              <w:rPr>
                <w:rFonts w:ascii="Calibri" w:hAnsi="Calibri"/>
                <w:b/>
                <w:color w:val="333333"/>
                <w:sz w:val="21"/>
              </w:rPr>
              <w:t>Resumen Ejecutivo de Viabilidad:</w:t>
            </w:r>
          </w:p>
          <w:p>
            <w:pPr>
              <w:spacing w:before="40" w:after="80" w:line="276" w:lineRule="auto"/>
            </w:pPr>
            <w:r>
              <w:rPr>
                <w:rFonts w:ascii="Calibri" w:hAnsi="Calibri"/>
                <w:i/>
                <w:color w:val="333333"/>
                <w:sz w:val="21"/>
              </w:rPr>
              <w:t>El dolor económico subyacente es explícito: las ineficiencias de retorno cuestan miles de millones de dólares anuales a nivel regional. La capacidad de monetizar un trayecto que ya se daba por perdido permite ofrecer precios sumamente competitivos a la demanda, mientras se incrementa directamente el margen neto del transportista. La simplicidad del MVP propuesto faculta el inicio inmediato de operaciones sin incurrir en costos de capital intensivos.</w:t>
            </w:r>
          </w:p>
          <w:p>
            <w:pPr>
              <w:spacing w:before="40" w:after="80" w:line="276" w:lineRule="auto"/>
            </w:pPr>
            <w:r>
              <w:rPr>
                <w:rFonts w:ascii="Calibri" w:hAnsi="Calibri"/>
                <w:i/>
                <w:color w:val="333333"/>
                <w:sz w:val="21"/>
              </w:rPr>
              <w:t>Prioridad de Ejecución: Máxima.</w:t>
            </w:r>
          </w:p>
        </w:tc>
      </w:tr>
    </w:tbl>
    <w:p>
      <w:pPr>
        <w:spacing w:before="0" w:after="160"/>
      </w:pPr>
    </w:p>
    <w:p>
      <w:pPr>
        <w:keepNext/>
        <w:spacing w:before="240" w:after="80"/>
      </w:pPr>
      <w:r>
        <w:rPr>
          <w:rFonts w:ascii="Calibri" w:hAnsi="Calibri"/>
          <w:b/>
          <w:color w:val="4B6B94"/>
          <w:sz w:val="26"/>
        </w:rPr>
        <w:t>Próximos Pasos Recomendados (Roadmap Inmediato)</w:t>
      </w:r>
    </w:p>
    <w:p>
      <w:pPr>
        <w:pStyle w:val="ListBullet"/>
        <w:spacing w:before="0" w:after="60" w:line="276" w:lineRule="auto"/>
      </w:pPr>
      <w:r>
        <w:rPr>
          <w:b/>
        </w:rPr>
        <w:t>1. Descubrimiento de Clientes:</w:t>
      </w:r>
      <w:r>
        <w:t xml:space="preserve"> Entrevistar a 15 transportistas independientes y 10 gerentes de operaciones logísticas PYME en un nodo industrial específico (ej. San Bernardo o zonas de alta densidad) para validar disposición de precios.</w:t>
      </w:r>
    </w:p>
    <w:p>
      <w:pPr>
        <w:pStyle w:val="ListBullet"/>
        <w:spacing w:before="0" w:after="60" w:line="276" w:lineRule="auto"/>
      </w:pPr>
      <w:r>
        <w:rPr>
          <w:b/>
        </w:rPr>
        <w:t>2. Conserje MVP:</w:t>
      </w:r>
      <w:r>
        <w:t xml:space="preserve"> Diseñar un prototipo no funcional ('No-Code') utilizando herramientas como WhatsApp Business, formularios de Airtable y geolocalización manual para coordinar los primeros 20 emparejamientos de prueba.</w:t>
      </w:r>
    </w:p>
    <w:p>
      <w:pPr>
        <w:pStyle w:val="ListBullet"/>
        <w:spacing w:before="0" w:after="60" w:line="276" w:lineRule="auto"/>
      </w:pPr>
      <w:r>
        <w:rPr>
          <w:b/>
        </w:rPr>
        <w:t>3. Estructuración Legal Básica:</w:t>
      </w:r>
      <w:r>
        <w:t xml:space="preserve"> Definir los términos legales mínimos y el alcance del seguro de carga para el piloto controlado.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