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Modelo de negocio — Uber Truck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Marketplace de capacidad logística ociosa (backhaul), Chile.</w:t>
      </w:r>
      <w:r>
        <w:rPr/>
        <w:br w:type="textWrapping"/>
      </w:r>
      <w:r>
        <w:rPr>
          <w:b/>
        </w:rPr>
        <w:t xml:space="preserve">Versión:</w:t>
      </w:r>
      <w:r>
        <w:rPr/>
        <w:t xml:space="preserve"> 2.3 · 25 may 2026 · Complementa </w:t>
      </w:r>
      <w:hyperlink r:id="rId6">
        <w:r>
          <w:rPr>
            <w:rStyle w:val="Hyperlink"/>
          </w:rPr>
          <w:t xml:space="preserve">memoria técnica v4.1</w:t>
        </w:r>
      </w:hyperlink>
    </w:p>
    <w:p>
      <w:pPr>
        <w:spacing w:lineRule="auto"/>
      </w:pPr>
      <w:hyperlink r:id="rId7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Inicio app</w:t>
        </w:r>
      </w:hyperlink>
    </w:p>
    <w:p>
      <w:pPr>
        <w:pStyle w:val="Heading2"/>
        <w:spacing w:lineRule="auto"/>
      </w:pPr>
      <w:r>
        <w:rPr/>
        <w:t xml:space="preserve">1. Tesis</w:t>
      </w:r>
    </w:p>
    <w:p>
      <w:pPr>
        <w:spacing w:lineRule="auto"/>
      </w:pPr>
      <w:r>
        <w:rPr/>
        <w:t xml:space="preserve">Monetizar cubicación </w:t>
      </w:r>
      <w:r>
        <w:rPr>
          <w:b/>
        </w:rPr>
        <w:t xml:space="preserve">ociosa en rutas ya planificadas</w:t>
      </w:r>
      <w:r>
        <w:rPr/>
        <w:t xml:space="preserve"> (backhaul). El producto se entrega como </w:t>
      </w:r>
      <w:r>
        <w:rPr>
          <w:b/>
        </w:rPr>
        <w:t xml:space="preserve">una app tipo Uber</w:t>
      </w:r>
      <w:r>
        <w:rPr/>
        <w:t xml:space="preserve"> para carga por camión: el usuario entiende el flujo sin capacitación larga.</w:t>
      </w:r>
    </w:p>
    <w:p>
      <w:pPr>
        <w:pStyle w:val="Heading2"/>
        <w:spacing w:lineRule="auto"/>
      </w:pPr>
      <w:r>
        <w:rPr/>
        <w:t xml:space="preserve">2. Estrategia en dos tiempos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Horizonte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qué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Ahora (MVP)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propia Uber Truck en web → usuarios y viajes reales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Validar demanda, take rate y retención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Después (con tracción)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Add-on / API integrable en plataformas grandes (movilidad, logística)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competir de entrada; demostrar valor con datos y GMV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Todo el piloto (20 viajes, métricas, confianza) ocurre </w:t>
      </w:r>
      <w:r>
        <w:rPr>
          <w:b/>
        </w:rPr>
        <w:t xml:space="preserve">dentro de la app</w:t>
      </w:r>
      <w:r>
        <w:rPr/>
        <w:t xml:space="preserve">, no en WhatsApp ni planillas externas.</w:t>
      </w:r>
    </w:p>
    <w:p>
      <w:pPr>
        <w:pStyle w:val="Heading2"/>
        <w:spacing w:lineRule="auto"/>
      </w:pPr>
      <w:r>
        <w:rPr/>
        <w:t xml:space="preserve">3. Propuesta de valor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Analogía Uber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Ingreso marginal en trayecto que ya pagaba fijo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 aprovecha viaje planificado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PYME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incidental rápida, sin corredor lento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Pasajero pide viaje al instante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Ecosistema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Menos km vacíos, menor huella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Eficiencia de red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Monetización</w:t>
      </w:r>
    </w:p>
    <w:p>
      <w:pPr>
        <w:pStyle w:val="Heading3"/>
        <w:spacing w:lineRule="auto"/>
      </w:pPr>
      <w:r>
        <w:rPr/>
        <w:t xml:space="preserve">Fase A — Take rate dual (MVP — diseño cerrado may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Visibilidad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  <w:p>
            <w:pPr>
              <w:spacing w:lineRule="auto"/>
            </w:pPr>
            <w:r>
              <w:rPr/>
              <w:t xml:space="preserve"> «Servicio Cubik»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su 10%; no ve el 5% del 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5%</w:t>
            </w:r>
          </w:p>
          <w:p>
            <w:pPr>
              <w:spacing w:lineRule="auto"/>
            </w:pPr>
            <w:r>
              <w:rPr/>
              <w:t xml:space="preserve"> comisión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su 5%; no ve el 10% del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15%</w:t>
            </w:r>
          </w:p>
          <w:p>
            <w:pPr>
              <w:spacing w:lineRule="auto"/>
            </w:pPr>
            <w:r>
              <w:rPr/>
              <w:t xml:space="preserve"> efectivo del GMV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Ejemplo</w:t>
      </w:r>
      <w:r>
        <w:rPr/>
        <w:t xml:space="preserve"> flete $1.200.000: Cubik ingresa $180.000; embarcador paga $1.320.000 al salir en ruta; transportista recibe $1.140.000 al completar.</w:t>
      </w:r>
    </w:p>
    <w:p>
      <w:pPr>
        <w:spacing w:lineRule="auto"/>
      </w:pPr>
      <w:r>
        <w:rPr>
          <w:b/>
        </w:rPr>
        <w:t xml:space="preserve">Cobro:</w:t>
      </w:r>
      <w:r>
        <w:rPr>
          <w:b/>
        </w:rPr>
        <w:t xml:space="preserve">Cubik Saldo</w:t>
      </w:r>
      <w:r>
        <w:rPr/>
        <w:t xml:space="preserve"> (wallet tipo Uber Cash), sin efectivo. Publicar requiere 20% del presupuesto máximo en saldo; retención al </w:t>
      </w:r>
      <w:r>
        <w:rPr>
          <w:b/>
        </w:rPr>
        <w:t xml:space="preserve">Marcar en ruta</w:t>
      </w:r>
      <w:r>
        <w:rPr/>
        <w:t xml:space="preserve">; liberación al completar. Tier ≥ </w:t>
      </w:r>
      <w:r>
        <w:rPr>
          <w:b/>
        </w:rPr>
        <w:t xml:space="preserve">$1.000.000</w:t>
      </w:r>
      <w:r>
        <w:rPr/>
        <w:t xml:space="preserve">: factura + saldo/transferencia registrada.</w:t>
      </w:r>
    </w:p>
    <w:p>
      <w:pPr>
        <w:spacing w:lineRule="auto"/>
      </w:pPr>
      <w:r>
        <w:rPr>
          <w:b/>
        </w:rPr>
        <w:t xml:space="preserve">Piloto v0.0.100–0.0.105:</w:t>
      </w:r>
      <w:r>
        <w:rPr/>
        <w:t xml:space="preserve"> comisiones 10/5 simuladas post-</w:t>
      </w:r>
      <w:r>
        <w:rPr/>
        <w:t xml:space="preserve">completed</w:t>
      </w:r>
      <w:r>
        <w:rPr/>
        <w:t xml:space="preserve">; sin wallet real aún. GMV piloto = simulación UI.</w:t>
      </w:r>
    </w:p>
    <w:p>
      <w:pPr>
        <w:pStyle w:val="Heading3"/>
        <w:spacing w:lineRule="auto"/>
      </w:pPr>
      <w:r>
        <w:rPr/>
        <w:t xml:space="preserve">Sugerencia de presupuesto al publicar (v0.0.105)</w:t>
      </w:r>
    </w:p>
    <w:p>
      <w:pPr>
        <w:spacing w:lineRule="auto"/>
      </w:pPr>
      <w:r>
        <w:rPr/>
        <w:t xml:space="preserve">La app propone un rango orientativo al embarcador (</w:t>
      </w:r>
      <w:r>
        <w:rPr/>
        <w:t xml:space="preserve">POST /api/maps/budget-estimate</w:t>
      </w:r>
      <w:r>
        <w:rPr/>
        <w:t xml:space="preserve">). Coeficientes calibrados corredor RM–Valparaíso (jun 2026): base </w:t>
      </w:r>
      <w:r>
        <w:rPr>
          <w:b/>
        </w:rPr>
        <w:t xml:space="preserve">$80.000</w:t>
      </w:r>
      <w:r>
        <w:rPr/>
        <w:t xml:space="preserve">, </w:t>
      </w:r>
      <w:r>
        <w:rPr>
          <w:b/>
        </w:rPr>
        <w:t xml:space="preserve">$450/km</w:t>
      </w:r>
      <w:r>
        <w:rPr/>
        <w:t xml:space="preserve">, </w:t>
      </w:r>
      <w:r>
        <w:rPr>
          <w:b/>
        </w:rPr>
        <w:t xml:space="preserve">$22/kg</w:t>
      </w:r>
      <w:r>
        <w:rPr/>
        <w:t xml:space="preserve">, urgente ×1,18; rango publicado 82%–125%. Ejemplo Renca–La Serena (~463 km, 12 t): ~$452k–$691k vs viaje acordado ~$570k. Configurable en Railway (</w:t>
      </w:r>
      <w:r>
        <w:rPr/>
        <w:t xml:space="preserve">BUDGET_*</w:t>
      </w:r>
      <w:r>
        <w:rPr/>
        <w:t xml:space="preserve">). No bloquea ofertas fuera de rango.</w:t>
      </w:r>
    </w:p>
    <w:p>
      <w:pPr>
        <w:spacing w:lineRule="auto"/>
      </w:pPr>
      <w:r>
        <w:rPr/>
        <w:t xml:space="preserve">Comparación con costo logístico por kg de informes internos (red masiva, tramos «Recepción»): no es comparable 1:1 con flete spot dedicado; ver canvas </w:t>
      </w:r>
      <w:r>
        <w:rPr/>
        <w:t xml:space="preserve">comparacion-costos-transporte</w:t>
      </w:r>
      <w:r>
        <w:rPr/>
        <w:t xml:space="preserve">.</w:t>
      </w:r>
    </w:p>
    <w:p>
      <w:pPr>
        <w:spacing w:lineRule="auto"/>
      </w:pPr>
      <w:r>
        <w:rPr/>
        <w:t xml:space="preserve">Implementación wallet/escrow producción: siguiente etapa. Tarifario por corredor/tipo camión: futuro.</w:t>
      </w:r>
    </w:p>
    <w:p>
      <w:pPr>
        <w:pStyle w:val="Heading3"/>
        <w:spacing w:lineRule="auto"/>
      </w:pPr>
      <w:r>
        <w:rPr/>
        <w:t xml:space="preserve">Fase B — Cubik Plus Empresa (tipo Uber One)</w:t>
      </w:r>
    </w:p>
    <w:p>
      <w:pPr>
        <w:spacing w:lineRule="auto"/>
      </w:pPr>
      <w:r>
        <w:rPr/>
        <w:t xml:space="preserve">Suscripción mensual para embarcadores de alto volumen → descuento en fee embarcador (ej. 10% → 7%). Banner de ahorro en checkout. Plan transportista opcional post-M2.</w:t>
      </w:r>
    </w:p>
    <w:p>
      <w:pPr>
        <w:pStyle w:val="Heading3"/>
        <w:spacing w:lineRule="auto"/>
      </w:pPr>
      <w:r>
        <w:rPr/>
        <w:t xml:space="preserve">Fase C — Datos y add-on B2B</w:t>
      </w:r>
    </w:p>
    <w:p>
      <w:pPr>
        <w:spacing w:lineRule="auto"/>
      </w:pPr>
      <w:r>
        <w:rPr/>
        <w:t xml:space="preserve">Red de capacidad predictiva; módulo integrable para socios (API/widgets) con métricas agregadas anonimizadas.</w:t>
      </w:r>
    </w:p>
    <w:p>
      <w:pPr>
        <w:pStyle w:val="Heading2"/>
        <w:spacing w:lineRule="auto"/>
      </w:pPr>
      <w:r>
        <w:rPr/>
        <w:t xml:space="preserve">5. Ventaja competitiva</w:t>
      </w:r>
    </w:p>
    <w:p>
      <w:pPr>
        <w:numPr>
          <w:ilvl w:val="0"/>
          <w:numId w:val="1"/>
        </w:numPr>
        <w:spacing w:lineRule="auto"/>
      </w:pPr>
      <w:r>
        <w:rPr/>
        <w:t xml:space="preserve">UX familiar (patrón Uber) → menor fricción de adopción.</w:t>
      </w:r>
    </w:p>
    <w:p>
      <w:pPr>
        <w:numPr>
          <w:ilvl w:val="0"/>
          <w:numId w:val="1"/>
        </w:numPr>
        <w:spacing w:lineRule="auto"/>
      </w:pPr>
      <w:r>
        <w:rPr/>
        <w:t xml:space="preserve">Match por </w:t>
      </w:r>
      <w:r>
        <w:rPr>
          <w:b/>
        </w:rPr>
        <w:t xml:space="preserve">cubicación, corredor y tipo de carga</w:t>
      </w:r>
      <w:r>
        <w:rPr/>
        <w:t xml:space="preserve">, no solo listado de fletes.</w:t>
      </w:r>
    </w:p>
    <w:p>
      <w:pPr>
        <w:numPr>
          <w:ilvl w:val="0"/>
          <w:numId w:val="1"/>
        </w:numPr>
        <w:spacing w:lineRule="auto"/>
      </w:pPr>
      <w:r>
        <w:rPr/>
        <w:t xml:space="preserve">Enfoque B2B Chile (nodo industrial, PYME) vs apps consumer genéricas.</w:t>
      </w:r>
    </w:p>
    <w:p>
      <w:pPr>
        <w:pStyle w:val="Heading2"/>
        <w:spacing w:lineRule="auto"/>
      </w:pPr>
      <w:r>
        <w:rPr/>
        <w:t xml:space="preserve">6. Confianza (LATAM)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En app (mayo 2026):</w:t>
      </w:r>
      <w:r>
        <w:rPr/>
        <w:t xml:space="preserve"> declaración de mercadería, valor referencial CLP, guía/folio, términos </w:t>
      </w:r>
      <w:r>
        <w:rPr/>
        <w:t xml:space="preserve">cargo-trust-v1</w:t>
      </w:r>
      <w:r>
        <w:rPr/>
        <w:t xml:space="preserve">, reporte de incidentes en viaje.</w:t>
      </w:r>
    </w:p>
    <w:p>
      <w:pPr>
        <w:numPr>
          <w:ilvl w:val="0"/>
          <w:numId w:val="2"/>
        </w:numPr>
        <w:spacing w:lineRule="auto"/>
      </w:pPr>
      <w:r>
        <w:rPr/>
        <w:t xml:space="preserve">Plataforma como </w:t>
      </w:r>
      <w:r>
        <w:rPr>
          <w:b/>
        </w:rPr>
        <w:t xml:space="preserve">intermediario</w:t>
      </w:r>
      <w:r>
        <w:rPr/>
        <w:t xml:space="preserve"> — no transportista ni asegurador por defecto (</w:t>
      </w:r>
      <w:hyperlink r:id="rId9">
        <w:r>
          <w:rPr>
            <w:rStyle w:val="Hyperlink"/>
          </w:rPr>
          <w:t xml:space="preserve">términos borrador</w:t>
        </w:r>
      </w:hyperlink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/>
        <w:t xml:space="preserve">KYC y datos de vehículo (fase piloto: revisión manual).</w:t>
      </w:r>
    </w:p>
    <w:p>
      <w:pPr>
        <w:numPr>
          <w:ilvl w:val="0"/>
          <w:numId w:val="2"/>
        </w:numPr>
        <w:spacing w:lineRule="auto"/>
      </w:pPr>
      <w:r>
        <w:rPr/>
        <w:t xml:space="preserve">Microseguro por trayecto (InsurTech, fase 3); hoy flag «requiero seguro».</w:t>
      </w:r>
    </w:p>
    <w:p>
      <w:pPr>
        <w:numPr>
          <w:ilvl w:val="0"/>
          <w:numId w:val="2"/>
        </w:numPr>
        <w:spacing w:lineRule="auto"/>
      </w:pPr>
      <w:r>
        <w:rPr/>
        <w:t xml:space="preserve">Reputación bidireccional y multas sugeridas con plazo.</w:t>
      </w:r>
    </w:p>
    <w:p>
      <w:pPr>
        <w:numPr>
          <w:ilvl w:val="0"/>
          <w:numId w:val="2"/>
        </w:numPr>
        <w:spacing w:lineRule="auto"/>
      </w:pPr>
      <w:r>
        <w:rPr/>
        <w:t xml:space="preserve">Validación automática guía SII/DTE y subida PDF: post-piloto.</w:t>
      </w:r>
    </w:p>
    <w:p>
      <w:pPr>
        <w:pStyle w:val="Heading2"/>
        <w:spacing w:lineRule="auto"/>
      </w:pPr>
      <w:r>
        <w:rPr/>
        <w:t xml:space="preserve">7. KPIs piloto (en la app)</w:t>
      </w:r>
    </w:p>
    <w:p>
      <w:pPr>
        <w:spacing w:lineRule="auto"/>
      </w:pPr>
      <w:r>
        <w:rPr>
          <w:b/>
        </w:rPr>
        <w:t xml:space="preserve">Corredor M2:</w:t>
      </w:r>
      <w:r>
        <w:rPr/>
        <w:t xml:space="preserve"> RM ↔ Valparaíso / San Antonio. Liquidez semanal: ≥3 cargas y ≥2 ofertas en el mismo corredor. Detalle: </w:t>
      </w:r>
      <w:hyperlink r:id="rId10">
        <w:r>
          <w:rPr>
            <w:rStyle w:val="Hyperlink"/>
          </w:rPr>
          <w:t xml:space="preserve">Piloto M2 — KPIs y riesgos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completados en app (corredor)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(M2) → 100 (M4)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 (M2)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publicación →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 mediana (M2)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transportista /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 (M2) → ≥ 8 (M4)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Relación con otros documentos</w:t>
      </w:r>
    </w:p>
    <w:p>
      <w:pPr>
        <w:spacing w:lineRule="auto"/>
      </w:pPr>
      <w:r>
        <w:rPr/>
        <w:t xml:space="preserve">Journey detallado: </w:t>
      </w:r>
      <w:hyperlink r:id="rId11">
        <w:r>
          <w:rPr>
            <w:rStyle w:val="Hyperlink"/>
          </w:rPr>
          <w:t xml:space="preserve">Journey-Usuario-Uber-Truck.html</w:t>
        </w:r>
      </w:hyperlink>
      <w:r>
        <w:rPr/>
        <w:t xml:space="preserve">. Arquitectura, Gantt y roadmap: </w:t>
      </w:r>
      <w:hyperlink r:id="rId12">
        <w:r>
          <w:rPr>
            <w:rStyle w:val="Hyperlink"/>
          </w:rPr>
          <w:t xml:space="preserve">Memoria-tecnica-Uber-Truck.html</w:t>
        </w:r>
      </w:hyperlink>
      <w:r>
        <w:rPr/>
        <w:t xml:space="preserve">.</w:t>
      </w:r>
    </w:p>
    <w:p>
      <w:pPr>
        <w:spacing w:lineRule="auto"/>
      </w:pPr>
      <w:r>
        <w:rPr/>
        <w:t xml:space="preserve">Fin del documento — v2.1 · confianza/carga en app · visión add-on futura.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emoria-tecnica-Uber-Truck.html" TargetMode="External"/>
  <Relationship Id="rId7" Type="http://schemas.openxmlformats.org/officeDocument/2006/relationships/hyperlink" Target="/docs/" TargetMode="External"/>
  <Relationship Id="rId8" Type="http://schemas.openxmlformats.org/officeDocument/2006/relationships/hyperlink" Target="/" TargetMode="External"/>
  <Relationship Id="rId9" Type="http://schemas.openxmlformats.org/officeDocument/2006/relationships/hyperlink" Target="Terminos-Confianza-Carga-Uber-Truck.html" TargetMode="External"/>
  <Relationship Id="rId10" Type="http://schemas.openxmlformats.org/officeDocument/2006/relationships/hyperlink" Target="Piloto-M2-Corredor-KPIs-Riesgos.html" TargetMode="External"/>
  <Relationship Id="rId11" Type="http://schemas.openxmlformats.org/officeDocument/2006/relationships/hyperlink" Target="Journey-Usuario-Uber-Truck.html" TargetMode="External"/>
  <Relationship Id="rId12" Type="http://schemas.openxmlformats.org/officeDocument/2006/relationships/hyperlink" Target="Memoria-tecnica-Uber-Truck.html" TargetMode="External"/>
  <Relationship Id="rId13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negocio</dc:title>
  <dc:subject/>
  <dc:creator>html-to-docx</dc:creator>
  <cp:keywords>html-to-docx</cp:keywords>
  <dc:description>Modelo de negocio</dc:description>
  <cp:lastModifiedBy>html-to-docx</cp:lastModifiedBy>
  <cp:revision>1</cp:revision>
  <dcterms:created xsi:type="dcterms:W3CDTF">2026-06-05T17:05:54.587Z</dcterms:created>
  <dcterms:modified xsi:type="dcterms:W3CDTF">2026-06-05T17:05:54.587Z</dcterms:modified>
</cp:coreProperties>
</file>