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Índice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Inicio app</w:t>
        </w:r>
      </w:hyperlink>
    </w:p>
    <w:p>
      <w:pPr>
        <w:pStyle w:val="Heading1"/>
        <w:spacing w:lineRule="auto"/>
      </w:pPr>
      <w:r>
        <w:rPr/>
        <w:t xml:space="preserve">Memoria técnica — Uber Truck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Plataforma de optimización dinámica de capacidad logística ociosa (backhaul)</w:t>
      </w:r>
    </w:p>
    <w:p>
      <w:pPr>
        <w:spacing w:lineRule="auto"/>
      </w:pPr>
      <w:r>
        <w:rPr>
          <w:b/>
        </w:rPr>
        <w:t xml:space="preserve">Versión documento:</w:t>
      </w:r>
      <w:r>
        <w:rPr/>
        <w:t xml:space="preserve"> 2.1 · mayo 2026 (estructura alineada a Chanchi: Parte I + Parte II)</w:t>
      </w:r>
    </w:p>
    <w:p>
      <w:pPr>
        <w:spacing w:lineRule="auto"/>
      </w:pPr>
      <w:r>
        <w:rPr>
          <w:b/>
        </w:rPr>
        <w:t xml:space="preserve">Versión software:</w:t>
      </w:r>
      <w:r>
        <w:rPr/>
        <w:t xml:space="preserve"> 0.0.19</w:t>
      </w:r>
    </w:p>
    <w:p>
      <w:pPr>
        <w:spacing w:lineRule="auto"/>
      </w:pPr>
      <w:r>
        <w:rPr>
          <w:b/>
        </w:rPr>
        <w:t xml:space="preserve">Estado implementación:</w:t>
      </w:r>
      <w:r>
        <w:rPr/>
        <w:t xml:space="preserve"> MVP digital en producción (Railway) — adelanto vs Gantt oct 2026</w:t>
      </w:r>
    </w:p>
    <w:p>
      <w:pPr>
        <w:spacing w:lineRule="auto"/>
      </w:pPr>
      <w:r>
        <w:rPr>
          <w:b/>
        </w:rPr>
        <w:t xml:space="preserve">Producción:</w:t>
      </w:r>
      <w:hyperlink r:id="rId8">
        <w:r>
          <w:rPr>
            <w:rStyle w:val="Hyperlink"/>
          </w:rPr>
          <w:t xml:space="preserve">uber-truck-production.up.railway.app</w:t>
        </w:r>
      </w:hyperlink>
    </w:p>
    <w:p>
      <w:pPr>
        <w:spacing w:lineRule="auto"/>
      </w:pPr>
      <w:r>
        <w:rPr>
          <w:b/>
        </w:rPr>
        <w:t xml:space="preserve">Markdown vivo:</w:t>
      </w:r>
      <w:r>
        <w:rPr/>
        <w:t xml:space="preserve">docs/01-MEMORIA-TECNICA.md</w:t>
      </w:r>
      <w:r>
        <w:rPr/>
        <w:t xml:space="preserve"> · </w:t>
      </w:r>
      <w:r>
        <w:rPr>
          <w:b/>
        </w:rPr>
        <w:t xml:space="preserve">Hub:</w:t>
      </w:r>
      <w:hyperlink r:id="rId9">
        <w:r>
          <w:rPr>
            <w:rStyle w:val="Hyperlink"/>
          </w:rPr>
          <w:t xml:space="preserve">docs/index.html</w:t>
        </w:r>
      </w:hyperlink>
      <w:r>
        <w:rPr/>
        <w:t xml:space="preserve"> · </w:t>
      </w:r>
      <w:r>
        <w:rPr>
          <w:b/>
        </w:rPr>
        <w:t xml:space="preserve">Bitácora hito:</w:t>
      </w:r>
      <w:r>
        <w:rPr/>
        <w:t xml:space="preserve">docs/HITO-DIGITAL-MVP.md</w:t>
      </w:r>
    </w:p>
    <w:p>
      <w:pPr>
        <w:spacing w:lineRule="auto"/>
      </w:pPr>
      <w:r>
        <w:rPr>
          <w:b/>
        </w:rPr>
        <w:t xml:space="preserve">Canvas (Cursor):</w:t>
      </w:r>
      <w:r>
        <w:rPr/>
        <w:t xml:space="preserve">canvases/estado-avance.canvas.tsx</w:t>
      </w:r>
    </w:p>
    <w:p>
      <w:pPr>
        <w:spacing w:lineRule="auto"/>
      </w:pPr>
      <w:r>
        <w:rPr>
          <w:b/>
        </w:rPr>
        <w:t xml:space="preserve">SQL Supabase:</w:t>
      </w:r>
      <w:r>
        <w:rPr/>
        <w:t xml:space="preserve">docs/SQL-SUPABASE.md</w:t>
      </w:r>
      <w:r>
        <w:rPr/>
        <w:t xml:space="preserve"> · </w:t>
      </w:r>
      <w:r>
        <w:rPr/>
        <w:t xml:space="preserve">supabase/migrations/RUN_PENDING.sql</w:t>
      </w:r>
    </w:p>
    <w:p>
      <w:pPr>
        <w:pStyle w:val="Heading1"/>
        <w:spacing w:lineRule="auto"/>
      </w:pPr>
      <w:r>
        <w:rPr/>
        <w:t xml:space="preserve">Parte II — Arquitectura y stack</w:t>
      </w:r>
    </w:p>
    <w:p>
      <w:pPr>
        <w:pStyle w:val="Heading2"/>
        <w:spacing w:lineRule="auto"/>
      </w:pPr>
      <w:r>
        <w:rPr/>
        <w:t xml:space="preserve">1. Resumen ejecutivo técnico</w:t>
      </w:r>
    </w:p>
    <w:p>
      <w:pPr>
        <w:spacing w:lineRule="auto"/>
      </w:pPr>
      <w:r>
        <w:rPr/>
        <w:t xml:space="preserve">Uber Truck conecta </w:t>
      </w:r>
      <w:r>
        <w:rPr>
          <w:b/>
        </w:rPr>
        <w:t xml:space="preserve">oferta de cubicación disponible</w:t>
      </w:r>
      <w:r>
        <w:rPr/>
        <w:t xml:space="preserve"> (camionero en ruta) con </w:t>
      </w:r>
      <w:r>
        <w:rPr>
          <w:b/>
        </w:rPr>
        <w:t xml:space="preserve">demanda incidental de carga</w:t>
      </w:r>
      <w:r>
        <w:rPr/>
        <w:t xml:space="preserve"> (PYME). El MVP valida adopción sin sobreingeniería: primero </w:t>
      </w:r>
      <w:r>
        <w:rPr>
          <w:b/>
        </w:rPr>
        <w:t xml:space="preserve">concierge</w:t>
      </w:r>
      <w:r>
        <w:rPr/>
        <w:t xml:space="preserve"> (WhatsApp + Airtable), luego producto digital (Node.js, Supabase, web).</w:t>
      </w:r>
    </w:p>
    <w:p>
      <w:pPr>
        <w:pStyle w:val="Heading2"/>
        <w:spacing w:lineRule="auto"/>
      </w:pPr>
      <w:r>
        <w:rPr/>
        <w:t xml:space="preserve">2. Objetivos del sistema</w:t>
      </w:r>
    </w:p>
    <w:p>
      <w:pPr>
        <w:numPr>
          <w:ilvl w:val="0"/>
          <w:numId w:val="1"/>
        </w:numPr>
        <w:spacing w:lineRule="auto"/>
      </w:pPr>
      <w:r>
        <w:rPr/>
        <w:t xml:space="preserve">Registrar ofertas de capacidad con parámetros: ubicación, destino, cubicación, tipo carga, ventana horaria.</w:t>
      </w:r>
    </w:p>
    <w:p>
      <w:pPr>
        <w:numPr>
          <w:ilvl w:val="0"/>
          <w:numId w:val="1"/>
        </w:numPr>
        <w:spacing w:lineRule="auto"/>
      </w:pPr>
      <w:r>
        <w:rPr/>
        <w:t xml:space="preserve">Registrar requerimientos de carga: origen, destino, peso/volumen, urgencia.</w:t>
      </w:r>
    </w:p>
    <w:p>
      <w:pPr>
        <w:numPr>
          <w:ilvl w:val="0"/>
          <w:numId w:val="1"/>
        </w:numPr>
        <w:spacing w:lineRule="auto"/>
      </w:pPr>
      <w:r>
        <w:rPr/>
        <w:t xml:space="preserve">Emparejar oferta-demanda (manual → semi-automático → algoritmo).</w:t>
      </w:r>
    </w:p>
    <w:p>
      <w:pPr>
        <w:numPr>
          <w:ilvl w:val="0"/>
          <w:numId w:val="1"/>
        </w:numPr>
        <w:spacing w:lineRule="auto"/>
      </w:pPr>
      <w:r>
        <w:rPr/>
        <w:t xml:space="preserve">Gestionar estados del viaje y trazabilidad mínima.</w:t>
      </w:r>
    </w:p>
    <w:p>
      <w:pPr>
        <w:numPr>
          <w:ilvl w:val="0"/>
          <w:numId w:val="1"/>
        </w:numPr>
        <w:spacing w:lineRule="auto"/>
      </w:pPr>
      <w:r>
        <w:rPr/>
        <w:t xml:space="preserve">Soportar verificación de actores y reputación bidireccional (roadmap).</w:t>
      </w:r>
    </w:p>
    <w:p>
      <w:pPr>
        <w:pStyle w:val="Heading2"/>
        <w:spacing w:lineRule="auto"/>
      </w:pPr>
      <w:r>
        <w:rPr/>
        <w:t xml:space="preserve">3. Arquitectura lógica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Responsabilidad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MVP 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Business + Airtable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emparejamientos piloto sin código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Frontend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HTML/JS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public/</w:t>
            </w:r>
          </w:p>
          <w:p>
            <w:pPr>
              <w:spacing w:lineRule="auto"/>
            </w:pPr>
            <w:r>
              <w:rPr/>
              <w:t xml:space="preserve"> o PWA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Formularios oferta/demanda, tablero operador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20 + Express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REST, auth, reglas de match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(PostgreSQL)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Usuarios, vehículos, ofertas, cargas, matches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Auth /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Roles: carrier, shipper,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/health</w:t>
            </w:r>
          </w:p>
          <w:p>
            <w:pPr>
              <w:spacing w:lineRule="auto"/>
            </w:pPr>
            <w:r>
              <w:rPr/>
              <w:t xml:space="preserve">, variables entorno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Mapas (fase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/ Mapbox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Geocoding, corredor 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/ seguro (fase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APIs terceros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Licencia, revisión técnica, microseguro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Modelo de datos (v1 propuesto)</w:t>
      </w:r>
    </w:p>
    <w:p>
      <w:pPr>
        <w:pStyle w:val="Heading3"/>
        <w:spacing w:lineRule="auto"/>
      </w:pPr>
      <w:r>
        <w:rPr/>
        <w:t xml:space="preserve">4.1 Entidades principales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users</w:t>
      </w:r>
      <w:r>
        <w:rPr/>
        <w:t xml:space="preserve"> — rol, KYC status, reputación agregada.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vehicles</w:t>
      </w:r>
      <w:r>
        <w:rPr/>
        <w:t xml:space="preserve"> — patente, tipo, capacidad m³, peso máx., tipos carga permitidos.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capacity_offers</w:t>
      </w:r>
      <w:r>
        <w:rPr/>
        <w:t xml:space="preserve"> — oferta del transportista (origen, destino planificado, cubicación libre, ventana).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load_requests</w:t>
      </w:r>
      <w:r>
        <w:rPr/>
        <w:t xml:space="preserve"> — demanda embarcador (origen, destino, pallets/peso, urgencia).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matches</w:t>
      </w:r>
      <w:r>
        <w:rPr/>
        <w:t xml:space="preserve"> — vinculación oferta-carga, precio acordado, comisión, estados.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trip_events</w:t>
      </w:r>
      <w:r>
        <w:rPr/>
        <w:t xml:space="preserve"> — auditoría: asignado, retiro, en_ruta, entregado, POD.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ratings</w:t>
      </w:r>
      <w:r>
        <w:rPr/>
        <w:t xml:space="preserve"> — calificación bidireccional post-viaje.</w:t>
      </w:r>
    </w:p>
    <w:p>
      <w:pPr>
        <w:pStyle w:val="Heading3"/>
        <w:spacing w:lineRule="auto"/>
      </w:pPr>
      <w:r>
        <w:rPr/>
        <w:t xml:space="preserve">4.2 Estados</w:t>
      </w:r>
    </w:p>
    <w:p>
      <w:pPr>
        <w:spacing w:lineRule="auto"/>
      </w:pPr>
      <w:r>
        <w:rPr>
          <w:b/>
        </w:rPr>
        <w:t xml:space="preserve">capacity_offers:</w:t>
      </w:r>
      <w:r>
        <w:rPr/>
        <w:t xml:space="preserve"> draft | published | reserved | expired | cancelled</w:t>
      </w:r>
    </w:p>
    <w:p>
      <w:pPr>
        <w:spacing w:lineRule="auto"/>
      </w:pPr>
      <w:r>
        <w:rPr>
          <w:b/>
        </w:rPr>
        <w:t xml:space="preserve">load_requests:</w:t>
      </w:r>
      <w:r>
        <w:rPr/>
        <w:t xml:space="preserve"> draft | published | matched | in_transit | delivered | cancelled</w:t>
      </w:r>
    </w:p>
    <w:p>
      <w:pPr>
        <w:spacing w:lineRule="auto"/>
      </w:pPr>
      <w:r>
        <w:rPr>
          <w:b/>
        </w:rPr>
        <w:t xml:space="preserve">matches:</w:t>
      </w:r>
      <w:r>
        <w:rPr/>
        <w:t xml:space="preserve"> proposed | accepted | in_progress | completed | disputed</w:t>
      </w:r>
    </w:p>
    <w:p>
      <w:pPr>
        <w:pStyle w:val="Heading2"/>
        <w:spacing w:lineRule="auto"/>
      </w:pPr>
      <w:r>
        <w:rPr/>
        <w:t xml:space="preserve">5. API REST (MVP digital — borrador)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Healthcheck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 carrier / shipper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/api/capacity-offers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capacidad ociosa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/api/capacity-offers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(filtro región, destino)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necesidad de carga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abiertas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Proponer / aceptar emparejamiento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Transición de 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/api/matches/:id/rating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Calificación post-viaje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Reglas de negocio MVP</w:t>
      </w:r>
    </w:p>
    <w:p>
      <w:pPr>
        <w:numPr>
          <w:ilvl w:val="0"/>
          <w:numId w:val="3"/>
        </w:numPr>
        <w:spacing w:lineRule="auto"/>
      </w:pPr>
      <w:r>
        <w:rPr/>
        <w:t xml:space="preserve">Match inicial: coincidencia corredor origen-destino ± tolerancia km (configurable) + cubicación suficiente + tipo carga compatible.</w:t>
      </w:r>
    </w:p>
    <w:p>
      <w:pPr>
        <w:numPr>
          <w:ilvl w:val="0"/>
          <w:numId w:val="3"/>
        </w:numPr>
        <w:spacing w:lineRule="auto"/>
      </w:pPr>
      <w:r>
        <w:rPr/>
        <w:t xml:space="preserve">Concierge: operador confirma match antes de notificar a ambas partes.</w:t>
      </w:r>
    </w:p>
    <w:p>
      <w:pPr>
        <w:numPr>
          <w:ilvl w:val="0"/>
          <w:numId w:val="3"/>
        </w:numPr>
        <w:spacing w:lineRule="auto"/>
      </w:pPr>
      <w:r>
        <w:rPr/>
        <w:t xml:space="preserve">Comisión fase 1: take rate 12–15% sobre valor acordado del flete incidental.</w:t>
      </w:r>
    </w:p>
    <w:p>
      <w:pPr>
        <w:numPr>
          <w:ilvl w:val="0"/>
          <w:numId w:val="3"/>
        </w:numPr>
        <w:spacing w:lineRule="auto"/>
      </w:pPr>
      <w:r>
        <w:rPr/>
        <w:t xml:space="preserve">Sin pricing dinámico en MVP; precio negociado o tabla simple por km/pallet.</w:t>
      </w:r>
    </w:p>
    <w:p>
      <w:pPr>
        <w:pStyle w:val="Heading2"/>
        <w:spacing w:lineRule="auto"/>
      </w:pPr>
      <w:r>
        <w:rPr/>
        <w:t xml:space="preserve">7. Seguridad y cumplimiento</w:t>
      </w:r>
    </w:p>
    <w:p>
      <w:pPr>
        <w:numPr>
          <w:ilvl w:val="0"/>
          <w:numId w:val="4"/>
        </w:numPr>
        <w:spacing w:lineRule="auto"/>
      </w:pPr>
      <w:r>
        <w:rPr/>
        <w:t xml:space="preserve">Variables sensibles en </w:t>
      </w:r>
      <w:r>
        <w:rPr/>
        <w:t xml:space="preserve">.env</w:t>
      </w:r>
      <w:r>
        <w:rPr/>
        <w:t xml:space="preserve">; nunca en repositorio.</w:t>
      </w:r>
    </w:p>
    <w:p>
      <w:pPr>
        <w:numPr>
          <w:ilvl w:val="0"/>
          <w:numId w:val="4"/>
        </w:numPr>
        <w:spacing w:lineRule="auto"/>
      </w:pPr>
      <w:r>
        <w:rPr/>
        <w:t xml:space="preserve">RLS en Supabase por </w:t>
      </w:r>
      <w:r>
        <w:rPr/>
        <w:t xml:space="preserve">user_id</w:t>
      </w:r>
      <w:r>
        <w:rPr/>
        <w:t xml:space="preserve"> y rol.</w:t>
      </w:r>
    </w:p>
    <w:p>
      <w:pPr>
        <w:numPr>
          <w:ilvl w:val="0"/>
          <w:numId w:val="4"/>
        </w:numPr>
        <w:spacing w:lineRule="auto"/>
      </w:pPr>
      <w:r>
        <w:rPr/>
        <w:t xml:space="preserve">KYC documental antes de </w:t>
      </w:r>
      <w:r>
        <w:rPr/>
        <w:t xml:space="preserve">published</w:t>
      </w:r>
      <w:r>
        <w:rPr/>
        <w:t xml:space="preserve"> en ofertas (fase piloto: revisión manual).</w:t>
      </w:r>
    </w:p>
    <w:p>
      <w:pPr>
        <w:numPr>
          <w:ilvl w:val="0"/>
          <w:numId w:val="4"/>
        </w:numPr>
        <w:spacing w:lineRule="auto"/>
      </w:pPr>
      <w:r>
        <w:rPr/>
        <w:t xml:space="preserve">Logs sin PII innecesaria; retención acorde a Ley 19.628 (Chile).</w:t>
      </w:r>
    </w:p>
    <w:p>
      <w:pPr>
        <w:numPr>
          <w:ilvl w:val="0"/>
          <w:numId w:val="4"/>
        </w:numPr>
        <w:spacing w:lineRule="auto"/>
      </w:pPr>
      <w:r>
        <w:rPr/>
        <w:t xml:space="preserve">Términos legales y alcance seguro de carga definidos antes de piloto pagado.</w:t>
      </w:r>
    </w:p>
    <w:p>
      <w:pPr>
        <w:pStyle w:val="Heading2"/>
        <w:spacing w:lineRule="auto"/>
      </w:pPr>
      <w:r>
        <w:rPr/>
        <w:t xml:space="preserve">8. Estructura repositorio</w:t>
      </w:r>
    </w:p>
    <w:p>
      <w:pPr>
        <w:spacing w:lineRule="auto"/>
      </w:pPr>
      <w:r>
        <w:rPr>
          <w:rFonts w:ascii="Courier" w:hAnsi="Courier"/>
        </w:rPr>
        <w:t xml:space="preserve"> uber-truck/   src/server.js, app.js   src/routes/   src/services/   src/lib/   supabase/migrations/   public/   docs/   </w:t>
      </w:r>
    </w:p>
    <w:p>
      <w:pPr>
        <w:pStyle w:val="Heading2"/>
        <w:spacing w:lineRule="auto"/>
      </w:pPr>
      <w:r>
        <w:rPr/>
        <w:t xml:space="preserve">9. Fases técnicas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 técnico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0 Concierge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+ Airtable + 20 matches manuales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1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BD + API + formularios web + notificaciones WA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2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KYC, ratings, microseguro integrado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automático, LTL, pricing dinámico, data product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Riesgos técnicos</w:t>
      </w:r>
    </w:p>
    <w:p>
      <w:pPr>
        <w:numPr>
          <w:ilvl w:val="0"/>
          <w:numId w:val="5"/>
        </w:numPr>
        <w:spacing w:lineRule="auto"/>
      </w:pPr>
      <w:r>
        <w:rPr/>
        <w:t xml:space="preserve">Calidad de datos de ubicación (GPS manual vs automático).</w:t>
      </w:r>
    </w:p>
    <w:p>
      <w:pPr>
        <w:numPr>
          <w:ilvl w:val="0"/>
          <w:numId w:val="5"/>
        </w:numPr>
        <w:spacing w:lineRule="auto"/>
      </w:pPr>
      <w:r>
        <w:rPr/>
        <w:t xml:space="preserve">Dependencia de concierge → cuello de botella operativo.</w:t>
      </w:r>
    </w:p>
    <w:p>
      <w:pPr>
        <w:numPr>
          <w:ilvl w:val="0"/>
          <w:numId w:val="5"/>
        </w:numPr>
        <w:spacing w:lineRule="auto"/>
      </w:pPr>
      <w:r>
        <w:rPr/>
        <w:t xml:space="preserve">Integración seguros/KYC con proveedores locales aún no seleccionados.</w:t>
      </w:r>
    </w:p>
    <w:p>
      <w:pPr>
        <w:pStyle w:val="Heading2"/>
        <w:spacing w:lineRule="auto"/>
      </w:pPr>
      <w:r>
        <w:rPr/>
        <w:t xml:space="preserve">11. Referencias y documentación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Índice maestro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docs/00-INDICE-DOCUMENTACION.md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 técnica (MD)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docs/01-MEMORIA-TECNICA.md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completo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docs/SQL-SUPABASE.md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 detallado (HTML)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docs/Gantt-Uber-Truck.html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 estado avance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canvases/estado-avance.canvas.tsx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docs/ROADMAP.md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cancelación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docs/MATCH-CANCEL-POLICY.md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docs/PENALTIES-AND-ACCOUNTS.md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Parte I — Hitos, Gantt y avance</w:t>
      </w:r>
    </w:p>
    <w:p>
      <w:pPr>
        <w:spacing w:lineRule="auto"/>
      </w:pPr>
      <w:r>
        <w:rPr/>
        <w:t xml:space="preserve">Patrón equivalente a </w:t>
      </w:r>
      <w:r>
        <w:rPr/>
        <w:t xml:space="preserve">wa-fintech-mvp/docs/Memoria-tecnica-MVP-Fintech-IA.html</w:t>
      </w:r>
      <w:r>
        <w:rPr/>
        <w:t xml:space="preserve"> (Chanchi). Tabla detallada por mes: </w:t>
      </w:r>
      <w:hyperlink r:id="rId10">
        <w:r>
          <w:rPr>
            <w:rStyle w:val="Hyperlink"/>
          </w:rPr>
          <w:t xml:space="preserve">Gantt-Uber-Truck.html</w:t>
        </w:r>
      </w:hyperlink>
      <w:r>
        <w:rPr/>
        <w:t xml:space="preserve">. Backlog: </w:t>
      </w:r>
      <w:r>
        <w:rPr/>
        <w:t xml:space="preserve">docs/PROXIMOS-HITOS.md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Leyenda Gantt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en repo / prod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Trabajo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iniciado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Fuera del trimestre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Gantt por fase (trimestres 2026–2027)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T2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abr–jun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jul–sep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oct–dic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 T1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ene–mar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·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· Concierge (20 match)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· MVP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 cobros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· Piloto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· SaaS / match auto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Interpretación mayo 2026:</w:t>
      </w:r>
      <w:r>
        <w:rPr/>
        <w:t xml:space="preserve"> fase 2 adelantada (M3 producción antes de oct 2026). Prioridad inmediata: SQL 008 prod, piloto concierge M2, luego mis cargas por usuario.</w:t>
      </w:r>
    </w:p>
    <w:p>
      <w:pPr>
        <w:pStyle w:val="Heading2"/>
        <w:spacing w:lineRule="auto"/>
      </w:pPr>
      <w:r>
        <w:rPr/>
        <w:t xml:space="preserve">12. Cronograma — hitos y tareas</w:t>
      </w:r>
    </w:p>
    <w:p>
      <w:pPr>
        <w:pStyle w:val="Heading3"/>
        <w:spacing w:lineRule="auto"/>
      </w:pPr>
      <w:r>
        <w:rPr/>
        <w:t xml:space="preserve">12.1 Hitos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real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Descubrimiento +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emparejamientos concierge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09-ago-2026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digital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M5 Match semi-auto +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12.2 Fase 2 digital — tareas vs plan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Gantt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BD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(001–008)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Express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ago–sep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embarcador /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sep–oct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/ estados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sep–oct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acuerdo mutuo, notificaciones, multas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extra MVP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 + cobro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UI/API sin pasarela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12.3 Avance estimado</w:t>
      </w:r>
    </w:p>
    <w:p>
      <w:pPr>
        <w:numPr>
          <w:ilvl w:val="0"/>
          <w:numId w:val="6"/>
        </w:numPr>
        <w:spacing w:lineRule="auto"/>
      </w:pPr>
      <w:r>
        <w:rPr/>
        <w:t xml:space="preserve">Fase 2 MVP digital núcleo: ~75%</w:t>
      </w:r>
    </w:p>
    <w:p>
      <w:pPr>
        <w:numPr>
          <w:ilvl w:val="0"/>
          <w:numId w:val="6"/>
        </w:numPr>
        <w:spacing w:lineRule="auto"/>
      </w:pPr>
      <w:r>
        <w:rPr/>
        <w:t xml:space="preserve">Fase 2.10 multas/cobros: ~25%</w:t>
      </w:r>
    </w:p>
    <w:p>
      <w:pPr>
        <w:numPr>
          <w:ilvl w:val="0"/>
          <w:numId w:val="6"/>
        </w:numPr>
        <w:spacing w:lineRule="auto"/>
      </w:pPr>
      <w:r>
        <w:rPr/>
        <w:t xml:space="preserve">Proyecto total (hasta M5): ~35%</w:t>
      </w:r>
    </w:p>
    <w:p>
      <w:pPr>
        <w:spacing w:lineRule="auto"/>
      </w:pPr>
      <w:r>
        <w:rPr/>
        <w:t xml:space="preserve">Visualización: </w:t>
      </w:r>
      <w:hyperlink r:id="rId11">
        <w:r>
          <w:rPr>
            <w:rStyle w:val="Hyperlink"/>
          </w:rPr>
          <w:t xml:space="preserve">Canvas-Resumen-Uber-Truck.html</w:t>
        </w:r>
      </w:hyperlink>
      <w:r>
        <w:rPr/>
        <w:t xml:space="preserve"> · canvas </w:t>
      </w:r>
      <w:r>
        <w:rPr/>
        <w:t xml:space="preserve">estado-avance.canvas.tsx</w:t>
      </w:r>
      <w:r>
        <w:rPr/>
        <w:t xml:space="preserve"> en Cursor.</w:t>
      </w:r>
    </w:p>
    <w:p>
      <w:pPr>
        <w:pStyle w:val="Heading3"/>
        <w:spacing w:lineRule="auto"/>
      </w:pPr>
      <w:r>
        <w:rPr/>
        <w:t xml:space="preserve">12.4 Próximos pasos (backlog)</w:t>
      </w:r>
    </w:p>
    <w:p>
      <w:pPr>
        <w:spacing w:lineRule="auto"/>
      </w:pPr>
      <w:r>
        <w:rPr/>
        <w:t xml:space="preserve">Tabla operativa completa: </w:t>
      </w:r>
      <w:r>
        <w:rPr/>
        <w:t xml:space="preserve">docs/PROXIMOS-HITOS.md</w:t>
      </w:r>
      <w:r>
        <w:rPr/>
        <w:t xml:space="preserve">. Comparación con estructura Chanchi: </w:t>
      </w:r>
      <w:r>
        <w:rPr/>
        <w:t xml:space="preserve">docs/COMPARACION-ESTRUCTURA-CHANCHI.md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13. API ampliada (v0.0.19)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/api/matches/:id/mutual-cancel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/api/matches/cancel-options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Motivos y multas por rol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/api/comms/…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y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pendientes, plazos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Fin del documento — v2.1: Parte I Gantt coloreado, hub /docs/, alineación Chanchi.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/docs/" TargetMode="External"/>
  <Relationship Id="rId10" Type="http://schemas.openxmlformats.org/officeDocument/2006/relationships/hyperlink" Target="Gantt-Uber-Truck.html" TargetMode="External"/>
  <Relationship Id="rId11" Type="http://schemas.openxmlformats.org/officeDocument/2006/relationships/hyperlink" Target="Canvas-Resumen-Uber-Truck.html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técnica Uber Truck</dc:title>
  <dc:subject/>
  <dc:creator>html-to-docx</dc:creator>
  <cp:keywords>html-to-docx</cp:keywords>
  <dc:description>Memoria técnica Uber Truck</dc:description>
  <cp:lastModifiedBy>html-to-docx</cp:lastModifiedBy>
  <cp:revision>1</cp:revision>
  <dcterms:created xsi:type="dcterms:W3CDTF">2026-05-26T21:28:44.451Z</dcterms:created>
  <dcterms:modified xsi:type="dcterms:W3CDTF">2026-05-26T21:28:44.451Z</dcterms:modified>
</cp:coreProperties>
</file>