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Modelo de negocio — Uber Truck</w:t>
      </w:r>
    </w:p>
    <w:p>
      <w:pPr>
        <w:spacing w:lineRule="auto"/>
      </w:pPr>
      <w:r>
        <w:rPr>
          <w:b/>
        </w:rPr>
        <w:t xml:space="preserve">Fuente:</w:t>
      </w:r>
      <w:r>
        <w:rPr/>
        <w:t xml:space="preserve"> Informe Evaluación Estratégica · mayo 2026</w:t>
      </w:r>
    </w:p>
    <w:p>
      <w:pPr>
        <w:pStyle w:val="Heading2"/>
        <w:spacing w:lineRule="auto"/>
      </w:pPr>
      <w:r>
        <w:rPr/>
        <w:t xml:space="preserve">1. Tesis</w:t>
      </w:r>
    </w:p>
    <w:p>
      <w:pPr>
        <w:spacing w:lineRule="auto"/>
      </w:pPr>
      <w:r>
        <w:rPr/>
        <w:t xml:space="preserve">Monetizar capacidad logística </w:t>
      </w:r>
      <w:r>
        <w:rPr>
          <w:b/>
        </w:rPr>
        <w:t xml:space="preserve">ociosa en rutas ya planificadas</w:t>
      </w:r>
      <w:r>
        <w:rPr/>
        <w:t xml:space="preserve"> (backhaul), reduciendo retornos vacíos y ofreciendo a PYMEs carga incidental ágil sin contratos marco.</w:t>
      </w:r>
    </w:p>
    <w:p>
      <w:pPr>
        <w:pStyle w:val="Heading2"/>
        <w:spacing w:lineRule="auto"/>
      </w:pPr>
      <w:r>
        <w:rPr/>
        <w:t xml:space="preserve">2. Propuesta de valor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Ingreso incremental sobre trayecto que ya asumía costo fijo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PYME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Velocidad, precio competitivo, sin fricción de corretaje tradicional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Ecosistema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Menos km vacíos → menor huella y congestión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Monetización evolutiva</w:t>
      </w:r>
    </w:p>
    <w:p>
      <w:pPr>
        <w:pStyle w:val="Heading3"/>
        <w:spacing w:lineRule="auto"/>
      </w:pPr>
      <w:r>
        <w:rPr/>
        <w:t xml:space="preserve">Fase 1 — Take rate transaccional</w:t>
      </w:r>
    </w:p>
    <w:p>
      <w:pPr>
        <w:spacing w:lineRule="auto"/>
      </w:pPr>
      <w:r>
        <w:rPr>
          <w:b/>
        </w:rPr>
        <w:t xml:space="preserve">12–15%</w:t>
      </w:r>
      <w:r>
        <w:rPr/>
        <w:t xml:space="preserve"> sobre valor acordado del flete incidental. Tolerancia alta del transportista porque el ingreso es marginal puro.</w:t>
      </w:r>
    </w:p>
    <w:p>
      <w:pPr>
        <w:pStyle w:val="Heading3"/>
        <w:spacing w:lineRule="auto"/>
      </w:pPr>
      <w:r>
        <w:rPr/>
        <w:t xml:space="preserve">Fase 2 — Híbrido SaaS + transaccional</w:t>
      </w:r>
    </w:p>
    <w:p>
      <w:pPr>
        <w:spacing w:lineRule="auto"/>
      </w:pPr>
      <w:r>
        <w:rPr/>
        <w:t xml:space="preserve">Suscripción para embarcadores frecuentes: dashboard, reportes huella de carbono mitigada, prioridad de asignación.</w:t>
      </w:r>
    </w:p>
    <w:p>
      <w:pPr>
        <w:pStyle w:val="Heading3"/>
        <w:spacing w:lineRule="auto"/>
      </w:pPr>
      <w:r>
        <w:rPr/>
        <w:t xml:space="preserve">Fase 3 — Activos de datos</w:t>
      </w:r>
    </w:p>
    <w:p>
      <w:pPr>
        <w:spacing w:lineRule="auto"/>
      </w:pPr>
      <w:r>
        <w:rPr/>
        <w:t xml:space="preserve">Red de capacidad abierta predictiva; datos agregados anonimizados de flujos logísticos (B2B data product).</w:t>
      </w:r>
    </w:p>
    <w:p>
      <w:pPr>
        <w:pStyle w:val="Heading2"/>
        <w:spacing w:lineRule="auto"/>
      </w:pPr>
      <w:r>
        <w:rPr/>
        <w:t xml:space="preserve">4. Ventaja competitiva</w:t>
      </w:r>
    </w:p>
    <w:p>
      <w:pPr>
        <w:numPr>
          <w:ilvl w:val="0"/>
          <w:numId w:val="1"/>
        </w:numPr>
        <w:spacing w:lineRule="auto"/>
      </w:pPr>
      <w:r>
        <w:rPr/>
        <w:t xml:space="preserve">Enfoque en </w:t>
      </w:r>
      <w:r>
        <w:rPr>
          <w:b/>
        </w:rPr>
        <w:t xml:space="preserve">cubicación y compatibilidad técnica</w:t>
      </w:r>
      <w:r>
        <w:rPr/>
        <w:t xml:space="preserve">, no solo listing de fletes.</w:t>
      </w:r>
    </w:p>
    <w:p>
      <w:pPr>
        <w:numPr>
          <w:ilvl w:val="0"/>
          <w:numId w:val="1"/>
        </w:numPr>
        <w:spacing w:lineRule="auto"/>
      </w:pPr>
      <w:r>
        <w:rPr/>
        <w:t xml:space="preserve">Consolidación LTL y dynamic pricing (mediano plazo).</w:t>
      </w:r>
    </w:p>
    <w:p>
      <w:pPr>
        <w:numPr>
          <w:ilvl w:val="0"/>
          <w:numId w:val="1"/>
        </w:numPr>
        <w:spacing w:lineRule="auto"/>
      </w:pPr>
      <w:r>
        <w:rPr/>
        <w:t xml:space="preserve">Escalabilidad B2B superior vs apps consumer genéricas.</w:t>
      </w:r>
    </w:p>
    <w:p>
      <w:pPr>
        <w:pStyle w:val="Heading2"/>
        <w:spacing w:lineRule="auto"/>
      </w:pPr>
      <w:r>
        <w:rPr/>
        <w:t xml:space="preserve">5. Mitigación riesgos LATAM</w:t>
      </w:r>
    </w:p>
    <w:p>
      <w:pPr>
        <w:numPr>
          <w:ilvl w:val="0"/>
          <w:numId w:val="2"/>
        </w:numPr>
        <w:spacing w:lineRule="auto"/>
      </w:pPr>
      <w:r>
        <w:rPr/>
        <w:t xml:space="preserve">Microseguros por trayecto (InsurTech).</w:t>
      </w:r>
    </w:p>
    <w:p>
      <w:pPr>
        <w:numPr>
          <w:ilvl w:val="0"/>
          <w:numId w:val="2"/>
        </w:numPr>
        <w:spacing w:lineRule="auto"/>
      </w:pPr>
      <w:r>
        <w:rPr/>
        <w:t xml:space="preserve">KYC + validación licencia y revisión técnica.</w:t>
      </w:r>
    </w:p>
    <w:p>
      <w:pPr>
        <w:numPr>
          <w:ilvl w:val="0"/>
          <w:numId w:val="2"/>
        </w:numPr>
        <w:spacing w:lineRule="auto"/>
      </w:pPr>
      <w:r>
        <w:rPr/>
        <w:t xml:space="preserve">Reputación bidireccional (incluye tiempos de espera en planta).</w:t>
      </w:r>
    </w:p>
    <w:p>
      <w:pPr>
        <w:pStyle w:val="Heading2"/>
        <w:spacing w:lineRule="auto"/>
      </w:pPr>
      <w:r>
        <w:rPr/>
        <w:t xml:space="preserve">6. Comparativa portafolio</w:t>
      </w:r>
    </w:p>
    <w:p>
      <w:pPr>
        <w:spacing w:lineRule="auto"/>
      </w:pPr>
      <w:r>
        <w:rPr/>
        <w:t xml:space="preserve">Vs. Chanchi (copiloto financiero): Uber Truck presenta mayor potencial de </w:t>
      </w:r>
      <w:r>
        <w:rPr>
          <w:b/>
        </w:rPr>
        <w:t xml:space="preserve">escala B2B inmediata</w:t>
      </w:r>
      <w:r>
        <w:rPr/>
        <w:t xml:space="preserve"> y dolor económico regional explícito (miles de millones USD en ineficiencia de retorno).</w:t>
      </w:r>
    </w:p>
    <w:p>
      <w:pPr>
        <w:pStyle w:val="Heading2"/>
        <w:spacing w:lineRule="auto"/>
      </w:pPr>
      <w:r>
        <w:rPr/>
        <w:t xml:space="preserve">7. KPIs negocio piloto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GMV fletes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Definir post entrevistas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/ mes activos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(M2) → 100 (M4)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CAC payback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3 viajes por lado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negocio</dc:title>
  <dc:subject/>
  <dc:creator>html-to-docx</dc:creator>
  <cp:keywords>html-to-docx</cp:keywords>
  <dc:description>Modelo de negocio</dc:description>
  <cp:lastModifiedBy>html-to-docx</cp:lastModifiedBy>
  <cp:revision>1</cp:revision>
  <dcterms:created xsi:type="dcterms:W3CDTF">2026-05-26T21:28:44.451Z</dcterms:created>
  <dcterms:modified xsi:type="dcterms:W3CDTF">2026-05-26T21:28:44.451Z</dcterms:modified>
</cp:coreProperties>
</file>