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Pap Smear Cyto-Algo</w:t>
      </w:r>
    </w:p>
    <w:p>
      <w:pPr>
        <w:jc w:val="center"/>
      </w:pPr>
      <w:r>
        <w:rPr>
          <w:i/>
          <w:sz w:val="32"/>
        </w:rPr>
        <w:t>Phase 1-3 Training &amp; Evaluation Protocol Report</w:t>
      </w:r>
    </w:p>
    <w:p>
      <w:pPr>
        <w:jc w:val="center"/>
      </w:pPr>
      <w:r>
        <w:rPr>
          <w:sz w:val="22"/>
        </w:rPr>
        <w:t>Report date: August 26, 2026</w:t>
        <w:br/>
      </w:r>
      <w:r>
        <w:rPr>
          <w:sz w:val="22"/>
        </w:rPr>
        <w:t>Model: YOLOv8n  |  Hardware: NVIDIA RTX 3060 Laptop GPU (6GB)</w:t>
        <w:br/>
      </w:r>
      <w:r>
        <w:rPr>
          <w:sz w:val="22"/>
        </w:rPr>
        <w:t>Reference: pap-smear-cyto-algo-AGENT-SPEC-FINAL.md</w:t>
      </w:r>
    </w:p>
    <w:p>
      <w:r>
        <w:br w:type="page"/>
      </w:r>
    </w:p>
    <w:p>
      <w:pPr>
        <w:pStyle w:val="Heading1"/>
      </w:pPr>
      <w:r>
        <w:t>1. Objective</w:t>
      </w:r>
    </w:p>
    <w:p>
      <w:r>
        <w:rPr>
          <w:b w:val="0"/>
          <w:i w:val="0"/>
        </w:rPr>
        <w:t>Build and evaluate a YOLOv8-based object detector for classifying Pap smear cytology cells, trained on the SIPaKMeD dataset (in-distribution), and assess how well it generalizes to a second, independently-sourced dataset (APCData) without any fine-tuning (zero-shot cross-dataset evaluation). This document records the protocol followed, what was actually executed, the raw results, one significant bug found and fixed mid-evaluation, and an interpretation of what the numbers mean.</w:t>
      </w:r>
    </w:p>
    <w:p>
      <w:pPr>
        <w:pStyle w:val="Heading1"/>
      </w:pPr>
      <w:r>
        <w:t>2. Protocol</w:t>
      </w:r>
    </w:p>
    <w:p>
      <w:pPr>
        <w:pStyle w:val="Heading2"/>
      </w:pPr>
      <w:r>
        <w:t>2.1 Datasets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F5496"/>
          </w:tcPr>
          <w:p>
            <w:r>
              <w:rPr>
                <w:b/>
                <w:color w:val="FFFFFF"/>
              </w:rPr>
              <w:t>Dataset</w:t>
            </w:r>
          </w:p>
        </w:tc>
        <w:tc>
          <w:tcPr>
            <w:tcW w:type="dxa" w:w="1728"/>
            <w:shd w:val="clear" w:fill="2F5496"/>
          </w:tcPr>
          <w:p>
            <w:r>
              <w:rPr>
                <w:b/>
                <w:color w:val="FFFFFF"/>
              </w:rPr>
              <w:t>Role</w:t>
            </w:r>
          </w:p>
        </w:tc>
        <w:tc>
          <w:tcPr>
            <w:tcW w:type="dxa" w:w="1728"/>
            <w:shd w:val="clear" w:fill="2F5496"/>
          </w:tcPr>
          <w:p>
            <w:r>
              <w:rPr>
                <w:b/>
                <w:color w:val="FFFFFF"/>
              </w:rPr>
              <w:t>Classes</w:t>
            </w:r>
          </w:p>
        </w:tc>
        <w:tc>
          <w:tcPr>
            <w:tcW w:type="dxa" w:w="1728"/>
            <w:shd w:val="clear" w:fill="2F5496"/>
          </w:tcPr>
          <w:p>
            <w:r>
              <w:rPr>
                <w:b/>
                <w:color w:val="FFFFFF"/>
              </w:rPr>
              <w:t>Label format</w:t>
            </w:r>
          </w:p>
        </w:tc>
        <w:tc>
          <w:tcPr>
            <w:tcW w:type="dxa" w:w="1728"/>
            <w:shd w:val="clear" w:fill="2F5496"/>
          </w:tcPr>
          <w:p>
            <w:r>
              <w:rPr>
                <w:b/>
                <w:color w:val="FFFFFF"/>
              </w:rPr>
              <w:t>Size (used)</w:t>
            </w:r>
          </w:p>
        </w:tc>
      </w:tr>
      <w:tr>
        <w:tc>
          <w:tcPr>
            <w:tcW w:type="dxa" w:w="1728"/>
          </w:tcPr>
          <w:p>
            <w:r>
              <w:t>SIPaKMeD (mirror_a)</w:t>
            </w:r>
          </w:p>
        </w:tc>
        <w:tc>
          <w:tcPr>
            <w:tcW w:type="dxa" w:w="1728"/>
          </w:tcPr>
          <w:p>
            <w:r>
              <w:t>Phase 1 training + in-distribution validation</w:t>
            </w:r>
          </w:p>
        </w:tc>
        <w:tc>
          <w:tcPr>
            <w:tcW w:type="dxa" w:w="1728"/>
          </w:tcPr>
          <w:p>
            <w:r>
              <w:t>5 (Dyskeratotic, Koilocytotic, Metaplastic, Parabasal, Superficial-Intermediate)</w:t>
            </w:r>
          </w:p>
        </w:tc>
        <w:tc>
          <w:tcPr>
            <w:tcW w:type="dxa" w:w="1728"/>
          </w:tcPr>
          <w:p>
            <w:r>
              <w:t>YOLO segmentation polygons</w:t>
            </w:r>
          </w:p>
        </w:tc>
        <w:tc>
          <w:tcPr>
            <w:tcW w:type="dxa" w:w="1728"/>
          </w:tcPr>
          <w:p>
            <w:r>
              <w:t>1,105 train / 193 valid</w:t>
            </w:r>
          </w:p>
        </w:tc>
      </w:tr>
      <w:tr>
        <w:tc>
          <w:tcPr>
            <w:tcW w:type="dxa" w:w="1728"/>
          </w:tcPr>
          <w:p>
            <w:r>
              <w:t>APCData</w:t>
            </w:r>
          </w:p>
        </w:tc>
        <w:tc>
          <w:tcPr>
            <w:tcW w:type="dxa" w:w="1728"/>
          </w:tcPr>
          <w:p>
            <w:r>
              <w:t>Phase 2 zero-shot cross-dataset evaluation (no fine-tuning)</w:t>
            </w:r>
          </w:p>
        </w:tc>
        <w:tc>
          <w:tcPr>
            <w:tcW w:type="dxa" w:w="1728"/>
          </w:tcPr>
          <w:p>
            <w:r>
              <w:t>6 (NILM, ASCUS, ASCH, LSIL, HSIL, SCC — Bethesda diagnostic categories)</w:t>
            </w:r>
          </w:p>
        </w:tc>
        <w:tc>
          <w:tcPr>
            <w:tcW w:type="dxa" w:w="1728"/>
          </w:tcPr>
          <w:p>
            <w:r>
              <w:t>YOLO bounding boxes (cx, cy, w, h)</w:t>
            </w:r>
          </w:p>
        </w:tc>
        <w:tc>
          <w:tcPr>
            <w:tcW w:type="dxa" w:w="1728"/>
          </w:tcPr>
          <w:p>
            <w:r>
              <w:t>as prepared in data/apcdata/APCData_YOLO_prepared</w:t>
            </w:r>
          </w:p>
        </w:tc>
      </w:tr>
      <w:tr>
        <w:tc>
          <w:tcPr>
            <w:tcW w:type="dxa" w:w="1728"/>
          </w:tcPr>
          <w:p>
            <w:r>
              <w:t>HMCHH-TCT (D-drive)</w:t>
            </w:r>
          </w:p>
        </w:tc>
        <w:tc>
          <w:tcPr>
            <w:tcW w:type="dxa" w:w="1728"/>
          </w:tcPr>
          <w:p>
            <w:r>
              <w:t>Prepared and available; not yet used in an evaluation run</w:t>
            </w:r>
          </w:p>
        </w:tc>
        <w:tc>
          <w:tcPr>
            <w:tcW w:type="dxa" w:w="1728"/>
          </w:tcPr>
          <w:p>
            <w:r>
              <w:t>1 (binary)</w:t>
            </w:r>
          </w:p>
        </w:tc>
        <w:tc>
          <w:tcPr>
            <w:tcW w:type="dxa" w:w="1728"/>
          </w:tcPr>
          <w:p>
            <w:r>
              <w:t>custom XML schema, converted</w:t>
            </w:r>
          </w:p>
        </w:tc>
        <w:tc>
          <w:tcPr>
            <w:tcW w:type="dxa" w:w="1728"/>
          </w:tcPr>
          <w:p>
            <w:r>
              <w:t>prepared on D-drive</w:t>
            </w:r>
          </w:p>
        </w:tc>
      </w:tr>
    </w:tbl>
    <w:p>
      <w:r>
        <w:rPr>
          <w:b w:val="0"/>
          <w:i/>
        </w:rPr>
        <w:t>Note the class-scheme mismatch between the two evaluation datasets: SIPaKMeD labels individual cell morphology types, while APCData labels Bethesda diagnostic categories. This is a structural factor in the Phase 2 results below, not just a domain-shift effect — see Section 5.2.</w:t>
      </w:r>
    </w:p>
    <w:p>
      <w:pPr>
        <w:pStyle w:val="Heading2"/>
      </w:pPr>
      <w:r>
        <w:t>2.2 Model &amp; training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2F5496"/>
          </w:tcPr>
          <w:p>
            <w:r>
              <w:rPr>
                <w:b/>
                <w:color w:val="FFFFFF"/>
              </w:rPr>
              <w:t>Parameter</w:t>
            </w:r>
          </w:p>
        </w:tc>
        <w:tc>
          <w:tcPr>
            <w:tcW w:type="dxa" w:w="4320"/>
            <w:shd w:val="clear" w:fill="2F5496"/>
          </w:tcPr>
          <w:p>
            <w:r>
              <w:rPr>
                <w:b/>
                <w:color w:val="FFFFFF"/>
              </w:rPr>
              <w:t>Value</w:t>
            </w:r>
          </w:p>
        </w:tc>
      </w:tr>
      <w:tr>
        <w:tc>
          <w:tcPr>
            <w:tcW w:type="dxa" w:w="4320"/>
          </w:tcPr>
          <w:p>
            <w:r>
              <w:t>Architecture</w:t>
            </w:r>
          </w:p>
        </w:tc>
        <w:tc>
          <w:tcPr>
            <w:tcW w:type="dxa" w:w="4320"/>
          </w:tcPr>
          <w:p>
            <w:r>
              <w:t>YOLOv8n (3.01M params)</w:t>
            </w:r>
          </w:p>
        </w:tc>
      </w:tr>
      <w:tr>
        <w:tc>
          <w:tcPr>
            <w:tcW w:type="dxa" w:w="4320"/>
          </w:tcPr>
          <w:p>
            <w:r>
              <w:t>Initial batch size</w:t>
            </w:r>
          </w:p>
        </w:tc>
        <w:tc>
          <w:tcPr>
            <w:tcW w:type="dxa" w:w="4320"/>
          </w:tcPr>
          <w:p>
            <w:r>
              <w:t>16 (held stable throughout; no OOM fallback triggered)</w:t>
            </w:r>
          </w:p>
        </w:tc>
      </w:tr>
      <w:tr>
        <w:tc>
          <w:tcPr>
            <w:tcW w:type="dxa" w:w="4320"/>
          </w:tcPr>
          <w:p>
            <w:r>
              <w:t>Epoch ceiling</w:t>
            </w:r>
          </w:p>
        </w:tc>
        <w:tc>
          <w:tcPr>
            <w:tcW w:type="dxa" w:w="4320"/>
          </w:tcPr>
          <w:p>
            <w:r>
              <w:t>200</w:t>
            </w:r>
          </w:p>
        </w:tc>
      </w:tr>
      <w:tr>
        <w:tc>
          <w:tcPr>
            <w:tcW w:type="dxa" w:w="4320"/>
          </w:tcPr>
          <w:p>
            <w:r>
              <w:t>Early-stopping patience</w:t>
            </w:r>
          </w:p>
        </w:tc>
        <w:tc>
          <w:tcPr>
            <w:tcW w:type="dxa" w:w="4320"/>
          </w:tcPr>
          <w:p>
            <w:r>
              <w:t>30</w:t>
            </w:r>
          </w:p>
        </w:tc>
      </w:tr>
      <w:tr>
        <w:tc>
          <w:tcPr>
            <w:tcW w:type="dxa" w:w="4320"/>
          </w:tcPr>
          <w:p>
            <w:r>
              <w:t>Epochs actually run</w:t>
            </w:r>
          </w:p>
        </w:tc>
        <w:tc>
          <w:tcPr>
            <w:tcW w:type="dxa" w:w="4320"/>
          </w:tcPr>
          <w:p>
            <w:r>
              <w:t>101 (early-stopped)</w:t>
            </w:r>
          </w:p>
        </w:tc>
      </w:tr>
      <w:tr>
        <w:tc>
          <w:tcPr>
            <w:tcW w:type="dxa" w:w="4320"/>
          </w:tcPr>
          <w:p>
            <w:r>
              <w:t>Best checkpoint</w:t>
            </w:r>
          </w:p>
        </w:tc>
        <w:tc>
          <w:tcPr>
            <w:tcW w:type="dxa" w:w="4320"/>
          </w:tcPr>
          <w:p>
            <w:r>
              <w:t>epoch 71 (by validation criterion)</w:t>
            </w:r>
          </w:p>
        </w:tc>
      </w:tr>
      <w:tr>
        <w:tc>
          <w:tcPr>
            <w:tcW w:type="dxa" w:w="4320"/>
          </w:tcPr>
          <w:p>
            <w:r>
              <w:t>Total wall-clock time</w:t>
            </w:r>
          </w:p>
        </w:tc>
        <w:tc>
          <w:tcPr>
            <w:tcW w:type="dxa" w:w="4320"/>
          </w:tcPr>
          <w:p>
            <w:r>
              <w:t>1706.5 s (~28.4 minutes)</w:t>
            </w:r>
          </w:p>
        </w:tc>
      </w:tr>
      <w:tr>
        <w:tc>
          <w:tcPr>
            <w:tcW w:type="dxa" w:w="4320"/>
          </w:tcPr>
          <w:p>
            <w:r>
              <w:t>Hardware</w:t>
            </w:r>
          </w:p>
        </w:tc>
        <w:tc>
          <w:tcPr>
            <w:tcW w:type="dxa" w:w="4320"/>
          </w:tcPr>
          <w:p>
            <w:r>
              <w:t>NVIDIA RTX 3060 Laptop GPU</w:t>
            </w:r>
          </w:p>
        </w:tc>
      </w:tr>
    </w:tbl>
    <w:p>
      <w:pPr>
        <w:pStyle w:val="Heading2"/>
      </w:pPr>
      <w:r>
        <w:t>2.3 Evaluation pipeline (Phases 2-3)</w:t>
      </w:r>
    </w:p>
    <w:p>
      <w:pPr>
        <w:pStyle w:val="ListBullet"/>
      </w:pPr>
      <w:r>
        <w:t>confusion_matrix.py — full 5-class confusion matrix + per-class precision/recall/F1 on SIPaKMeD validation, plus 3-class and 2-class roll-ups, plus explicit clinical "watch pairs" (Dyskeratotic vs. Koilocytotic/Metaplastic confusion).</w:t>
      </w:r>
    </w:p>
    <w:p>
      <w:pPr>
        <w:pStyle w:val="ListBullet"/>
      </w:pPr>
      <w:r>
        <w:t>cross_dataset_eval.py — zero-shot evaluation of the SIPaKMeD-trained model on APCData, reported against the SIPaKMeD in-distribution baseline and against a published external benchmark (Coskun et al. 2026).</w:t>
      </w:r>
    </w:p>
    <w:p>
      <w:pPr>
        <w:pStyle w:val="ListBullet"/>
      </w:pPr>
      <w:r>
        <w:t>calibration.py — reliability diagram + Expected Calibration Error (ECE) on SIPaKMeD validation, with a simplified 1D temperature-scaling correction.</w:t>
      </w:r>
    </w:p>
    <w:p>
      <w:pPr>
        <w:pStyle w:val="ListBullet"/>
      </w:pPr>
      <w:r>
        <w:t>pr_curve_threshold.py — full precision-recall curve for the Dyskeratotic class, plus a cost-weighted operating-point selection (missed-detection cost vs. false-positive cost).</w:t>
      </w:r>
    </w:p>
    <w:p>
      <w:pPr>
        <w:pStyle w:val="Heading1"/>
      </w:pPr>
      <w:r>
        <w:t>3. What happened</w:t>
      </w:r>
    </w:p>
    <w:p>
      <w:pPr>
        <w:pStyle w:val="Heading2"/>
      </w:pPr>
      <w:r>
        <w:t>3.1 Phase 1 — SIPaKMeD training</w:t>
      </w:r>
    </w:p>
    <w:p>
      <w:r>
        <w:rPr>
          <w:b w:val="0"/>
          <w:i w:val="0"/>
        </w:rPr>
        <w:t>Training was launched on the SIPaKMeD mirror_a split and ran to completion: 101/200 epochs, early-stopped on the patience criterion, best weights taken from epoch 71. Training-time validation (Ultralytics' own metric) reported mAP@50-95 = 0.454. The best checkpoint was copied to models/best.pt (6.2 MB).</w:t>
      </w:r>
    </w:p>
    <w:p>
      <w:r>
        <w:rPr>
          <w:b w:val="0"/>
          <w:i w:val="0"/>
        </w:rPr>
        <w:t>The user's PC then restarted unexpectedly. On resuming, the working directory was inspected directly (file timestamps, results.csv, training summary JSON, log files) rather than relying on memory of what "should" have happened. All Phase 1 output artifacts (best.pt, last.pt, results.csv, confusion_matrix.png, PR curve plots, results.png, validation batch images) were confirmed written and complete, timestamped before the restart. Nothing was lost — the restart occurred after training had already finished.</w:t>
      </w:r>
    </w:p>
    <w:p>
      <w:pPr>
        <w:pStyle w:val="Heading2"/>
      </w:pPr>
      <w:r>
        <w:t>3.2 Bug found: ground-truth label misparsing</w:t>
      </w:r>
    </w:p>
    <w:p>
      <w:r>
        <w:rPr>
          <w:b w:val="0"/>
          <w:i w:val="0"/>
        </w:rPr>
        <w:t>The first attempt to run the custom cross-dataset evaluation script produced an internally inconsistent result: SIPaKMeD in-distribution "accuracy" of 1.0 alongside a macro-F1 of 0.0006, with per-class support of 0 for 4 of 5 classes despite 193 validation images being present. This was investigated rather than reported as-is.</w:t>
      </w:r>
    </w:p>
    <w:p>
      <w:r>
        <w:rPr>
          <w:b w:val="0"/>
          <w:i w:val="0"/>
        </w:rPr>
        <w:t>Root cause: evaluation/confusion_matrix.py (and the same pattern in calibration.py and pr_curve_threshold.py) parsed every ground-truth label line as YOLO bounding-box format ("class cx cy w h", 5 tokens). SIPaKMeD's label files, however, are YOLO segmentation polygons ("class x1 y1 x2 y2 ... xn yn", many tokens per line). The code was silently treating the first two polygon vertices as if they were a box's width and height, producing geometrically nonsensical ground-truth boxes. As a result, the IoU matcher almost never found a valid match between predictions and ground truth, so nearly every detection was scored as background (missed / spurious) rather than being evaluated for correctness — which is why the accuracy metric (computed only over matched detections) came out at a meaningless 1.0 on a near-empty sample, while macro-F1 (which is dragged down by the many zero-support classes) came out near zero.</w:t>
      </w:r>
    </w:p>
    <w:p>
      <w:r>
        <w:rPr>
          <w:b w:val="0"/>
          <w:i w:val="0"/>
        </w:rPr>
        <w:t>APCData's labels use the standard 4-value box format, so this bug did not affect the Phase 2 zero-shot numbers, only the Phase 1 in-distribution reference numbers computed by the same script.</w:t>
      </w:r>
    </w:p>
    <w:p>
      <w:r>
        <w:rPr>
          <w:b/>
          <w:i w:val="0"/>
        </w:rPr>
        <w:t>Fix applied (all three scripts):</w:t>
      </w:r>
    </w:p>
    <w:p>
      <w:pPr>
        <w:pStyle w:val="ListBullet"/>
      </w:pPr>
      <w:r>
        <w:t>Detect the label format per line: 4 coordinate values → standard YOLO box (cx, cy, w, h); more than 4 → segmentation polygon.</w:t>
      </w:r>
    </w:p>
    <w:p>
      <w:pPr>
        <w:pStyle w:val="ListBullet"/>
      </w:pPr>
      <w:r>
        <w:t>For polygon labels, derive an axis-aligned bounding box by taking the min/max of the polygon's x and y vertices.</w:t>
      </w:r>
    </w:p>
    <w:p>
      <w:pPr>
        <w:pStyle w:val="ListBullet"/>
      </w:pPr>
      <w:r>
        <w:t>Re-ran all four evaluation scripts after the fix.</w:t>
      </w:r>
    </w:p>
    <w:p>
      <w:pPr>
        <w:pStyle w:val="Heading2"/>
      </w:pPr>
      <w:r>
        <w:t>3.3 Phase 2 — zero-shot cross-dataset evaluation (APCData)</w:t>
      </w:r>
    </w:p>
    <w:p>
      <w:r>
        <w:rPr>
          <w:b w:val="0"/>
          <w:i w:val="0"/>
        </w:rPr>
        <w:t>Run using models/best.pt against the APCData validation split, with no fine-tuning, per the spec's Phase 2 zero-shot protocol.</w:t>
      </w:r>
    </w:p>
    <w:p>
      <w:pPr>
        <w:pStyle w:val="Heading2"/>
      </w:pPr>
      <w:r>
        <w:t>3.4 Phase 3 — calibration and operating-point analysis</w:t>
      </w:r>
    </w:p>
    <w:p>
      <w:r>
        <w:rPr>
          <w:b w:val="0"/>
          <w:i w:val="0"/>
        </w:rPr>
        <w:t>Run using models/best.pt against the SIPaKMeD validation split: a reliability diagram / ECE computation, and a cost-weighted PR-curve analysis for the clinically significant Dyskeratotic class.</w:t>
      </w:r>
    </w:p>
    <w:p>
      <w:pPr>
        <w:pStyle w:val="Heading1"/>
      </w:pPr>
      <w:r>
        <w:t>4. Results</w:t>
      </w:r>
    </w:p>
    <w:p>
      <w:pPr>
        <w:pStyle w:val="Heading2"/>
      </w:pPr>
      <w:r>
        <w:t>4.1 Phase 1 — SIPaKMeD in-distribution (post-fix)</w:t>
      </w:r>
    </w:p>
    <w:p>
      <w:r>
        <w:rPr>
          <w:b/>
          <w:i w:val="0"/>
        </w:rPr>
        <w:t>Overall accuracy among matched detections: 0.975   |   Macro-F1: 0.531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F5496"/>
          </w:tcPr>
          <w:p>
            <w:r>
              <w:rPr>
                <w:b/>
                <w:color w:val="FFFFFF"/>
              </w:rPr>
              <w:t>Class</w:t>
            </w:r>
          </w:p>
        </w:tc>
        <w:tc>
          <w:tcPr>
            <w:tcW w:type="dxa" w:w="1728"/>
            <w:shd w:val="clear" w:fill="2F5496"/>
          </w:tcPr>
          <w:p>
            <w:r>
              <w:rPr>
                <w:b/>
                <w:color w:val="FFFFFF"/>
              </w:rPr>
              <w:t>Precision</w:t>
            </w:r>
          </w:p>
        </w:tc>
        <w:tc>
          <w:tcPr>
            <w:tcW w:type="dxa" w:w="1728"/>
            <w:shd w:val="clear" w:fill="2F5496"/>
          </w:tcPr>
          <w:p>
            <w:r>
              <w:rPr>
                <w:b/>
                <w:color w:val="FFFFFF"/>
              </w:rPr>
              <w:t>Recall</w:t>
            </w:r>
          </w:p>
        </w:tc>
        <w:tc>
          <w:tcPr>
            <w:tcW w:type="dxa" w:w="1728"/>
            <w:shd w:val="clear" w:fill="2F5496"/>
          </w:tcPr>
          <w:p>
            <w:r>
              <w:rPr>
                <w:b/>
                <w:color w:val="FFFFFF"/>
              </w:rPr>
              <w:t>F1</w:t>
            </w:r>
          </w:p>
        </w:tc>
        <w:tc>
          <w:tcPr>
            <w:tcW w:type="dxa" w:w="1728"/>
            <w:shd w:val="clear" w:fill="2F5496"/>
          </w:tcPr>
          <w:p>
            <w:r>
              <w:rPr>
                <w:b/>
                <w:color w:val="FFFFFF"/>
              </w:rPr>
              <w:t>Support (GT instances)</w:t>
            </w:r>
          </w:p>
        </w:tc>
      </w:tr>
      <w:tr>
        <w:tc>
          <w:tcPr>
            <w:tcW w:type="dxa" w:w="1728"/>
          </w:tcPr>
          <w:p>
            <w:r>
              <w:t>Dyskeratotic</w:t>
            </w:r>
          </w:p>
        </w:tc>
        <w:tc>
          <w:tcPr>
            <w:tcW w:type="dxa" w:w="1728"/>
          </w:tcPr>
          <w:p>
            <w:r>
              <w:t>0.556</w:t>
            </w:r>
          </w:p>
        </w:tc>
        <w:tc>
          <w:tcPr>
            <w:tcW w:type="dxa" w:w="1728"/>
          </w:tcPr>
          <w:p>
            <w:r>
              <w:t>0.506</w:t>
            </w:r>
          </w:p>
        </w:tc>
        <w:tc>
          <w:tcPr>
            <w:tcW w:type="dxa" w:w="1728"/>
          </w:tcPr>
          <w:p>
            <w:r>
              <w:t>0.529</w:t>
            </w:r>
          </w:p>
        </w:tc>
        <w:tc>
          <w:tcPr>
            <w:tcW w:type="dxa" w:w="1728"/>
          </w:tcPr>
          <w:p>
            <w:r>
              <w:t>92</w:t>
            </w:r>
          </w:p>
        </w:tc>
      </w:tr>
      <w:tr>
        <w:tc>
          <w:tcPr>
            <w:tcW w:type="dxa" w:w="1728"/>
          </w:tcPr>
          <w:p>
            <w:r>
              <w:t>Koilocytotic</w:t>
            </w:r>
          </w:p>
        </w:tc>
        <w:tc>
          <w:tcPr>
            <w:tcW w:type="dxa" w:w="1728"/>
          </w:tcPr>
          <w:p>
            <w:r>
              <w:t>0.401</w:t>
            </w:r>
          </w:p>
        </w:tc>
        <w:tc>
          <w:tcPr>
            <w:tcW w:type="dxa" w:w="1728"/>
          </w:tcPr>
          <w:p>
            <w:r>
              <w:t>0.566</w:t>
            </w:r>
          </w:p>
        </w:tc>
        <w:tc>
          <w:tcPr>
            <w:tcW w:type="dxa" w:w="1728"/>
          </w:tcPr>
          <w:p>
            <w:r>
              <w:t>0.469</w:t>
            </w:r>
          </w:p>
        </w:tc>
        <w:tc>
          <w:tcPr>
            <w:tcW w:type="dxa" w:w="1728"/>
          </w:tcPr>
          <w:p>
            <w:r>
              <w:t>103</w:t>
            </w:r>
          </w:p>
        </w:tc>
      </w:tr>
      <w:tr>
        <w:tc>
          <w:tcPr>
            <w:tcW w:type="dxa" w:w="1728"/>
          </w:tcPr>
          <w:p>
            <w:r>
              <w:t>Metaplastic</w:t>
            </w:r>
          </w:p>
        </w:tc>
        <w:tc>
          <w:tcPr>
            <w:tcW w:type="dxa" w:w="1728"/>
          </w:tcPr>
          <w:p>
            <w:r>
              <w:t>0.434</w:t>
            </w:r>
          </w:p>
        </w:tc>
        <w:tc>
          <w:tcPr>
            <w:tcW w:type="dxa" w:w="1728"/>
          </w:tcPr>
          <w:p>
            <w:r>
              <w:t>0.689</w:t>
            </w:r>
          </w:p>
        </w:tc>
        <w:tc>
          <w:tcPr>
            <w:tcW w:type="dxa" w:w="1728"/>
          </w:tcPr>
          <w:p>
            <w:r>
              <w:t>0.533</w:t>
            </w:r>
          </w:p>
        </w:tc>
        <w:tc>
          <w:tcPr>
            <w:tcW w:type="dxa" w:w="1728"/>
          </w:tcPr>
          <w:p>
            <w:r>
              <w:t>106</w:t>
            </w:r>
          </w:p>
        </w:tc>
      </w:tr>
      <w:tr>
        <w:tc>
          <w:tcPr>
            <w:tcW w:type="dxa" w:w="1728"/>
          </w:tcPr>
          <w:p>
            <w:r>
              <w:t>Parabasal</w:t>
            </w:r>
          </w:p>
        </w:tc>
        <w:tc>
          <w:tcPr>
            <w:tcW w:type="dxa" w:w="1728"/>
          </w:tcPr>
          <w:p>
            <w:r>
              <w:t>0.492</w:t>
            </w:r>
          </w:p>
        </w:tc>
        <w:tc>
          <w:tcPr>
            <w:tcW w:type="dxa" w:w="1728"/>
          </w:tcPr>
          <w:p>
            <w:r>
              <w:t>0.752</w:t>
            </w:r>
          </w:p>
        </w:tc>
        <w:tc>
          <w:tcPr>
            <w:tcW w:type="dxa" w:w="1728"/>
          </w:tcPr>
          <w:p>
            <w:r>
              <w:t>0.595</w:t>
            </w:r>
          </w:p>
        </w:tc>
        <w:tc>
          <w:tcPr>
            <w:tcW w:type="dxa" w:w="1728"/>
          </w:tcPr>
          <w:p>
            <w:r>
              <w:t>88</w:t>
            </w:r>
          </w:p>
        </w:tc>
      </w:tr>
      <w:tr>
        <w:tc>
          <w:tcPr>
            <w:tcW w:type="dxa" w:w="1728"/>
          </w:tcPr>
          <w:p>
            <w:r>
              <w:t>Superficial-Intermediate</w:t>
            </w:r>
          </w:p>
        </w:tc>
        <w:tc>
          <w:tcPr>
            <w:tcW w:type="dxa" w:w="1728"/>
          </w:tcPr>
          <w:p>
            <w:r>
              <w:t>0.435</w:t>
            </w:r>
          </w:p>
        </w:tc>
        <w:tc>
          <w:tcPr>
            <w:tcW w:type="dxa" w:w="1728"/>
          </w:tcPr>
          <w:p>
            <w:r>
              <w:t>0.672</w:t>
            </w:r>
          </w:p>
        </w:tc>
        <w:tc>
          <w:tcPr>
            <w:tcW w:type="dxa" w:w="1728"/>
          </w:tcPr>
          <w:p>
            <w:r>
              <w:t>0.528</w:t>
            </w:r>
          </w:p>
        </w:tc>
        <w:tc>
          <w:tcPr>
            <w:tcW w:type="dxa" w:w="1728"/>
          </w:tcPr>
          <w:p>
            <w:r>
              <w:t>178</w:t>
            </w:r>
          </w:p>
        </w:tc>
      </w:tr>
    </w:tbl>
    <w:p>
      <w:pPr>
        <w:pStyle w:val="Heading2"/>
      </w:pPr>
      <w:r>
        <w:t>4.2 Roll-up views (same model, coarser class schemes)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2F5496"/>
          </w:tcPr>
          <w:p>
            <w:r>
              <w:rPr>
                <w:b/>
                <w:color w:val="FFFFFF"/>
              </w:rPr>
              <w:t>Scheme</w:t>
            </w:r>
          </w:p>
        </w:tc>
        <w:tc>
          <w:tcPr>
            <w:tcW w:type="dxa" w:w="1440"/>
            <w:shd w:val="clear" w:fill="2F5496"/>
          </w:tcPr>
          <w:p>
            <w:r>
              <w:rPr>
                <w:b/>
                <w:color w:val="FFFFFF"/>
              </w:rPr>
              <w:t>Class</w:t>
            </w:r>
          </w:p>
        </w:tc>
        <w:tc>
          <w:tcPr>
            <w:tcW w:type="dxa" w:w="1440"/>
            <w:shd w:val="clear" w:fill="2F5496"/>
          </w:tcPr>
          <w:p>
            <w:r>
              <w:rPr>
                <w:b/>
                <w:color w:val="FFFFFF"/>
              </w:rPr>
              <w:t>Precision</w:t>
            </w:r>
          </w:p>
        </w:tc>
        <w:tc>
          <w:tcPr>
            <w:tcW w:type="dxa" w:w="1440"/>
            <w:shd w:val="clear" w:fill="2F5496"/>
          </w:tcPr>
          <w:p>
            <w:r>
              <w:rPr>
                <w:b/>
                <w:color w:val="FFFFFF"/>
              </w:rPr>
              <w:t>Recall</w:t>
            </w:r>
          </w:p>
        </w:tc>
        <w:tc>
          <w:tcPr>
            <w:tcW w:type="dxa" w:w="1440"/>
            <w:shd w:val="clear" w:fill="2F5496"/>
          </w:tcPr>
          <w:p>
            <w:r>
              <w:rPr>
                <w:b/>
                <w:color w:val="FFFFFF"/>
              </w:rPr>
              <w:t>F1</w:t>
            </w:r>
          </w:p>
        </w:tc>
        <w:tc>
          <w:tcPr>
            <w:tcW w:type="dxa" w:w="1440"/>
            <w:shd w:val="clear" w:fill="2F5496"/>
          </w:tcPr>
          <w:p>
            <w:r>
              <w:rPr>
                <w:b/>
                <w:color w:val="FFFFFF"/>
              </w:rPr>
              <w:t>Support</w:t>
            </w:r>
          </w:p>
        </w:tc>
      </w:tr>
      <w:tr>
        <w:tc>
          <w:tcPr>
            <w:tcW w:type="dxa" w:w="1440"/>
          </w:tcPr>
          <w:p>
            <w:r>
              <w:t>3-class</w:t>
            </w:r>
          </w:p>
        </w:tc>
        <w:tc>
          <w:tcPr>
            <w:tcW w:type="dxa" w:w="1440"/>
          </w:tcPr>
          <w:p>
            <w:r>
              <w:t>Normal</w:t>
            </w:r>
          </w:p>
        </w:tc>
        <w:tc>
          <w:tcPr>
            <w:tcW w:type="dxa" w:w="1440"/>
          </w:tcPr>
          <w:p>
            <w:r>
              <w:t>0.453</w:t>
            </w:r>
          </w:p>
        </w:tc>
        <w:tc>
          <w:tcPr>
            <w:tcW w:type="dxa" w:w="1440"/>
          </w:tcPr>
          <w:p>
            <w:r>
              <w:t>0.697</w:t>
            </w:r>
          </w:p>
        </w:tc>
        <w:tc>
          <w:tcPr>
            <w:tcW w:type="dxa" w:w="1440"/>
          </w:tcPr>
          <w:p>
            <w:r>
              <w:t>0.549</w:t>
            </w:r>
          </w:p>
        </w:tc>
        <w:tc>
          <w:tcPr>
            <w:tcW w:type="dxa" w:w="1440"/>
          </w:tcPr>
          <w:p>
            <w:r>
              <w:t>266</w:t>
            </w:r>
          </w:p>
        </w:tc>
      </w:tr>
      <w:tr>
        <w:tc>
          <w:tcPr>
            <w:tcW w:type="dxa" w:w="1440"/>
          </w:tcPr>
          <w:p>
            <w:r>
              <w:t>3-class</w:t>
            </w:r>
          </w:p>
        </w:tc>
        <w:tc>
          <w:tcPr>
            <w:tcW w:type="dxa" w:w="1440"/>
          </w:tcPr>
          <w:p>
            <w:r>
              <w:t>Benign</w:t>
            </w:r>
          </w:p>
        </w:tc>
        <w:tc>
          <w:tcPr>
            <w:tcW w:type="dxa" w:w="1440"/>
          </w:tcPr>
          <w:p>
            <w:r>
              <w:t>0.434</w:t>
            </w:r>
          </w:p>
        </w:tc>
        <w:tc>
          <w:tcPr>
            <w:tcW w:type="dxa" w:w="1440"/>
          </w:tcPr>
          <w:p>
            <w:r>
              <w:t>0.689</w:t>
            </w:r>
          </w:p>
        </w:tc>
        <w:tc>
          <w:tcPr>
            <w:tcW w:type="dxa" w:w="1440"/>
          </w:tcPr>
          <w:p>
            <w:r>
              <w:t>0.533</w:t>
            </w:r>
          </w:p>
        </w:tc>
        <w:tc>
          <w:tcPr>
            <w:tcW w:type="dxa" w:w="1440"/>
          </w:tcPr>
          <w:p>
            <w:r>
              <w:t>106</w:t>
            </w:r>
          </w:p>
        </w:tc>
      </w:tr>
      <w:tr>
        <w:tc>
          <w:tcPr>
            <w:tcW w:type="dxa" w:w="1440"/>
          </w:tcPr>
          <w:p>
            <w:r>
              <w:t>3-class</w:t>
            </w:r>
          </w:p>
        </w:tc>
        <w:tc>
          <w:tcPr>
            <w:tcW w:type="dxa" w:w="1440"/>
          </w:tcPr>
          <w:p>
            <w:r>
              <w:t>Abnormal</w:t>
            </w:r>
          </w:p>
        </w:tc>
        <w:tc>
          <w:tcPr>
            <w:tcW w:type="dxa" w:w="1440"/>
          </w:tcPr>
          <w:p>
            <w:r>
              <w:t>0.469</w:t>
            </w:r>
          </w:p>
        </w:tc>
        <w:tc>
          <w:tcPr>
            <w:tcW w:type="dxa" w:w="1440"/>
          </w:tcPr>
          <w:p>
            <w:r>
              <w:t>0.544</w:t>
            </w:r>
          </w:p>
        </w:tc>
        <w:tc>
          <w:tcPr>
            <w:tcW w:type="dxa" w:w="1440"/>
          </w:tcPr>
          <w:p>
            <w:r>
              <w:t>0.504</w:t>
            </w:r>
          </w:p>
        </w:tc>
        <w:tc>
          <w:tcPr>
            <w:tcW w:type="dxa" w:w="1440"/>
          </w:tcPr>
          <w:p>
            <w:r>
              <w:t>195</w:t>
            </w:r>
          </w:p>
        </w:tc>
      </w:tr>
      <w:tr>
        <w:tc>
          <w:tcPr>
            <w:tcW w:type="dxa" w:w="1440"/>
          </w:tcPr>
          <w:p>
            <w:r>
              <w:t>2-class</w:t>
            </w:r>
          </w:p>
        </w:tc>
        <w:tc>
          <w:tcPr>
            <w:tcW w:type="dxa" w:w="1440"/>
          </w:tcPr>
          <w:p>
            <w:r>
              <w:t>Normal</w:t>
            </w:r>
          </w:p>
        </w:tc>
        <w:tc>
          <w:tcPr>
            <w:tcW w:type="dxa" w:w="1440"/>
          </w:tcPr>
          <w:p>
            <w:r>
              <w:t>0.450</w:t>
            </w:r>
          </w:p>
        </w:tc>
        <w:tc>
          <w:tcPr>
            <w:tcW w:type="dxa" w:w="1440"/>
          </w:tcPr>
          <w:p>
            <w:r>
              <w:t>0.698</w:t>
            </w:r>
          </w:p>
        </w:tc>
        <w:tc>
          <w:tcPr>
            <w:tcW w:type="dxa" w:w="1440"/>
          </w:tcPr>
          <w:p>
            <w:r>
              <w:t>0.547</w:t>
            </w:r>
          </w:p>
        </w:tc>
        <w:tc>
          <w:tcPr>
            <w:tcW w:type="dxa" w:w="1440"/>
          </w:tcPr>
          <w:p>
            <w:r>
              <w:t>372</w:t>
            </w:r>
          </w:p>
        </w:tc>
      </w:tr>
      <w:tr>
        <w:tc>
          <w:tcPr>
            <w:tcW w:type="dxa" w:w="1440"/>
          </w:tcPr>
          <w:p>
            <w:r>
              <w:t>2-class</w:t>
            </w:r>
          </w:p>
        </w:tc>
        <w:tc>
          <w:tcPr>
            <w:tcW w:type="dxa" w:w="1440"/>
          </w:tcPr>
          <w:p>
            <w:r>
              <w:t>Abnormal</w:t>
            </w:r>
          </w:p>
        </w:tc>
        <w:tc>
          <w:tcPr>
            <w:tcW w:type="dxa" w:w="1440"/>
          </w:tcPr>
          <w:p>
            <w:r>
              <w:t>0.469</w:t>
            </w:r>
          </w:p>
        </w:tc>
        <w:tc>
          <w:tcPr>
            <w:tcW w:type="dxa" w:w="1440"/>
          </w:tcPr>
          <w:p>
            <w:r>
              <w:t>0.544</w:t>
            </w:r>
          </w:p>
        </w:tc>
        <w:tc>
          <w:tcPr>
            <w:tcW w:type="dxa" w:w="1440"/>
          </w:tcPr>
          <w:p>
            <w:r>
              <w:t>0.504</w:t>
            </w:r>
          </w:p>
        </w:tc>
        <w:tc>
          <w:tcPr>
            <w:tcW w:type="dxa" w:w="1440"/>
          </w:tcPr>
          <w:p>
            <w:r>
              <w:t>195</w:t>
            </w:r>
          </w:p>
        </w:tc>
      </w:tr>
    </w:tbl>
    <w:p>
      <w:pPr>
        <w:pStyle w:val="Heading2"/>
      </w:pPr>
      <w:r>
        <w:t>4.3 Clinical watch pairs (Dyskeratotic confusion)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F5496"/>
          </w:tcPr>
          <w:p>
            <w:r>
              <w:rPr>
                <w:b/>
                <w:color w:val="FFFFFF"/>
              </w:rPr>
              <w:t>Pair</w:t>
            </w:r>
          </w:p>
        </w:tc>
        <w:tc>
          <w:tcPr>
            <w:tcW w:type="dxa" w:w="2880"/>
            <w:shd w:val="clear" w:fill="2F5496"/>
          </w:tcPr>
          <w:p>
            <w:r>
              <w:rPr>
                <w:b/>
                <w:color w:val="FFFFFF"/>
              </w:rPr>
              <w:t>A → B count</w:t>
            </w:r>
          </w:p>
        </w:tc>
        <w:tc>
          <w:tcPr>
            <w:tcW w:type="dxa" w:w="2880"/>
            <w:shd w:val="clear" w:fill="2F5496"/>
          </w:tcPr>
          <w:p>
            <w:r>
              <w:rPr>
                <w:b/>
                <w:color w:val="FFFFFF"/>
              </w:rPr>
              <w:t>B → A count</w:t>
            </w:r>
          </w:p>
        </w:tc>
      </w:tr>
      <w:tr>
        <w:tc>
          <w:tcPr>
            <w:tcW w:type="dxa" w:w="2880"/>
          </w:tcPr>
          <w:p>
            <w:r>
              <w:t>Dyskeratotic ↔ Koilocytotic</w:t>
            </w:r>
          </w:p>
        </w:tc>
        <w:tc>
          <w:tcPr>
            <w:tcW w:type="dxa" w:w="2880"/>
          </w:tcPr>
          <w:p>
            <w:r>
              <w:t>2</w:t>
            </w:r>
          </w:p>
        </w:tc>
        <w:tc>
          <w:tcPr>
            <w:tcW w:type="dxa" w:w="2880"/>
          </w:tcPr>
          <w:p>
            <w:r>
              <w:t>1</w:t>
            </w:r>
          </w:p>
        </w:tc>
      </w:tr>
      <w:tr>
        <w:tc>
          <w:tcPr>
            <w:tcW w:type="dxa" w:w="2880"/>
          </w:tcPr>
          <w:p>
            <w:r>
              <w:t>Dyskeratotic ↔ Metaplastic</w:t>
            </w:r>
          </w:p>
        </w:tc>
        <w:tc>
          <w:tcPr>
            <w:tcW w:type="dxa" w:w="2880"/>
          </w:tcPr>
          <w:p>
            <w:r>
              <w:t>0</w:t>
            </w:r>
          </w:p>
        </w:tc>
        <w:tc>
          <w:tcPr>
            <w:tcW w:type="dxa" w:w="2880"/>
          </w:tcPr>
          <w:p>
            <w:r>
              <w:t>0</w:t>
            </w:r>
          </w:p>
        </w:tc>
      </w:tr>
    </w:tbl>
    <w:p>
      <w:r>
        <w:rPr>
          <w:b w:val="0"/>
          <w:i w:val="0"/>
        </w:rPr>
        <w:t>Class-to-class confusion is minimal. Dyskeratotic's recall shortfall is predominantly a missed-detection problem (cells not detected at all, going to the background bin), not a misclassification problem.</w:t>
      </w:r>
    </w:p>
    <w:p>
      <w:pPr>
        <w:pStyle w:val="Heading2"/>
      </w:pPr>
      <w:r>
        <w:t>4.4 Phase 2 — APCData zero-shot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2F5496"/>
          </w:tcPr>
          <w:p>
            <w:r>
              <w:rPr>
                <w:b/>
                <w:color w:val="FFFFFF"/>
              </w:rPr>
              <w:t>Metric</w:t>
            </w:r>
          </w:p>
        </w:tc>
        <w:tc>
          <w:tcPr>
            <w:tcW w:type="dxa" w:w="2160"/>
            <w:shd w:val="clear" w:fill="2F5496"/>
          </w:tcPr>
          <w:p>
            <w:r>
              <w:rPr>
                <w:b/>
                <w:color w:val="FFFFFF"/>
              </w:rPr>
              <w:t>SIPaKMeD (in-distribution)</w:t>
            </w:r>
          </w:p>
        </w:tc>
        <w:tc>
          <w:tcPr>
            <w:tcW w:type="dxa" w:w="2160"/>
            <w:shd w:val="clear" w:fill="2F5496"/>
          </w:tcPr>
          <w:p>
            <w:r>
              <w:rPr>
                <w:b/>
                <w:color w:val="FFFFFF"/>
              </w:rPr>
              <w:t>APCData (zero-shot)</w:t>
            </w:r>
          </w:p>
        </w:tc>
        <w:tc>
          <w:tcPr>
            <w:tcW w:type="dxa" w:w="2160"/>
            <w:shd w:val="clear" w:fill="2F5496"/>
          </w:tcPr>
          <w:p>
            <w:r>
              <w:rPr>
                <w:b/>
                <w:color w:val="FFFFFF"/>
              </w:rPr>
              <w:t>Delta</w:t>
            </w:r>
          </w:p>
        </w:tc>
      </w:tr>
      <w:tr>
        <w:tc>
          <w:tcPr>
            <w:tcW w:type="dxa" w:w="2160"/>
          </w:tcPr>
          <w:p>
            <w:r>
              <w:t>Accuracy</w:t>
            </w:r>
          </w:p>
        </w:tc>
        <w:tc>
          <w:tcPr>
            <w:tcW w:type="dxa" w:w="2160"/>
          </w:tcPr>
          <w:p>
            <w:r>
              <w:t>0.975</w:t>
            </w:r>
          </w:p>
        </w:tc>
        <w:tc>
          <w:tcPr>
            <w:tcW w:type="dxa" w:w="2160"/>
          </w:tcPr>
          <w:p>
            <w:r>
              <w:t>0.169</w:t>
            </w:r>
          </w:p>
        </w:tc>
        <w:tc>
          <w:tcPr>
            <w:tcW w:type="dxa" w:w="2160"/>
          </w:tcPr>
          <w:p>
            <w:r>
              <w:t>−0.806</w:t>
            </w:r>
          </w:p>
        </w:tc>
      </w:tr>
      <w:tr>
        <w:tc>
          <w:tcPr>
            <w:tcW w:type="dxa" w:w="2160"/>
          </w:tcPr>
          <w:p>
            <w:r>
              <w:t>Macro-F1</w:t>
            </w:r>
          </w:p>
        </w:tc>
        <w:tc>
          <w:tcPr>
            <w:tcW w:type="dxa" w:w="2160"/>
          </w:tcPr>
          <w:p>
            <w:r>
              <w:t>0.531</w:t>
            </w:r>
          </w:p>
        </w:tc>
        <w:tc>
          <w:tcPr>
            <w:tcW w:type="dxa" w:w="2160"/>
          </w:tcPr>
          <w:p>
            <w:r>
              <w:t>0.037</w:t>
            </w:r>
          </w:p>
        </w:tc>
        <w:tc>
          <w:tcPr>
            <w:tcW w:type="dxa" w:w="2160"/>
          </w:tcPr>
          <w:p>
            <w:r>
              <w:t>−0.494</w:t>
            </w:r>
          </w:p>
        </w:tc>
      </w:tr>
    </w:tbl>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F5496"/>
          </w:tcPr>
          <w:p>
            <w:r>
              <w:rPr>
                <w:b/>
                <w:color w:val="FFFFFF"/>
              </w:rPr>
              <w:t>APCData class</w:t>
            </w:r>
          </w:p>
        </w:tc>
        <w:tc>
          <w:tcPr>
            <w:tcW w:type="dxa" w:w="1728"/>
            <w:shd w:val="clear" w:fill="2F5496"/>
          </w:tcPr>
          <w:p>
            <w:r>
              <w:rPr>
                <w:b/>
                <w:color w:val="FFFFFF"/>
              </w:rPr>
              <w:t>Precision</w:t>
            </w:r>
          </w:p>
        </w:tc>
        <w:tc>
          <w:tcPr>
            <w:tcW w:type="dxa" w:w="1728"/>
            <w:shd w:val="clear" w:fill="2F5496"/>
          </w:tcPr>
          <w:p>
            <w:r>
              <w:rPr>
                <w:b/>
                <w:color w:val="FFFFFF"/>
              </w:rPr>
              <w:t>Recall</w:t>
            </w:r>
          </w:p>
        </w:tc>
        <w:tc>
          <w:tcPr>
            <w:tcW w:type="dxa" w:w="1728"/>
            <w:shd w:val="clear" w:fill="2F5496"/>
          </w:tcPr>
          <w:p>
            <w:r>
              <w:rPr>
                <w:b/>
                <w:color w:val="FFFFFF"/>
              </w:rPr>
              <w:t>F1</w:t>
            </w:r>
          </w:p>
        </w:tc>
        <w:tc>
          <w:tcPr>
            <w:tcW w:type="dxa" w:w="1728"/>
            <w:shd w:val="clear" w:fill="2F5496"/>
          </w:tcPr>
          <w:p>
            <w:r>
              <w:rPr>
                <w:b/>
                <w:color w:val="FFFFFF"/>
              </w:rPr>
              <w:t>Support</w:t>
            </w:r>
          </w:p>
        </w:tc>
      </w:tr>
      <w:tr>
        <w:tc>
          <w:tcPr>
            <w:tcW w:type="dxa" w:w="1728"/>
          </w:tcPr>
          <w:p>
            <w:r>
              <w:t>NILM</w:t>
            </w:r>
          </w:p>
        </w:tc>
        <w:tc>
          <w:tcPr>
            <w:tcW w:type="dxa" w:w="1728"/>
          </w:tcPr>
          <w:p>
            <w:r>
              <w:t>0.000</w:t>
            </w:r>
          </w:p>
        </w:tc>
        <w:tc>
          <w:tcPr>
            <w:tcW w:type="dxa" w:w="1728"/>
          </w:tcPr>
          <w:p>
            <w:r>
              <w:t>0.000</w:t>
            </w:r>
          </w:p>
        </w:tc>
        <w:tc>
          <w:tcPr>
            <w:tcW w:type="dxa" w:w="1728"/>
          </w:tcPr>
          <w:p>
            <w:r>
              <w:t>0.000</w:t>
            </w:r>
          </w:p>
        </w:tc>
        <w:tc>
          <w:tcPr>
            <w:tcW w:type="dxa" w:w="1728"/>
          </w:tcPr>
          <w:p>
            <w:r>
              <w:t>17</w:t>
            </w:r>
          </w:p>
        </w:tc>
      </w:tr>
      <w:tr>
        <w:tc>
          <w:tcPr>
            <w:tcW w:type="dxa" w:w="1728"/>
          </w:tcPr>
          <w:p>
            <w:r>
              <w:t>ASCUS</w:t>
            </w:r>
          </w:p>
        </w:tc>
        <w:tc>
          <w:tcPr>
            <w:tcW w:type="dxa" w:w="1728"/>
          </w:tcPr>
          <w:p>
            <w:r>
              <w:t>0.143</w:t>
            </w:r>
          </w:p>
        </w:tc>
        <w:tc>
          <w:tcPr>
            <w:tcW w:type="dxa" w:w="1728"/>
          </w:tcPr>
          <w:p>
            <w:r>
              <w:t>0.190</w:t>
            </w:r>
          </w:p>
        </w:tc>
        <w:tc>
          <w:tcPr>
            <w:tcW w:type="dxa" w:w="1728"/>
          </w:tcPr>
          <w:p>
            <w:r>
              <w:t>0.163</w:t>
            </w:r>
          </w:p>
        </w:tc>
        <w:tc>
          <w:tcPr>
            <w:tcW w:type="dxa" w:w="1728"/>
          </w:tcPr>
          <w:p>
            <w:r>
              <w:t>14</w:t>
            </w:r>
          </w:p>
        </w:tc>
      </w:tr>
      <w:tr>
        <w:tc>
          <w:tcPr>
            <w:tcW w:type="dxa" w:w="1728"/>
          </w:tcPr>
          <w:p>
            <w:r>
              <w:t>ASCH</w:t>
            </w:r>
          </w:p>
        </w:tc>
        <w:tc>
          <w:tcPr>
            <w:tcW w:type="dxa" w:w="1728"/>
          </w:tcPr>
          <w:p>
            <w:r>
              <w:t>0.041</w:t>
            </w:r>
          </w:p>
        </w:tc>
        <w:tc>
          <w:tcPr>
            <w:tcW w:type="dxa" w:w="1728"/>
          </w:tcPr>
          <w:p>
            <w:r>
              <w:t>0.097</w:t>
            </w:r>
          </w:p>
        </w:tc>
        <w:tc>
          <w:tcPr>
            <w:tcW w:type="dxa" w:w="1728"/>
          </w:tcPr>
          <w:p>
            <w:r>
              <w:t>0.058</w:t>
            </w:r>
          </w:p>
        </w:tc>
        <w:tc>
          <w:tcPr>
            <w:tcW w:type="dxa" w:w="1728"/>
          </w:tcPr>
          <w:p>
            <w:r>
              <w:t>4</w:t>
            </w:r>
          </w:p>
        </w:tc>
      </w:tr>
      <w:tr>
        <w:tc>
          <w:tcPr>
            <w:tcW w:type="dxa" w:w="1728"/>
          </w:tcPr>
          <w:p>
            <w:r>
              <w:t>LSIL</w:t>
            </w:r>
          </w:p>
        </w:tc>
        <w:tc>
          <w:tcPr>
            <w:tcW w:type="dxa" w:w="1728"/>
          </w:tcPr>
          <w:p>
            <w:r>
              <w:t>0.000</w:t>
            </w:r>
          </w:p>
        </w:tc>
        <w:tc>
          <w:tcPr>
            <w:tcW w:type="dxa" w:w="1728"/>
          </w:tcPr>
          <w:p>
            <w:r>
              <w:t>0.000</w:t>
            </w:r>
          </w:p>
        </w:tc>
        <w:tc>
          <w:tcPr>
            <w:tcW w:type="dxa" w:w="1728"/>
          </w:tcPr>
          <w:p>
            <w:r>
              <w:t>0.000</w:t>
            </w:r>
          </w:p>
        </w:tc>
        <w:tc>
          <w:tcPr>
            <w:tcW w:type="dxa" w:w="1728"/>
          </w:tcPr>
          <w:p>
            <w:r>
              <w:t>21</w:t>
            </w:r>
          </w:p>
        </w:tc>
      </w:tr>
      <w:tr>
        <w:tc>
          <w:tcPr>
            <w:tcW w:type="dxa" w:w="1728"/>
          </w:tcPr>
          <w:p>
            <w:r>
              <w:t>HSIL</w:t>
            </w:r>
          </w:p>
        </w:tc>
        <w:tc>
          <w:tcPr>
            <w:tcW w:type="dxa" w:w="1728"/>
          </w:tcPr>
          <w:p>
            <w:r>
              <w:t>0.000</w:t>
            </w:r>
          </w:p>
        </w:tc>
        <w:tc>
          <w:tcPr>
            <w:tcW w:type="dxa" w:w="1728"/>
          </w:tcPr>
          <w:p>
            <w:r>
              <w:t>0.000</w:t>
            </w:r>
          </w:p>
        </w:tc>
        <w:tc>
          <w:tcPr>
            <w:tcW w:type="dxa" w:w="1728"/>
          </w:tcPr>
          <w:p>
            <w:r>
              <w:t>0.000</w:t>
            </w:r>
          </w:p>
        </w:tc>
        <w:tc>
          <w:tcPr>
            <w:tcW w:type="dxa" w:w="1728"/>
          </w:tcPr>
          <w:p>
            <w:r>
              <w:t>8</w:t>
            </w:r>
          </w:p>
        </w:tc>
      </w:tr>
      <w:tr>
        <w:tc>
          <w:tcPr>
            <w:tcW w:type="dxa" w:w="1728"/>
          </w:tcPr>
          <w:p>
            <w:r>
              <w:t>SCC</w:t>
            </w:r>
          </w:p>
        </w:tc>
        <w:tc>
          <w:tcPr>
            <w:tcW w:type="dxa" w:w="1728"/>
          </w:tcPr>
          <w:p>
            <w:r>
              <w:t>0.000</w:t>
            </w:r>
          </w:p>
        </w:tc>
        <w:tc>
          <w:tcPr>
            <w:tcW w:type="dxa" w:w="1728"/>
          </w:tcPr>
          <w:p>
            <w:r>
              <w:t>0.000</w:t>
            </w:r>
          </w:p>
        </w:tc>
        <w:tc>
          <w:tcPr>
            <w:tcW w:type="dxa" w:w="1728"/>
          </w:tcPr>
          <w:p>
            <w:r>
              <w:t>0.000</w:t>
            </w:r>
          </w:p>
        </w:tc>
        <w:tc>
          <w:tcPr>
            <w:tcW w:type="dxa" w:w="1728"/>
          </w:tcPr>
          <w:p>
            <w:r>
              <w:t>1</w:t>
            </w:r>
          </w:p>
        </w:tc>
      </w:tr>
    </w:tbl>
    <w:p>
      <w:r>
        <w:rPr>
          <w:b w:val="0"/>
          <w:i/>
        </w:rPr>
        <w:t>For reference, the Coskun et al. (2026) benchmark reports 91% accuracy / 0.91 macro-F1, but on a ResNet50 classifier trained on SIPaKMeD + Herlev + CRIC + 416 proprietary multi-center whole-slide images — data and a task formulation this project does not have access to. The gap to that number is expected and not a like-for-like comparison (see Section 5.2).</w:t>
      </w:r>
    </w:p>
    <w:p>
      <w:pPr>
        <w:pStyle w:val="Heading2"/>
      </w:pPr>
      <w:r>
        <w:t>4.5 Calibration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F5496"/>
          </w:tcPr>
          <w:p>
            <w:r>
              <w:rPr>
                <w:b/>
                <w:color w:val="FFFFFF"/>
              </w:rPr>
              <w:t>Metric</w:t>
            </w:r>
          </w:p>
        </w:tc>
        <w:tc>
          <w:tcPr>
            <w:tcW w:type="dxa" w:w="2880"/>
            <w:shd w:val="clear" w:fill="2F5496"/>
          </w:tcPr>
          <w:p>
            <w:r>
              <w:rPr>
                <w:b/>
                <w:color w:val="FFFFFF"/>
              </w:rPr>
              <w:t>Raw</w:t>
            </w:r>
          </w:p>
        </w:tc>
        <w:tc>
          <w:tcPr>
            <w:tcW w:type="dxa" w:w="2880"/>
            <w:shd w:val="clear" w:fill="2F5496"/>
          </w:tcPr>
          <w:p>
            <w:r>
              <w:rPr>
                <w:b/>
                <w:color w:val="FFFFFF"/>
              </w:rPr>
              <w:t>After temperature scaling (T=0.981)</w:t>
            </w:r>
          </w:p>
        </w:tc>
      </w:tr>
      <w:tr>
        <w:tc>
          <w:tcPr>
            <w:tcW w:type="dxa" w:w="2880"/>
          </w:tcPr>
          <w:p>
            <w:r>
              <w:t>Expected Calibration Error (ECE)</w:t>
            </w:r>
          </w:p>
        </w:tc>
        <w:tc>
          <w:tcPr>
            <w:tcW w:type="dxa" w:w="2880"/>
          </w:tcPr>
          <w:p>
            <w:r>
              <w:t>0.0652</w:t>
            </w:r>
          </w:p>
        </w:tc>
        <w:tc>
          <w:tcPr>
            <w:tcW w:type="dxa" w:w="2880"/>
          </w:tcPr>
          <w:p>
            <w:r>
              <w:t>0.0634</w:t>
            </w:r>
          </w:p>
        </w:tc>
      </w:tr>
    </w:tbl>
    <w:p>
      <w:r>
        <w:rPr>
          <w:b w:val="0"/>
          <w:i/>
        </w:rPr>
        <w:t>Comparison point cited in the spec: fuzzy-ensemble 2026 classification-based ECE of 0.030 (a different, classification-only task — framing caveat, not a direct benchmark).</w:t>
      </w:r>
    </w:p>
    <w:p>
      <w:pPr>
        <w:pStyle w:val="Heading2"/>
      </w:pPr>
      <w:r>
        <w:t>Reliability by confidence bin (raw)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2F5496"/>
          </w:tcPr>
          <w:p>
            <w:r>
              <w:rPr>
                <w:b/>
                <w:color w:val="FFFFFF"/>
              </w:rPr>
              <w:t>Confidence bin</w:t>
            </w:r>
          </w:p>
        </w:tc>
        <w:tc>
          <w:tcPr>
            <w:tcW w:type="dxa" w:w="2160"/>
            <w:shd w:val="clear" w:fill="2F5496"/>
          </w:tcPr>
          <w:p>
            <w:r>
              <w:rPr>
                <w:b/>
                <w:color w:val="FFFFFF"/>
              </w:rPr>
              <w:t>Count</w:t>
            </w:r>
          </w:p>
        </w:tc>
        <w:tc>
          <w:tcPr>
            <w:tcW w:type="dxa" w:w="2160"/>
            <w:shd w:val="clear" w:fill="2F5496"/>
          </w:tcPr>
          <w:p>
            <w:r>
              <w:rPr>
                <w:b/>
                <w:color w:val="FFFFFF"/>
              </w:rPr>
              <w:t>Avg. confidence</w:t>
            </w:r>
          </w:p>
        </w:tc>
        <w:tc>
          <w:tcPr>
            <w:tcW w:type="dxa" w:w="2160"/>
            <w:shd w:val="clear" w:fill="2F5496"/>
          </w:tcPr>
          <w:p>
            <w:r>
              <w:rPr>
                <w:b/>
                <w:color w:val="FFFFFF"/>
              </w:rPr>
              <w:t>Empirical accuracy</w:t>
            </w:r>
          </w:p>
        </w:tc>
      </w:tr>
      <w:tr>
        <w:tc>
          <w:tcPr>
            <w:tcW w:type="dxa" w:w="2160"/>
          </w:tcPr>
          <w:p>
            <w:r>
              <w:t>0.0-0.1</w:t>
            </w:r>
          </w:p>
        </w:tc>
        <w:tc>
          <w:tcPr>
            <w:tcW w:type="dxa" w:w="2160"/>
          </w:tcPr>
          <w:p>
            <w:r>
              <w:t>751</w:t>
            </w:r>
          </w:p>
        </w:tc>
        <w:tc>
          <w:tcPr>
            <w:tcW w:type="dxa" w:w="2160"/>
          </w:tcPr>
          <w:p>
            <w:r>
              <w:t>0.071</w:t>
            </w:r>
          </w:p>
        </w:tc>
        <w:tc>
          <w:tcPr>
            <w:tcW w:type="dxa" w:w="2160"/>
          </w:tcPr>
          <w:p>
            <w:r>
              <w:t>0.052</w:t>
            </w:r>
          </w:p>
        </w:tc>
      </w:tr>
      <w:tr>
        <w:tc>
          <w:tcPr>
            <w:tcW w:type="dxa" w:w="2160"/>
          </w:tcPr>
          <w:p>
            <w:r>
              <w:t>0.1-0.2</w:t>
            </w:r>
          </w:p>
        </w:tc>
        <w:tc>
          <w:tcPr>
            <w:tcW w:type="dxa" w:w="2160"/>
          </w:tcPr>
          <w:p>
            <w:r>
              <w:t>582</w:t>
            </w:r>
          </w:p>
        </w:tc>
        <w:tc>
          <w:tcPr>
            <w:tcW w:type="dxa" w:w="2160"/>
          </w:tcPr>
          <w:p>
            <w:r>
              <w:t>0.142</w:t>
            </w:r>
          </w:p>
        </w:tc>
        <w:tc>
          <w:tcPr>
            <w:tcW w:type="dxa" w:w="2160"/>
          </w:tcPr>
          <w:p>
            <w:r>
              <w:t>0.120</w:t>
            </w:r>
          </w:p>
        </w:tc>
      </w:tr>
      <w:tr>
        <w:tc>
          <w:tcPr>
            <w:tcW w:type="dxa" w:w="2160"/>
          </w:tcPr>
          <w:p>
            <w:r>
              <w:t>0.2-0.3</w:t>
            </w:r>
          </w:p>
        </w:tc>
        <w:tc>
          <w:tcPr>
            <w:tcW w:type="dxa" w:w="2160"/>
          </w:tcPr>
          <w:p>
            <w:r>
              <w:t>329</w:t>
            </w:r>
          </w:p>
        </w:tc>
        <w:tc>
          <w:tcPr>
            <w:tcW w:type="dxa" w:w="2160"/>
          </w:tcPr>
          <w:p>
            <w:r>
              <w:t>0.247</w:t>
            </w:r>
          </w:p>
        </w:tc>
        <w:tc>
          <w:tcPr>
            <w:tcW w:type="dxa" w:w="2160"/>
          </w:tcPr>
          <w:p>
            <w:r>
              <w:t>0.161</w:t>
            </w:r>
          </w:p>
        </w:tc>
      </w:tr>
      <w:tr>
        <w:tc>
          <w:tcPr>
            <w:tcW w:type="dxa" w:w="2160"/>
          </w:tcPr>
          <w:p>
            <w:r>
              <w:t>0.3-0.4</w:t>
            </w:r>
          </w:p>
        </w:tc>
        <w:tc>
          <w:tcPr>
            <w:tcW w:type="dxa" w:w="2160"/>
          </w:tcPr>
          <w:p>
            <w:r>
              <w:t>220</w:t>
            </w:r>
          </w:p>
        </w:tc>
        <w:tc>
          <w:tcPr>
            <w:tcW w:type="dxa" w:w="2160"/>
          </w:tcPr>
          <w:p>
            <w:r>
              <w:t>0.349</w:t>
            </w:r>
          </w:p>
        </w:tc>
        <w:tc>
          <w:tcPr>
            <w:tcW w:type="dxa" w:w="2160"/>
          </w:tcPr>
          <w:p>
            <w:r>
              <w:t>0.277</w:t>
            </w:r>
          </w:p>
        </w:tc>
      </w:tr>
      <w:tr>
        <w:tc>
          <w:tcPr>
            <w:tcW w:type="dxa" w:w="2160"/>
          </w:tcPr>
          <w:p>
            <w:r>
              <w:t>0.4-0.5</w:t>
            </w:r>
          </w:p>
        </w:tc>
        <w:tc>
          <w:tcPr>
            <w:tcW w:type="dxa" w:w="2160"/>
          </w:tcPr>
          <w:p>
            <w:r>
              <w:t>159</w:t>
            </w:r>
          </w:p>
        </w:tc>
        <w:tc>
          <w:tcPr>
            <w:tcW w:type="dxa" w:w="2160"/>
          </w:tcPr>
          <w:p>
            <w:r>
              <w:t>0.449</w:t>
            </w:r>
          </w:p>
        </w:tc>
        <w:tc>
          <w:tcPr>
            <w:tcW w:type="dxa" w:w="2160"/>
          </w:tcPr>
          <w:p>
            <w:r>
              <w:t>0.252</w:t>
            </w:r>
          </w:p>
        </w:tc>
      </w:tr>
      <w:tr>
        <w:tc>
          <w:tcPr>
            <w:tcW w:type="dxa" w:w="2160"/>
          </w:tcPr>
          <w:p>
            <w:r>
              <w:t>0.5-0.6</w:t>
            </w:r>
          </w:p>
        </w:tc>
        <w:tc>
          <w:tcPr>
            <w:tcW w:type="dxa" w:w="2160"/>
          </w:tcPr>
          <w:p>
            <w:r>
              <w:t>167</w:t>
            </w:r>
          </w:p>
        </w:tc>
        <w:tc>
          <w:tcPr>
            <w:tcW w:type="dxa" w:w="2160"/>
          </w:tcPr>
          <w:p>
            <w:r>
              <w:t>0.549</w:t>
            </w:r>
          </w:p>
        </w:tc>
        <w:tc>
          <w:tcPr>
            <w:tcW w:type="dxa" w:w="2160"/>
          </w:tcPr>
          <w:p>
            <w:r>
              <w:t>0.425</w:t>
            </w:r>
          </w:p>
        </w:tc>
      </w:tr>
      <w:tr>
        <w:tc>
          <w:tcPr>
            <w:tcW w:type="dxa" w:w="2160"/>
          </w:tcPr>
          <w:p>
            <w:r>
              <w:t>0.6-0.7</w:t>
            </w:r>
          </w:p>
        </w:tc>
        <w:tc>
          <w:tcPr>
            <w:tcW w:type="dxa" w:w="2160"/>
          </w:tcPr>
          <w:p>
            <w:r>
              <w:t>159</w:t>
            </w:r>
          </w:p>
        </w:tc>
        <w:tc>
          <w:tcPr>
            <w:tcW w:type="dxa" w:w="2160"/>
          </w:tcPr>
          <w:p>
            <w:r>
              <w:t>0.657</w:t>
            </w:r>
          </w:p>
        </w:tc>
        <w:tc>
          <w:tcPr>
            <w:tcW w:type="dxa" w:w="2160"/>
          </w:tcPr>
          <w:p>
            <w:r>
              <w:t>0.535</w:t>
            </w:r>
          </w:p>
        </w:tc>
      </w:tr>
      <w:tr>
        <w:tc>
          <w:tcPr>
            <w:tcW w:type="dxa" w:w="2160"/>
          </w:tcPr>
          <w:p>
            <w:r>
              <w:t>0.7-0.8</w:t>
            </w:r>
          </w:p>
        </w:tc>
        <w:tc>
          <w:tcPr>
            <w:tcW w:type="dxa" w:w="2160"/>
          </w:tcPr>
          <w:p>
            <w:r>
              <w:t>177</w:t>
            </w:r>
          </w:p>
        </w:tc>
        <w:tc>
          <w:tcPr>
            <w:tcW w:type="dxa" w:w="2160"/>
          </w:tcPr>
          <w:p>
            <w:r>
              <w:t>0.750</w:t>
            </w:r>
          </w:p>
        </w:tc>
        <w:tc>
          <w:tcPr>
            <w:tcW w:type="dxa" w:w="2160"/>
          </w:tcPr>
          <w:p>
            <w:r>
              <w:t>0.588</w:t>
            </w:r>
          </w:p>
        </w:tc>
      </w:tr>
      <w:tr>
        <w:tc>
          <w:tcPr>
            <w:tcW w:type="dxa" w:w="2160"/>
          </w:tcPr>
          <w:p>
            <w:r>
              <w:t>0.8-0.9</w:t>
            </w:r>
          </w:p>
        </w:tc>
        <w:tc>
          <w:tcPr>
            <w:tcW w:type="dxa" w:w="2160"/>
          </w:tcPr>
          <w:p>
            <w:r>
              <w:t>152</w:t>
            </w:r>
          </w:p>
        </w:tc>
        <w:tc>
          <w:tcPr>
            <w:tcW w:type="dxa" w:w="2160"/>
          </w:tcPr>
          <w:p>
            <w:r>
              <w:t>0.849</w:t>
            </w:r>
          </w:p>
        </w:tc>
        <w:tc>
          <w:tcPr>
            <w:tcW w:type="dxa" w:w="2160"/>
          </w:tcPr>
          <w:p>
            <w:r>
              <w:t>0.803</w:t>
            </w:r>
          </w:p>
        </w:tc>
      </w:tr>
      <w:tr>
        <w:tc>
          <w:tcPr>
            <w:tcW w:type="dxa" w:w="2160"/>
          </w:tcPr>
          <w:p>
            <w:r>
              <w:t>0.9-1.0</w:t>
            </w:r>
          </w:p>
        </w:tc>
        <w:tc>
          <w:tcPr>
            <w:tcW w:type="dxa" w:w="2160"/>
          </w:tcPr>
          <w:p>
            <w:r>
              <w:t>49</w:t>
            </w:r>
          </w:p>
        </w:tc>
        <w:tc>
          <w:tcPr>
            <w:tcW w:type="dxa" w:w="2160"/>
          </w:tcPr>
          <w:p>
            <w:r>
              <w:t>0.924</w:t>
            </w:r>
          </w:p>
        </w:tc>
        <w:tc>
          <w:tcPr>
            <w:tcW w:type="dxa" w:w="2160"/>
          </w:tcPr>
          <w:p>
            <w:r>
              <w:t>0.918</w:t>
            </w:r>
          </w:p>
        </w:tc>
      </w:tr>
    </w:tbl>
    <w:p>
      <w:pPr>
        <w:pStyle w:val="Heading2"/>
      </w:pPr>
      <w:r>
        <w:t>4.6 Operating-point selection — Dyskeratotic</w:t>
      </w:r>
    </w:p>
    <w:p>
      <w:r>
        <w:rPr>
          <w:b w:val="0"/>
          <w:i/>
        </w:rPr>
        <w:t>Cost model: a missed Dyskeratotic detection (false negative) is treated as 10x costlier than a false-positive flag. This N=10 ratio is a stated, simplified placeholder, not a clinically validated figure — it should be confirmed or overridden before being used for anything beyond this study.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2F5496"/>
          </w:tcPr>
          <w:p>
            <w:r>
              <w:rPr>
                <w:b/>
                <w:color w:val="FFFFFF"/>
              </w:rPr>
              <w:t>Threshold</w:t>
            </w:r>
          </w:p>
        </w:tc>
        <w:tc>
          <w:tcPr>
            <w:tcW w:type="dxa" w:w="1440"/>
            <w:shd w:val="clear" w:fill="2F5496"/>
          </w:tcPr>
          <w:p>
            <w:r>
              <w:rPr>
                <w:b/>
                <w:color w:val="FFFFFF"/>
              </w:rPr>
              <w:t>Precision</w:t>
            </w:r>
          </w:p>
        </w:tc>
        <w:tc>
          <w:tcPr>
            <w:tcW w:type="dxa" w:w="1440"/>
            <w:shd w:val="clear" w:fill="2F5496"/>
          </w:tcPr>
          <w:p>
            <w:r>
              <w:rPr>
                <w:b/>
                <w:color w:val="FFFFFF"/>
              </w:rPr>
              <w:t>Recall</w:t>
            </w:r>
          </w:p>
        </w:tc>
        <w:tc>
          <w:tcPr>
            <w:tcW w:type="dxa" w:w="1440"/>
            <w:shd w:val="clear" w:fill="2F5496"/>
          </w:tcPr>
          <w:p>
            <w:r>
              <w:rPr>
                <w:b/>
                <w:color w:val="FFFFFF"/>
              </w:rPr>
              <w:t>TP</w:t>
            </w:r>
          </w:p>
        </w:tc>
        <w:tc>
          <w:tcPr>
            <w:tcW w:type="dxa" w:w="1440"/>
            <w:shd w:val="clear" w:fill="2F5496"/>
          </w:tcPr>
          <w:p>
            <w:r>
              <w:rPr>
                <w:b/>
                <w:color w:val="FFFFFF"/>
              </w:rPr>
              <w:t>FP</w:t>
            </w:r>
          </w:p>
        </w:tc>
        <w:tc>
          <w:tcPr>
            <w:tcW w:type="dxa" w:w="1440"/>
            <w:shd w:val="clear" w:fill="2F5496"/>
          </w:tcPr>
          <w:p>
            <w:r>
              <w:rPr>
                <w:b/>
                <w:color w:val="FFFFFF"/>
              </w:rPr>
              <w:t>FN</w:t>
            </w:r>
          </w:p>
        </w:tc>
      </w:tr>
      <w:tr>
        <w:tc>
          <w:tcPr>
            <w:tcW w:type="dxa" w:w="1440"/>
          </w:tcPr>
          <w:p>
            <w:r>
              <w:t>0.111 (cost-optimal)</w:t>
            </w:r>
          </w:p>
        </w:tc>
        <w:tc>
          <w:tcPr>
            <w:tcW w:type="dxa" w:w="1440"/>
          </w:tcPr>
          <w:p>
            <w:r>
              <w:t>0.417</w:t>
            </w:r>
          </w:p>
        </w:tc>
        <w:tc>
          <w:tcPr>
            <w:tcW w:type="dxa" w:w="1440"/>
          </w:tcPr>
          <w:p>
            <w:r>
              <w:t>0.624</w:t>
            </w:r>
          </w:p>
        </w:tc>
        <w:tc>
          <w:tcPr>
            <w:tcW w:type="dxa" w:w="1440"/>
          </w:tcPr>
          <w:p>
            <w:r>
              <w:t>111</w:t>
            </w:r>
          </w:p>
        </w:tc>
        <w:tc>
          <w:tcPr>
            <w:tcW w:type="dxa" w:w="1440"/>
          </w:tcPr>
          <w:p>
            <w:r>
              <w:t>155</w:t>
            </w:r>
          </w:p>
        </w:tc>
        <w:tc>
          <w:tcPr>
            <w:tcW w:type="dxa" w:w="1440"/>
          </w:tcPr>
          <w:p>
            <w:r>
              <w:t>67</w:t>
            </w:r>
          </w:p>
        </w:tc>
      </w:tr>
    </w:tbl>
    <w:p>
      <w:r>
        <w:rPr>
          <w:b w:val="0"/>
          <w:i w:val="0"/>
        </w:rPr>
        <w:t>Default training-time validation confidence (0.25) gave Dyskeratotic recall in the 0.47-0.51 range across the two evaluation scripts. Lowering the operating threshold to 0.111 raises recall to 0.624 at the cost of more false positives — consistent with Section 4.3's finding that missed detections, not misclassification, are the main driver of Dyskeratotic's recall gap.</w:t>
      </w:r>
    </w:p>
    <w:p>
      <w:pPr>
        <w:pStyle w:val="Heading1"/>
      </w:pPr>
      <w:r>
        <w:t>5. Interpretation</w:t>
      </w:r>
    </w:p>
    <w:p>
      <w:pPr>
        <w:pStyle w:val="Heading2"/>
      </w:pPr>
      <w:r>
        <w:t>5.1 Model quality on its own data</w:t>
      </w:r>
    </w:p>
    <w:p>
      <w:r>
        <w:rPr>
          <w:b w:val="0"/>
          <w:i w:val="0"/>
        </w:rPr>
        <w:t>The model is a functioning detector, not yet a clinical-grade classifier. 97.5% accuracy conditioned on a successful detection match sounds strong, but it measures only "when a box is confidently matched to ground truth, is the class right" — it does not credit the model for cells it never detects. The more honest per-class recall figures (0.51-0.75) show the real bottleneck is detection recall, not classification accuracy. Precision is uniformly modest (0.40-0.56), meaning the model over-triggers on all classes fairly evenly — there's no single runaway false-positive class.</w:t>
      </w:r>
    </w:p>
    <w:p>
      <w:pPr>
        <w:pStyle w:val="Heading2"/>
      </w:pPr>
      <w:r>
        <w:t>5.2 Cross-dataset generalization</w:t>
      </w:r>
    </w:p>
    <w:p>
      <w:r>
        <w:rPr>
          <w:b w:val="0"/>
          <w:i w:val="0"/>
        </w:rPr>
        <w:t>The Phase 2 collapse (accuracy 0.169, macro-F1 0.037) looks catastrophic in isolation, but two distinct effects are stacked here and should not be reported as one number without this caveat:</w:t>
      </w:r>
    </w:p>
    <w:p>
      <w:pPr>
        <w:pStyle w:val="ListBullet"/>
      </w:pPr>
      <w:r>
        <w:t>Class-scheme mismatch: APCData's 6 classes are Bethesda diagnostic categories (NILM, ASCUS, ASCH, LSIL, HSIL, SCC), while the model was trained to predict SIPaKMeD's 5 cell-morphology classes. The model's output class indices don't correspond to APCData's label semantics at all — this alone would produce near-zero "accuracy" even with a perfect detector, because "correct" is being judged against a different taxonomy than the model was trained on.</w:t>
      </w:r>
    </w:p>
    <w:p>
      <w:pPr>
        <w:pStyle w:val="ListBullet"/>
      </w:pPr>
      <w:r>
        <w:t>Genuine domain shift: image acquisition, staining, magnification, and cell presentation likely differ between the two source datasets, which would reduce detection quality even under a shared taxonomy.</w:t>
      </w:r>
    </w:p>
    <w:p>
      <w:r>
        <w:rPr>
          <w:b/>
          <w:i w:val="0"/>
        </w:rPr>
        <w:t>Because these two effects are conflated in the current numbers, the Phase 2 result should be read as "this pipeline does not yet support cross-taxonomy transfer," not as "the model generalizes poorly to new cytology images." Those are different problems with different fixes.</w:t>
      </w:r>
    </w:p>
    <w:p>
      <w:pPr>
        <w:pStyle w:val="Heading2"/>
      </w:pPr>
      <w:r>
        <w:t>5.3 Calibration</w:t>
      </w:r>
    </w:p>
    <w:p>
      <w:r>
        <w:rPr>
          <w:b w:val="0"/>
          <w:i w:val="0"/>
        </w:rPr>
        <w:t>Raw ECE of 0.065 with an almost-unchanged post-scaling ECE (T≈0.98, essentially the identity transform) indicates the model's confidence scores are already reasonably close to well-calibrated — there is no large systematic over- or under-confidence for temperature scaling to correct. The reliability table does show under-confidence in the 0.4-0.5 bin specifically (avg. confidence 0.449 vs. empirical accuracy 0.252, the one bin that breaks the otherwise monotonic trend) — a single-parameter temperature can't fix a non-monotonic miscalibration, which is consistent with the small overall improvement from scaling.</w:t>
      </w:r>
    </w:p>
    <w:p>
      <w:pPr>
        <w:pStyle w:val="Heading2"/>
      </w:pPr>
      <w:r>
        <w:t>5.4 Operating point</w:t>
      </w:r>
    </w:p>
    <w:p>
      <w:r>
        <w:rPr>
          <w:b w:val="0"/>
          <w:i w:val="0"/>
        </w:rPr>
        <w:t>The cost-weighted analysis is directionally useful even though N=10 is provisional: it demonstrates precision and recall trade smoothly against each other for Dyskeratotic, and that a meaningful recall gain (0.51 → 0.62) is available at a moderate confidence-threshold change (0.25 → 0.111), well before the curve becomes unusably imprecise. Whether 0.111 is the "right" threshold depends entirely on the true cost ratio, which is not yet clinically validated.</w:t>
      </w:r>
    </w:p>
    <w:p>
      <w:pPr>
        <w:pStyle w:val="Heading1"/>
      </w:pPr>
      <w:r>
        <w:t>6. Recommendations — what to do next</w:t>
      </w:r>
    </w:p>
    <w:p>
      <w:r>
        <w:rPr>
          <w:b w:val="0"/>
          <w:i w:val="0"/>
        </w:rPr>
        <w:t>In order of priority, based on what the data above actually supports:</w:t>
      </w:r>
    </w:p>
    <w:p>
      <w:pPr>
        <w:pStyle w:val="ListBullet"/>
      </w:pPr>
      <w:r>
        <w:t>1. Do not use the Phase 2 (APCData) numbers as a generalization verdict as they stand. Before drawing any conclusion about cross-dataset performance, either remap APCData's Bethesda categories to SIPaKMeD's morphology classes (if a defensible mapping exists) or restrict the cross-dataset claim to detection recall/IoU only (ignoring class identity), so class-scheme mismatch and domain shift aren't conflated.</w:t>
      </w:r>
    </w:p>
    <w:p>
      <w:pPr>
        <w:pStyle w:val="ListBullet"/>
      </w:pPr>
      <w:r>
        <w:t>2. Confirm or replace the Dyskeratotic cost ratio (N=10) before it's used to justify a deployed operating threshold. This is explicitly flagged as a placeholder in the code and needs a real clinical judgment call, not an engineering assumption.</w:t>
      </w:r>
    </w:p>
    <w:p>
      <w:pPr>
        <w:pStyle w:val="ListBullet"/>
      </w:pPr>
      <w:r>
        <w:t>3. Consider whether the overall detection recall (missed cells, not misclassified ones) is the highest-leverage next improvement — precision is fairly uniform across classes, but recall is the binding constraint per Section 4.3/5.1. More/better augmentation, a lower default confidence threshold, or more training data are the natural levers, in that order of effort.</w:t>
      </w:r>
    </w:p>
    <w:p>
      <w:pPr>
        <w:pStyle w:val="ListBullet"/>
      </w:pPr>
      <w:r>
        <w:t>4. The HMCHH-TCT dataset (prepared on D-drive, binary-label) has not been used in any evaluation yet. If the goal is a second, same-taxonomy generalization check (avoiding the Section 5.2 confound), that dataset is a better candidate than APCData for isolating pure domain shift, since it wasn't discussed as having a taxonomy mismatch.</w:t>
      </w:r>
    </w:p>
    <w:p>
      <w:pPr>
        <w:pStyle w:val="ListBullet"/>
      </w:pPr>
      <w:r>
        <w:t>5. The three evaluation scripts (confusion_matrix.py, calibration.py, pr_curve_threshold.py) are now fixed for both label formats. Any future dataset added to this pipeline should be checked once for its label format (bounding box vs. segmentation polygon) before trusting its evaluation numbers — this bug class could recur silently.</w:t>
      </w:r>
    </w:p>
    <w:p>
      <w:pPr>
        <w:pStyle w:val="ListBullet"/>
      </w:pPr>
      <w:r>
        <w:t>6. Optional but cheap: re-run confusion_matrix.py's rollup views (2-class, 3-class) as the primary reportable metric if the audience cares about Normal/Abnormal triage rather than exact cell subtype, since those numbers are already computed and are more interpretable for a non-cytology audience.</w:t>
      </w:r>
    </w:p>
    <w:p>
      <w:r>
        <w:rPr>
          <w:b w:val="0"/>
          <w:i/>
        </w:rPr>
        <w:br/>
        <w:t>All referenced JSON reports are in results/: phase1_sipakmed_training_summary.json, confusion_matrix_report.json, cross_dataset_eval_report.json, calibration_report.json, pr_curve_dyskeratotic_report.json.</w:t>
      </w:r>
    </w:p>
    <w:p>
      <w:r>
        <w:br w:type="page"/>
      </w:r>
    </w:p>
    <w:p>
      <w:pPr>
        <w:pStyle w:val="Heading1"/>
      </w:pPr>
      <w:r>
        <w:t>Addendum — follow-up actions on the 5 recommendations</w:t>
      </w:r>
    </w:p>
    <w:p>
      <w:r>
        <w:rPr>
          <w:b w:val="0"/>
          <w:i w:val="0"/>
        </w:rPr>
        <w:t>Added August 27, 2026. This addendum documents five follow-up actions taken on the recommendations from Section 6, in the order they were addressed. Each subsection states what was decided or built, and what the resulting numbers show.</w:t>
      </w:r>
    </w:p>
    <w:p>
      <w:pPr>
        <w:pStyle w:val="Heading2"/>
      </w:pPr>
      <w:r>
        <w:t>A.1 Class-agnostic (localization-only) cross-dataset metric</w:t>
      </w:r>
    </w:p>
    <w:p>
      <w:r>
        <w:rPr>
          <w:b w:val="0"/>
          <w:i w:val="0"/>
        </w:rPr>
        <w:t>A defensible class mapping between SIPaKMeD's cell-morphology classes and APCData's Bethesda diagnostic categories was judged not achievable without a cytopathologist's input, so a class-agnostic detection metric was built instead: it counts a prediction as correct if it localizes a ground-truth cell at IoU&gt;=0.5, regardless of which class was predicted. This isolates true cross-dataset domain shift from the taxonomy mismatch. Added as class_agnostic_detection_metrics() in evaluation/confusion_matrix.py and wired into evaluation/cross_dataset_eval.py's phase2_cross_dataset 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2F5496"/>
          </w:tcPr>
          <w:p>
            <w:r>
              <w:rPr>
                <w:b/>
                <w:color w:val="FFFFFF"/>
              </w:rPr>
              <w:t>Dataset</w:t>
            </w:r>
          </w:p>
        </w:tc>
        <w:tc>
          <w:tcPr>
            <w:tcW w:type="dxa" w:w="2160"/>
            <w:shd w:val="clear" w:fill="2F5496"/>
          </w:tcPr>
          <w:p>
            <w:r>
              <w:rPr>
                <w:b/>
                <w:color w:val="FFFFFF"/>
              </w:rPr>
              <w:t>Class-agnostic recall</w:t>
            </w:r>
          </w:p>
        </w:tc>
        <w:tc>
          <w:tcPr>
            <w:tcW w:type="dxa" w:w="2160"/>
            <w:shd w:val="clear" w:fill="2F5496"/>
          </w:tcPr>
          <w:p>
            <w:r>
              <w:rPr>
                <w:b/>
                <w:color w:val="FFFFFF"/>
              </w:rPr>
              <w:t>Class-agnostic precision</w:t>
            </w:r>
          </w:p>
        </w:tc>
        <w:tc>
          <w:tcPr>
            <w:tcW w:type="dxa" w:w="2160"/>
            <w:shd w:val="clear" w:fill="2F5496"/>
          </w:tcPr>
          <w:p>
            <w:r>
              <w:rPr>
                <w:b/>
                <w:color w:val="FFFFFF"/>
              </w:rPr>
              <w:t>Predicted / GT boxes</w:t>
            </w:r>
          </w:p>
        </w:tc>
      </w:tr>
      <w:tr>
        <w:tc>
          <w:tcPr>
            <w:tcW w:type="dxa" w:w="2160"/>
          </w:tcPr>
          <w:p>
            <w:r>
              <w:t>SIPaKMeD (in-distribution, conf=0.25)</w:t>
            </w:r>
          </w:p>
        </w:tc>
        <w:tc>
          <w:tcPr>
            <w:tcW w:type="dxa" w:w="2160"/>
          </w:tcPr>
          <w:p>
            <w:r>
              <w:t>0.647</w:t>
            </w:r>
          </w:p>
        </w:tc>
        <w:tc>
          <w:tcPr>
            <w:tcW w:type="dxa" w:w="2160"/>
          </w:tcPr>
          <w:p>
            <w:r>
              <w:t>0.464</w:t>
            </w:r>
          </w:p>
        </w:tc>
        <w:tc>
          <w:tcPr>
            <w:tcW w:type="dxa" w:w="2160"/>
          </w:tcPr>
          <w:p>
            <w:r>
              <w:t>1223 / 877</w:t>
            </w:r>
          </w:p>
        </w:tc>
      </w:tr>
      <w:tr>
        <w:tc>
          <w:tcPr>
            <w:tcW w:type="dxa" w:w="2160"/>
          </w:tcPr>
          <w:p>
            <w:r>
              <w:t>APCData (zero-shot, conf=0.25)</w:t>
            </w:r>
          </w:p>
        </w:tc>
        <w:tc>
          <w:tcPr>
            <w:tcW w:type="dxa" w:w="2160"/>
          </w:tcPr>
          <w:p>
            <w:r>
              <w:t>0.118</w:t>
            </w:r>
          </w:p>
        </w:tc>
        <w:tc>
          <w:tcPr>
            <w:tcW w:type="dxa" w:w="2160"/>
          </w:tcPr>
          <w:p>
            <w:r>
              <w:t>0.455</w:t>
            </w:r>
          </w:p>
        </w:tc>
        <w:tc>
          <w:tcPr>
            <w:tcW w:type="dxa" w:w="2160"/>
          </w:tcPr>
          <w:p>
            <w:r>
              <w:t>143 / 549</w:t>
            </w:r>
          </w:p>
        </w:tc>
      </w:tr>
    </w:tbl>
    <w:p>
      <w:r>
        <w:rPr>
          <w:b/>
          <w:i w:val="0"/>
        </w:rPr>
        <w:t>Precision holds up across datasets (~0.45-0.46) — when the model fires, it's about equally trustworthy on both. But recall collapses on APCData (0.647 -&gt; 0.118), and the model emits far fewer boxes than there are real cells (143 vs. 549 GT). This means the original catastrophic-looking Phase 2 number wasn't purely a taxonomy artifact — there is genuine, severe domain shift in the detector's ability to even localize cells on APCData's images, on top of the class-taxonomy mismatch.</w:t>
      </w:r>
    </w:p>
    <w:p>
      <w:pPr>
        <w:pStyle w:val="Heading2"/>
      </w:pPr>
      <w:r>
        <w:t>A.2 Dyskeratotic cost ratio (N=10)</w:t>
      </w:r>
    </w:p>
    <w:p>
      <w:r>
        <w:rPr>
          <w:b w:val="0"/>
          <w:i w:val="0"/>
        </w:rPr>
        <w:t>Decision: keep N=10 as the documented, explicitly unvalidated placeholder in evaluation/pr_curve_threshold.py (COST_RATIO_RATIONALE). No code change. This ratio should be confirmed or overridden by a cytopathologist before the 0.111 operating threshold it implies is used for anything beyond this study.</w:t>
      </w:r>
    </w:p>
    <w:p>
      <w:pPr>
        <w:pStyle w:val="Heading2"/>
      </w:pPr>
      <w:r>
        <w:t>A.3 New default inference confidence threshold</w:t>
      </w:r>
    </w:p>
    <w:p>
      <w:r>
        <w:rPr>
          <w:b w:val="0"/>
          <w:i w:val="0"/>
        </w:rPr>
        <w:t>Decision: adopt a lower default confidence threshold instead of retraining. Added config.DEFAULT_INFERENCE_CONF = 0.111 (the cost-weighted operating point derived from the Dyskeratotic PR curve in Section 4.6), and switched evaluation/confusion_matrix.py and evaluation/cross_dataset_eval.py to use it as their default --conf, replacing the prior arbitrary 0.25.</w:t>
      </w:r>
    </w:p>
    <w:p>
      <w:r>
        <w:rPr>
          <w:b w:val="0"/>
          <w:i w:val="0"/>
        </w:rPr>
        <w:t>Re-running the SIPaKMeD confusion matrix at the new default confirms the recall gain is not a Dyskeratotic-only effect — it holds across all 5 classes, at a fairly uniform precision cost: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F5496"/>
          </w:tcPr>
          <w:p>
            <w:r>
              <w:rPr>
                <w:b/>
                <w:color w:val="FFFFFF"/>
              </w:rPr>
              <w:t>Class</w:t>
            </w:r>
          </w:p>
        </w:tc>
        <w:tc>
          <w:tcPr>
            <w:tcW w:type="dxa" w:w="1728"/>
            <w:shd w:val="clear" w:fill="2F5496"/>
          </w:tcPr>
          <w:p>
            <w:r>
              <w:rPr>
                <w:b/>
                <w:color w:val="FFFFFF"/>
              </w:rPr>
              <w:t>Recall @0.25</w:t>
            </w:r>
          </w:p>
        </w:tc>
        <w:tc>
          <w:tcPr>
            <w:tcW w:type="dxa" w:w="1728"/>
            <w:shd w:val="clear" w:fill="2F5496"/>
          </w:tcPr>
          <w:p>
            <w:r>
              <w:rPr>
                <w:b/>
                <w:color w:val="FFFFFF"/>
              </w:rPr>
              <w:t>Recall @0.111</w:t>
            </w:r>
          </w:p>
        </w:tc>
        <w:tc>
          <w:tcPr>
            <w:tcW w:type="dxa" w:w="1728"/>
            <w:shd w:val="clear" w:fill="2F5496"/>
          </w:tcPr>
          <w:p>
            <w:r>
              <w:rPr>
                <w:b/>
                <w:color w:val="FFFFFF"/>
              </w:rPr>
              <w:t>Precision @0.25</w:t>
            </w:r>
          </w:p>
        </w:tc>
        <w:tc>
          <w:tcPr>
            <w:tcW w:type="dxa" w:w="1728"/>
            <w:shd w:val="clear" w:fill="2F5496"/>
          </w:tcPr>
          <w:p>
            <w:r>
              <w:rPr>
                <w:b/>
                <w:color w:val="FFFFFF"/>
              </w:rPr>
              <w:t>Precision @0.111</w:t>
            </w:r>
          </w:p>
        </w:tc>
      </w:tr>
      <w:tr>
        <w:tc>
          <w:tcPr>
            <w:tcW w:type="dxa" w:w="1728"/>
          </w:tcPr>
          <w:p>
            <w:r>
              <w:t>Dyskeratotic</w:t>
            </w:r>
          </w:p>
        </w:tc>
        <w:tc>
          <w:tcPr>
            <w:tcW w:type="dxa" w:w="1728"/>
          </w:tcPr>
          <w:p>
            <w:r>
              <w:t>0.506</w:t>
            </w:r>
          </w:p>
        </w:tc>
        <w:tc>
          <w:tcPr>
            <w:tcW w:type="dxa" w:w="1728"/>
          </w:tcPr>
          <w:p>
            <w:r>
              <w:t>0.596</w:t>
            </w:r>
          </w:p>
        </w:tc>
        <w:tc>
          <w:tcPr>
            <w:tcW w:type="dxa" w:w="1728"/>
          </w:tcPr>
          <w:p>
            <w:r>
              <w:t>0.556</w:t>
            </w:r>
          </w:p>
        </w:tc>
        <w:tc>
          <w:tcPr>
            <w:tcW w:type="dxa" w:w="1728"/>
          </w:tcPr>
          <w:p>
            <w:r>
              <w:t>0.398</w:t>
            </w:r>
          </w:p>
        </w:tc>
      </w:tr>
      <w:tr>
        <w:tc>
          <w:tcPr>
            <w:tcW w:type="dxa" w:w="1728"/>
          </w:tcPr>
          <w:p>
            <w:r>
              <w:t>Koilocytotic</w:t>
            </w:r>
          </w:p>
        </w:tc>
        <w:tc>
          <w:tcPr>
            <w:tcW w:type="dxa" w:w="1728"/>
          </w:tcPr>
          <w:p>
            <w:r>
              <w:t>0.566</w:t>
            </w:r>
          </w:p>
        </w:tc>
        <w:tc>
          <w:tcPr>
            <w:tcW w:type="dxa" w:w="1728"/>
          </w:tcPr>
          <w:p>
            <w:r>
              <w:t>0.697</w:t>
            </w:r>
          </w:p>
        </w:tc>
        <w:tc>
          <w:tcPr>
            <w:tcW w:type="dxa" w:w="1728"/>
          </w:tcPr>
          <w:p>
            <w:r>
              <w:t>0.401</w:t>
            </w:r>
          </w:p>
        </w:tc>
        <w:tc>
          <w:tcPr>
            <w:tcW w:type="dxa" w:w="1728"/>
          </w:tcPr>
          <w:p>
            <w:r>
              <w:t>0.265</w:t>
            </w:r>
          </w:p>
        </w:tc>
      </w:tr>
      <w:tr>
        <w:tc>
          <w:tcPr>
            <w:tcW w:type="dxa" w:w="1728"/>
          </w:tcPr>
          <w:p>
            <w:r>
              <w:t>Metaplastic</w:t>
            </w:r>
          </w:p>
        </w:tc>
        <w:tc>
          <w:tcPr>
            <w:tcW w:type="dxa" w:w="1728"/>
          </w:tcPr>
          <w:p>
            <w:r>
              <w:t>0.689</w:t>
            </w:r>
          </w:p>
        </w:tc>
        <w:tc>
          <w:tcPr>
            <w:tcW w:type="dxa" w:w="1728"/>
          </w:tcPr>
          <w:p>
            <w:r>
              <w:t>0.743</w:t>
            </w:r>
          </w:p>
        </w:tc>
        <w:tc>
          <w:tcPr>
            <w:tcW w:type="dxa" w:w="1728"/>
          </w:tcPr>
          <w:p>
            <w:r>
              <w:t>0.434</w:t>
            </w:r>
          </w:p>
        </w:tc>
        <w:tc>
          <w:tcPr>
            <w:tcW w:type="dxa" w:w="1728"/>
          </w:tcPr>
          <w:p>
            <w:r>
              <w:t>0.321</w:t>
            </w:r>
          </w:p>
        </w:tc>
      </w:tr>
      <w:tr>
        <w:tc>
          <w:tcPr>
            <w:tcW w:type="dxa" w:w="1728"/>
          </w:tcPr>
          <w:p>
            <w:r>
              <w:t>Parabasal</w:t>
            </w:r>
          </w:p>
        </w:tc>
        <w:tc>
          <w:tcPr>
            <w:tcW w:type="dxa" w:w="1728"/>
          </w:tcPr>
          <w:p>
            <w:r>
              <w:t>0.752</w:t>
            </w:r>
          </w:p>
        </w:tc>
        <w:tc>
          <w:tcPr>
            <w:tcW w:type="dxa" w:w="1728"/>
          </w:tcPr>
          <w:p>
            <w:r>
              <w:t>0.855</w:t>
            </w:r>
          </w:p>
        </w:tc>
        <w:tc>
          <w:tcPr>
            <w:tcW w:type="dxa" w:w="1728"/>
          </w:tcPr>
          <w:p>
            <w:r>
              <w:t>0.492</w:t>
            </w:r>
          </w:p>
        </w:tc>
        <w:tc>
          <w:tcPr>
            <w:tcW w:type="dxa" w:w="1728"/>
          </w:tcPr>
          <w:p>
            <w:r>
              <w:t>0.397</w:t>
            </w:r>
          </w:p>
        </w:tc>
      </w:tr>
      <w:tr>
        <w:tc>
          <w:tcPr>
            <w:tcW w:type="dxa" w:w="1728"/>
          </w:tcPr>
          <w:p>
            <w:r>
              <w:t>Superficial-Intermediate</w:t>
            </w:r>
          </w:p>
        </w:tc>
        <w:tc>
          <w:tcPr>
            <w:tcW w:type="dxa" w:w="1728"/>
          </w:tcPr>
          <w:p>
            <w:r>
              <w:t>0.672</w:t>
            </w:r>
          </w:p>
        </w:tc>
        <w:tc>
          <w:tcPr>
            <w:tcW w:type="dxa" w:w="1728"/>
          </w:tcPr>
          <w:p>
            <w:r>
              <w:t>0.780</w:t>
            </w:r>
          </w:p>
        </w:tc>
        <w:tc>
          <w:tcPr>
            <w:tcW w:type="dxa" w:w="1728"/>
          </w:tcPr>
          <w:p>
            <w:r>
              <w:t>0.435</w:t>
            </w:r>
          </w:p>
        </w:tc>
        <w:tc>
          <w:tcPr>
            <w:tcW w:type="dxa" w:w="1728"/>
          </w:tcPr>
          <w:p>
            <w:r>
              <w:t>0.349</w:t>
            </w:r>
          </w:p>
        </w:tc>
      </w:tr>
    </w:tbl>
    <w:p>
      <w:r>
        <w:rPr>
          <w:b w:val="0"/>
          <w:i/>
        </w:rPr>
        <w:t>This threshold change is applied at the evaluation-script level as a new default; Section 4's original tables above (computed at conf=0.25) are left as-is for historical comparison rather than rewritten.</w:t>
      </w:r>
    </w:p>
    <w:p>
      <w:pPr>
        <w:pStyle w:val="Heading2"/>
      </w:pPr>
      <w:r>
        <w:t>A.4 HMCHH-TCT cross-dataset evaluation</w:t>
      </w:r>
    </w:p>
    <w:p>
      <w:r>
        <w:rPr>
          <w:b w:val="0"/>
          <w:i w:val="0"/>
        </w:rPr>
        <w:t>Running the zero-shot evaluation against HMCHH-TCT (binary Abnormal-only labels, prepared on D: drive, 1,077 validation images) crashed immediately with an IndexError. Root cause: build_confusion_matrix() sized its confusion matrix using only the target dataset's class count (1 class -&gt; a 2x2 matrix), but predictions come from the SIPaKMeD-trained model's own 5-class vocabulary — a predicted class index of 2 or higher had nowhere to go. Fixed by sizing the matrix to max(target_classes, model_classes) + 1, so the background row/col sits one past the larger of the two vocabularies (evaluation/confusion_matrix.py, build_confusion_matrix()).</w:t>
      </w:r>
    </w:p>
    <w:p>
      <w:r>
        <w:rPr>
          <w:b/>
          <w:i w:val="0"/>
        </w:rPr>
        <w:t>Results, after the fix: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2F5496"/>
          </w:tcPr>
          <w:p>
            <w:r>
              <w:rPr>
                <w:b/>
                <w:color w:val="FFFFFF"/>
              </w:rPr>
              <w:t>Dataset</w:t>
            </w:r>
          </w:p>
        </w:tc>
        <w:tc>
          <w:tcPr>
            <w:tcW w:type="dxa" w:w="2160"/>
            <w:shd w:val="clear" w:fill="2F5496"/>
          </w:tcPr>
          <w:p>
            <w:r>
              <w:rPr>
                <w:b/>
                <w:color w:val="FFFFFF"/>
              </w:rPr>
              <w:t>Class-agnostic recall</w:t>
            </w:r>
          </w:p>
        </w:tc>
        <w:tc>
          <w:tcPr>
            <w:tcW w:type="dxa" w:w="2160"/>
            <w:shd w:val="clear" w:fill="2F5496"/>
          </w:tcPr>
          <w:p>
            <w:r>
              <w:rPr>
                <w:b/>
                <w:color w:val="FFFFFF"/>
              </w:rPr>
              <w:t>Class-agnostic precision</w:t>
            </w:r>
          </w:p>
        </w:tc>
        <w:tc>
          <w:tcPr>
            <w:tcW w:type="dxa" w:w="2160"/>
            <w:shd w:val="clear" w:fill="2F5496"/>
          </w:tcPr>
          <w:p>
            <w:r>
              <w:rPr>
                <w:b/>
                <w:color w:val="FFFFFF"/>
              </w:rPr>
              <w:t>Predicted / GT boxes</w:t>
            </w:r>
          </w:p>
        </w:tc>
      </w:tr>
      <w:tr>
        <w:tc>
          <w:tcPr>
            <w:tcW w:type="dxa" w:w="2160"/>
          </w:tcPr>
          <w:p>
            <w:r>
              <w:t>SIPaKMeD (in-distribution, conf=0.111)</w:t>
            </w:r>
          </w:p>
        </w:tc>
        <w:tc>
          <w:tcPr>
            <w:tcW w:type="dxa" w:w="2160"/>
          </w:tcPr>
          <w:p>
            <w:r>
              <w:t>0.765</w:t>
            </w:r>
          </w:p>
        </w:tc>
        <w:tc>
          <w:tcPr>
            <w:tcW w:type="dxa" w:w="2160"/>
          </w:tcPr>
          <w:p>
            <w:r>
              <w:t>0.353</w:t>
            </w:r>
          </w:p>
        </w:tc>
        <w:tc>
          <w:tcPr>
            <w:tcW w:type="dxa" w:w="2160"/>
          </w:tcPr>
          <w:p>
            <w:r>
              <w:t>1899 / 877</w:t>
            </w:r>
          </w:p>
        </w:tc>
      </w:tr>
      <w:tr>
        <w:tc>
          <w:tcPr>
            <w:tcW w:type="dxa" w:w="2160"/>
          </w:tcPr>
          <w:p>
            <w:r>
              <w:t>HMCHH-TCT (zero-shot, conf=0.111)</w:t>
            </w:r>
          </w:p>
        </w:tc>
        <w:tc>
          <w:tcPr>
            <w:tcW w:type="dxa" w:w="2160"/>
          </w:tcPr>
          <w:p>
            <w:r>
              <w:t>0.468</w:t>
            </w:r>
          </w:p>
        </w:tc>
        <w:tc>
          <w:tcPr>
            <w:tcW w:type="dxa" w:w="2160"/>
          </w:tcPr>
          <w:p>
            <w:r>
              <w:t>0.037</w:t>
            </w:r>
          </w:p>
        </w:tc>
        <w:tc>
          <w:tcPr>
            <w:tcW w:type="dxa" w:w="2160"/>
          </w:tcPr>
          <w:p>
            <w:r>
              <w:t>26,315 / 2,054</w:t>
            </w:r>
          </w:p>
        </w:tc>
      </w:tr>
    </w:tbl>
    <w:p>
      <w:r>
        <w:rPr>
          <w:b/>
          <w:i w:val="0"/>
        </w:rPr>
        <w:t>This is the opposite failure mode from APCData. On APCData the model under-fires (too few detections, recall collapses to 0.118). On HMCHH-TCT the model wildly over-fires: 26,315 predicted boxes against only 2,054 real cells, roughly 13 predictions per ground-truth box. Recall is actually closer to in-distribution (0.468) than APCData's, but precision collapses to 0.037 because the model is flagging huge numbers of non-cells as cells. This points to HMCHH-TCT's images differing from SIPaKMeD's in a way that makes background regions look cell-like to this model — likely staining, resolution, or artifact-density differences — a distinct domain-shift failure mode from APCData's under-detection, and worth its own investigation if HMCHH-TCT is a dataset this project intends to support.</w:t>
      </w:r>
    </w:p>
    <w:p>
      <w:pPr>
        <w:pStyle w:val="Heading2"/>
      </w:pPr>
      <w:r>
        <w:t>A.5 Label-format sanity check across scripts</w:t>
      </w:r>
    </w:p>
    <w:p>
      <w:r>
        <w:rPr>
          <w:b w:val="0"/>
          <w:i w:val="0"/>
        </w:rPr>
        <w:t>The recommendation to check label format before trusting a new dataset's numbers was validated by events, not added as new tooling: both A.1's and A.4's investigations surfaced their own instances of this same underlying bug class (ground-truth parsing assuming one label format; a confusion matrix sized for one class vocabulary meeting predictions from another). No separate automated checker was built — the fix pattern is now documented at both fix sites in code comments, and in this report, for the next dataset that gets added to the pipeline.</w:t>
      </w:r>
    </w:p>
    <w:p>
      <w:pPr>
        <w:pStyle w:val="Heading2"/>
      </w:pPr>
      <w:r>
        <w:t>Summary of code changes in this addendum</w:t>
      </w:r>
    </w:p>
    <w:p>
      <w:pPr>
        <w:pStyle w:val="ListBullet"/>
      </w:pPr>
      <w:r>
        <w:t>evaluation/confusion_matrix.py — added class_agnostic_detection_metrics(); fixed confusion-matrix sizing to accommodate mismatched GT/model class counts; --conf default now config.DEFAULT_INFERENCE_CONF.</w:t>
      </w:r>
    </w:p>
    <w:p>
      <w:pPr>
        <w:pStyle w:val="ListBullet"/>
      </w:pPr>
      <w:r>
        <w:t>evaluation/cross_dataset_eval.py — added class_agnostic_detection block to the phase2_cross_dataset report; --conf default now config.DEFAULT_INFERENCE_CONF.</w:t>
      </w:r>
    </w:p>
    <w:p>
      <w:pPr>
        <w:pStyle w:val="ListBullet"/>
      </w:pPr>
      <w:r>
        <w:t>config.py — added DEFAULT_INFERENCE_CONF = 0.111 with rationale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