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94" w:rsidRDefault="003A1A94" w:rsidP="003A1A94">
      <w:pPr>
        <w:jc w:val="center"/>
      </w:pPr>
      <w:r>
        <w:rPr>
          <w:rFonts w:ascii="Times" w:hAnsi="Times" w:cs="Times"/>
          <w:sz w:val="36"/>
          <w:szCs w:val="36"/>
        </w:rPr>
        <w:t xml:space="preserve">High energy magnetic excitations in the itinerant electron </w:t>
      </w:r>
      <w:proofErr w:type="spellStart"/>
      <w:r>
        <w:rPr>
          <w:rFonts w:ascii="Times" w:hAnsi="Times" w:cs="Times"/>
          <w:sz w:val="36"/>
          <w:szCs w:val="36"/>
        </w:rPr>
        <w:t>ferromagnet</w:t>
      </w:r>
      <w:proofErr w:type="spellEnd"/>
      <w:r>
        <w:rPr>
          <w:rFonts w:ascii="Times" w:hAnsi="Times" w:cs="Times"/>
          <w:sz w:val="36"/>
          <w:szCs w:val="36"/>
        </w:rPr>
        <w:t xml:space="preserve"> iron measured throughout the Brillouin zone.</w:t>
      </w:r>
    </w:p>
    <w:p w:rsidR="003A1A94" w:rsidRDefault="003A1A94" w:rsidP="003A1A94">
      <w:pPr>
        <w:rPr>
          <w:rFonts w:ascii="Times" w:hAnsi="Times" w:cs="Times"/>
          <w:sz w:val="36"/>
          <w:szCs w:val="36"/>
        </w:rPr>
      </w:pPr>
    </w:p>
    <w:p w:rsidR="003A1A94" w:rsidRDefault="003A1A94" w:rsidP="003A1A94">
      <w:pPr>
        <w:jc w:val="center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</w:rPr>
        <w:t xml:space="preserve">Alex Buts </w:t>
      </w:r>
      <w:r>
        <w:rPr>
          <w:rFonts w:ascii="Times" w:hAnsi="Times" w:cs="Times"/>
          <w:vertAlign w:val="superscript"/>
        </w:rPr>
        <w:t>1</w:t>
      </w:r>
      <w:r>
        <w:rPr>
          <w:rFonts w:ascii="Times" w:hAnsi="Times" w:cs="Times"/>
        </w:rPr>
        <w:t xml:space="preserve">, H.A. </w:t>
      </w:r>
      <w:proofErr w:type="spellStart"/>
      <w:r>
        <w:rPr>
          <w:rFonts w:ascii="Times" w:hAnsi="Times" w:cs="Times"/>
        </w:rPr>
        <w:t>Mook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, and T.G. Perring </w:t>
      </w:r>
      <w:r>
        <w:rPr>
          <w:rFonts w:ascii="Times" w:hAnsi="Times" w:cs="Times"/>
          <w:vertAlign w:val="superscript"/>
        </w:rPr>
        <w:t>1</w:t>
      </w:r>
    </w:p>
    <w:p w:rsidR="003A1A94" w:rsidRDefault="003A1A94" w:rsidP="003A1A94">
      <w:pPr>
        <w:jc w:val="center"/>
        <w:rPr>
          <w:rFonts w:ascii="Times" w:hAnsi="Times" w:cs="Times"/>
          <w:i/>
          <w:iCs/>
        </w:rPr>
      </w:pPr>
      <w:proofErr w:type="gramStart"/>
      <w:r>
        <w:rPr>
          <w:rFonts w:ascii="Times" w:hAnsi="Times" w:cs="Times"/>
          <w:i/>
          <w:iCs/>
          <w:vertAlign w:val="superscript"/>
        </w:rPr>
        <w:t>1</w:t>
      </w:r>
      <w:r>
        <w:rPr>
          <w:rFonts w:ascii="Times" w:hAnsi="Times" w:cs="Times"/>
          <w:i/>
          <w:iCs/>
        </w:rPr>
        <w:t xml:space="preserve"> ISIS Facility, Rutherford Appleton Laboratory; Didcot, OX11 0QX, U.K.</w:t>
      </w:r>
      <w:proofErr w:type="gramEnd"/>
    </w:p>
    <w:p w:rsidR="003A1A94" w:rsidRDefault="003A1A94" w:rsidP="003A1A94">
      <w:pPr>
        <w:jc w:val="center"/>
        <w:rPr>
          <w:rFonts w:ascii="Times" w:hAnsi="Times" w:cs="Times"/>
          <w:i/>
          <w:iCs/>
        </w:rPr>
      </w:pPr>
      <w:proofErr w:type="gramStart"/>
      <w:r>
        <w:rPr>
          <w:rFonts w:ascii="Times" w:hAnsi="Times" w:cs="Times"/>
          <w:i/>
          <w:iCs/>
          <w:vertAlign w:val="superscript"/>
        </w:rPr>
        <w:t>2</w:t>
      </w:r>
      <w:r>
        <w:rPr>
          <w:rFonts w:ascii="Times" w:hAnsi="Times" w:cs="Times"/>
          <w:i/>
          <w:iCs/>
        </w:rPr>
        <w:t xml:space="preserve"> (deceased) </w:t>
      </w:r>
      <w:proofErr w:type="spellStart"/>
      <w:r>
        <w:rPr>
          <w:rFonts w:ascii="Times" w:hAnsi="Times" w:cs="Times"/>
          <w:i/>
          <w:iCs/>
        </w:rPr>
        <w:t>Center</w:t>
      </w:r>
      <w:proofErr w:type="spellEnd"/>
      <w:r>
        <w:rPr>
          <w:rFonts w:ascii="Times" w:hAnsi="Times" w:cs="Times"/>
          <w:i/>
          <w:iCs/>
        </w:rPr>
        <w:t xml:space="preserve"> for Neutron Scattering, Oak Ridge National Laboratory; Oak Ridge, Tennessee 37831, U.S.A.</w:t>
      </w:r>
      <w:proofErr w:type="gramEnd"/>
    </w:p>
    <w:p w:rsidR="003A1A94" w:rsidRDefault="003A1A94" w:rsidP="003A1A94">
      <w:pPr>
        <w:rPr>
          <w:rFonts w:ascii="Times" w:hAnsi="Times" w:cs="Times"/>
        </w:rPr>
      </w:pPr>
    </w:p>
    <w:p w:rsidR="003A1A94" w:rsidRDefault="003A1A94" w:rsidP="003A1A94">
      <w:pPr>
        <w:rPr>
          <w:rFonts w:ascii="Times" w:hAnsi="Times" w:cs="Times"/>
        </w:rPr>
      </w:pPr>
      <w:r>
        <w:rPr>
          <w:rFonts w:ascii="Times" w:hAnsi="Times" w:cs="Times"/>
        </w:rPr>
        <w:t xml:space="preserve">As canonical examples of strongly correlated electron magnetism, the spin dynamics of the transition metal </w:t>
      </w:r>
      <w:proofErr w:type="spellStart"/>
      <w:r>
        <w:rPr>
          <w:rFonts w:ascii="Times" w:hAnsi="Times" w:cs="Times"/>
        </w:rPr>
        <w:t>ferromagnets</w:t>
      </w:r>
      <w:proofErr w:type="spellEnd"/>
      <w:r>
        <w:rPr>
          <w:rFonts w:ascii="Times" w:hAnsi="Times" w:cs="Times"/>
        </w:rPr>
        <w:t xml:space="preserve"> have been addressed both theoretically and experimentally for decades, and as such also act as benchmarks of the latest experimental and </w:t>
      </w:r>
      <w:proofErr w:type="spellStart"/>
      <w:r>
        <w:rPr>
          <w:rFonts w:ascii="Times" w:hAnsi="Times" w:cs="Times"/>
        </w:rPr>
        <w:t>calculational</w:t>
      </w:r>
      <w:proofErr w:type="spellEnd"/>
      <w:r>
        <w:rPr>
          <w:rFonts w:ascii="Times" w:hAnsi="Times" w:cs="Times"/>
        </w:rPr>
        <w:t xml:space="preserve"> tools.</w:t>
      </w:r>
    </w:p>
    <w:p w:rsidR="003A1A94" w:rsidRDefault="003A1A94" w:rsidP="003A1A9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t>We report the results of a complete measurement of the spin wave excitations in bcc iron up to 0.4eVthroughout the Brillouin zone, using the time of flight spectrometer MAPS at the ISIS facility.</w:t>
      </w:r>
    </w:p>
    <w:p w:rsidR="003A1A94" w:rsidRDefault="003A1A94" w:rsidP="003A1A94">
      <w:pPr>
        <w:spacing w:before="100" w:beforeAutospacing="1" w:after="100" w:afterAutospacing="1"/>
        <w:jc w:val="both"/>
      </w:pPr>
      <w:r>
        <w:t>In contrast to earlier triple axis spectrometer (TAS) results [1], the lower energy spin waves do not show a marked decrease in intensity as they extend beyond 0.1eV, a result which had been ascribed to the spin waves entering the Stoner continuum. Along the [111] direction the spin wave dispersion rises continuously to zone boundary energy 0.25eV, in qualitative agreement with later TAS results [2], and along [110] the dispersion rises continuously to 0.35eV at the zone boundary. However, we do not observe the break in the dispersion along [100] between</w:t>
      </w:r>
      <w:proofErr w:type="gramStart"/>
      <w:r>
        <w:t>  0.12</w:t>
      </w:r>
      <w:proofErr w:type="gramEnd"/>
      <w:r>
        <w:t>-0.25eV reported in Ref. 2. We discuss these differences, and will compare the data with Green function and recent time dependent DFT calculations [3]. Notably, the former predict a gap in the dispersion along [110], in contrast to the data, whereas the latter are in good qualitative agreement.</w:t>
      </w:r>
    </w:p>
    <w:p w:rsidR="003A1A94" w:rsidRDefault="003A1A94" w:rsidP="003A1A94">
      <w:pPr>
        <w:spacing w:before="100" w:beforeAutospacing="1" w:after="100" w:afterAutospacing="1"/>
        <w:jc w:val="both"/>
      </w:pPr>
    </w:p>
    <w:p w:rsidR="003A1A94" w:rsidRDefault="003A1A94" w:rsidP="003A1A94">
      <w:pPr>
        <w:pStyle w:val="Bibliography"/>
        <w:rPr>
          <w:rFonts w:ascii="Times" w:hAnsi="Times" w:cs="Times"/>
        </w:rPr>
      </w:pPr>
      <w:r>
        <w:rPr>
          <w:rFonts w:ascii="Times" w:hAnsi="Times" w:cs="Times"/>
        </w:rPr>
        <w:t xml:space="preserve">[1] H.A. </w:t>
      </w:r>
      <w:proofErr w:type="spellStart"/>
      <w:r>
        <w:rPr>
          <w:rFonts w:ascii="Times" w:hAnsi="Times" w:cs="Times"/>
        </w:rPr>
        <w:t>Mook</w:t>
      </w:r>
      <w:proofErr w:type="spellEnd"/>
      <w:r>
        <w:rPr>
          <w:rFonts w:ascii="Times" w:hAnsi="Times" w:cs="Times"/>
        </w:rPr>
        <w:t xml:space="preserve"> and R.M. </w:t>
      </w:r>
      <w:proofErr w:type="spellStart"/>
      <w:r>
        <w:rPr>
          <w:rFonts w:ascii="Times" w:hAnsi="Times" w:cs="Times"/>
        </w:rPr>
        <w:t>Nicklow</w:t>
      </w:r>
      <w:proofErr w:type="spellEnd"/>
      <w:r>
        <w:rPr>
          <w:rFonts w:ascii="Times" w:hAnsi="Times" w:cs="Times"/>
        </w:rPr>
        <w:t xml:space="preserve">, </w:t>
      </w:r>
      <w:r>
        <w:rPr>
          <w:rFonts w:ascii="Times" w:hAnsi="Times" w:cs="Times"/>
          <w:i/>
          <w:iCs/>
        </w:rPr>
        <w:t>Phys. Rev. B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b/>
          <w:bCs/>
        </w:rPr>
        <w:t>7</w:t>
      </w:r>
      <w:r>
        <w:rPr>
          <w:rFonts w:ascii="Times" w:hAnsi="Times" w:cs="Times"/>
        </w:rPr>
        <w:t xml:space="preserve"> 336(1973)</w:t>
      </w:r>
    </w:p>
    <w:p w:rsidR="003A1A94" w:rsidRDefault="003A1A94" w:rsidP="003A1A94">
      <w:pPr>
        <w:spacing w:before="100" w:beforeAutospacing="1"/>
        <w:rPr>
          <w:rFonts w:ascii="Times New Roman" w:hAnsi="Times New Roman" w:cs="Times New Roman"/>
        </w:rPr>
      </w:pPr>
      <w:r>
        <w:t xml:space="preserve">[2] D.M. Paul et al., </w:t>
      </w:r>
      <w:r>
        <w:rPr>
          <w:i/>
        </w:rPr>
        <w:t>Phys Rev B</w:t>
      </w:r>
      <w:r>
        <w:rPr>
          <w:b/>
        </w:rPr>
        <w:t>38</w:t>
      </w:r>
      <w:r>
        <w:t xml:space="preserve"> 580 (1988)</w:t>
      </w:r>
    </w:p>
    <w:p w:rsidR="003A1A94" w:rsidRDefault="003A1A94" w:rsidP="003A1A94">
      <w:pPr>
        <w:spacing w:before="100" w:beforeAutospacing="1"/>
      </w:pPr>
      <w:r>
        <w:t xml:space="preserve">[3] P. </w:t>
      </w:r>
      <w:proofErr w:type="spellStart"/>
      <w:r>
        <w:t>Buczek</w:t>
      </w:r>
      <w:proofErr w:type="spellEnd"/>
      <w:r>
        <w:t xml:space="preserve"> et al., </w:t>
      </w:r>
      <w:r>
        <w:rPr>
          <w:i/>
        </w:rPr>
        <w:t xml:space="preserve">Phys Rev B </w:t>
      </w:r>
      <w:r>
        <w:rPr>
          <w:b/>
        </w:rPr>
        <w:t>84</w:t>
      </w:r>
      <w:r>
        <w:t xml:space="preserve"> 174418 (2011)</w:t>
      </w:r>
      <w:bookmarkStart w:id="0" w:name="_GoBack"/>
      <w:bookmarkEnd w:id="0"/>
    </w:p>
    <w:sectPr w:rsidR="003A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77"/>
    <w:rsid w:val="000217DA"/>
    <w:rsid w:val="0002187A"/>
    <w:rsid w:val="000D5DA5"/>
    <w:rsid w:val="0013171F"/>
    <w:rsid w:val="00133352"/>
    <w:rsid w:val="00134363"/>
    <w:rsid w:val="001F5E77"/>
    <w:rsid w:val="00213CE3"/>
    <w:rsid w:val="0028369F"/>
    <w:rsid w:val="00353922"/>
    <w:rsid w:val="003A1A94"/>
    <w:rsid w:val="003B1E50"/>
    <w:rsid w:val="004E0387"/>
    <w:rsid w:val="004E644D"/>
    <w:rsid w:val="0058545B"/>
    <w:rsid w:val="005947D1"/>
    <w:rsid w:val="005A6618"/>
    <w:rsid w:val="00632999"/>
    <w:rsid w:val="00636110"/>
    <w:rsid w:val="006D5B0E"/>
    <w:rsid w:val="007D4C13"/>
    <w:rsid w:val="008C42F9"/>
    <w:rsid w:val="008C54F8"/>
    <w:rsid w:val="00962232"/>
    <w:rsid w:val="009628AB"/>
    <w:rsid w:val="009A0924"/>
    <w:rsid w:val="009D4EEF"/>
    <w:rsid w:val="009E4D59"/>
    <w:rsid w:val="00AE301F"/>
    <w:rsid w:val="00B14222"/>
    <w:rsid w:val="00C30CC1"/>
    <w:rsid w:val="00C330CC"/>
    <w:rsid w:val="00CB5D62"/>
    <w:rsid w:val="00CF7913"/>
    <w:rsid w:val="00D43E2B"/>
    <w:rsid w:val="00D53936"/>
    <w:rsid w:val="00D6535A"/>
    <w:rsid w:val="00D83151"/>
    <w:rsid w:val="00E229A3"/>
    <w:rsid w:val="00E242B7"/>
    <w:rsid w:val="00E87863"/>
    <w:rsid w:val="00EA785A"/>
    <w:rsid w:val="00F076AF"/>
    <w:rsid w:val="00F40468"/>
    <w:rsid w:val="00FB17AE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8545B"/>
    <w:pPr>
      <w:tabs>
        <w:tab w:val="left" w:pos="264"/>
      </w:tabs>
      <w:spacing w:after="0" w:line="480" w:lineRule="auto"/>
      <w:ind w:left="264" w:hanging="264"/>
    </w:pPr>
  </w:style>
  <w:style w:type="paragraph" w:styleId="ListParagraph">
    <w:name w:val="List Paragraph"/>
    <w:basedOn w:val="Normal"/>
    <w:uiPriority w:val="34"/>
    <w:qFormat/>
    <w:rsid w:val="005A6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8545B"/>
    <w:pPr>
      <w:tabs>
        <w:tab w:val="left" w:pos="264"/>
      </w:tabs>
      <w:spacing w:after="0" w:line="480" w:lineRule="auto"/>
      <w:ind w:left="264" w:hanging="264"/>
    </w:pPr>
  </w:style>
  <w:style w:type="paragraph" w:styleId="ListParagraph">
    <w:name w:val="List Paragraph"/>
    <w:basedOn w:val="Normal"/>
    <w:uiPriority w:val="34"/>
    <w:qFormat/>
    <w:rsid w:val="005A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DAFD-57F0-47B1-8FD0-D48B469C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Buts, Alex (STFC,RAL,ISIS)</dc:creator>
  <cp:lastModifiedBy>Buts, Alex (STFC,RAL,ISIS)</cp:lastModifiedBy>
  <cp:revision>3</cp:revision>
  <dcterms:created xsi:type="dcterms:W3CDTF">2017-02-24T15:54:00Z</dcterms:created>
  <dcterms:modified xsi:type="dcterms:W3CDTF">2017-07-05T10:06:00Z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id="JZuH0YrK"/&gt;&lt;style id="http://www.zotero.org/styles/nature" hasBibliography="1" bibliographyStyleHasBeenSet="1"/&gt;&lt;prefs&gt;&lt;pref name="fieldType" value="Field"/&gt;&lt;pref name="storeReferences" value=</vt:lpwstr>
  </property>
  <property fmtid="{D5CDD505-2E9C-101B-9397-08002B2CF9AE}" pid="3" name="ZOTERO_PREF_2">
    <vt:lpwstr>"true"/&gt;&lt;pref name="automaticJournalAbbreviations" value="true"/&gt;&lt;pref name="noteType" value=""/&gt;&lt;/prefs&gt;&lt;/data&gt;</vt:lpwstr>
  </property>
</Properties>
</file>