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1a500ff75fabc10cf2b8a570c4c1f20999c5ab"/>
    <w:p>
      <w:pPr>
        <w:pStyle w:val="Heading1"/>
      </w:pPr>
      <w:r>
        <w:t xml:space="preserve">Systematic Literature Review of Editorial Management and Automation Platforms (EMAP)</w:t>
      </w:r>
    </w:p>
    <w:bookmarkStart w:id="20" w:name="abstract"/>
    <w:p>
      <w:pPr>
        <w:pStyle w:val="Heading2"/>
      </w:pPr>
      <w:r>
        <w:t xml:space="preserve">Abstract</w:t>
      </w:r>
    </w:p>
    <w:p>
      <w:pPr>
        <w:pStyle w:val="FirstParagraph"/>
      </w:pPr>
      <w:r>
        <w:t xml:space="preserve">The exponential growth of scholarly publishing and academic events has created a need for editorial management and automation platforms (EMAPs) that streamline submission, peer review, decision‑making and publication. This systematic literature review (SLR) synthesises recent research on journal management systems, conference management systems and learning management system (LMS) portals used by universities in Pakistan and abroad. Using a broad search of 2000–2025 publications, 30 peer‑reviewed papers were selected that present system designs, evaluations, privacy and security solutions or adoption studies. The review identifies common features across EMAPs (modular architectures, workflow automation, reviewer assignment algorithms, metadata extraction, analytics dashboards and integration with external identifiers), summarises empirical evidence on usability and acceptance, and highlights advances such as social networking, deep‑link mechanisms, blockchains and large language models for reviewer matching.</w:t>
      </w:r>
    </w:p>
    <w:bookmarkEnd w:id="20"/>
    <w:bookmarkStart w:id="21" w:name="introduction"/>
    <w:p>
      <w:pPr>
        <w:pStyle w:val="Heading2"/>
      </w:pPr>
      <w:r>
        <w:t xml:space="preserve">Introduction</w:t>
      </w:r>
    </w:p>
    <w:p>
      <w:pPr>
        <w:pStyle w:val="FirstParagraph"/>
      </w:pPr>
      <w:r>
        <w:t xml:space="preserve">Editorial management and automation platforms encompass journal management systems (JMS), conference management systems (CMS) and related LMS portals that handle submission, peer review, acceptance, production and dissemination of scholarly works. Traditional manual processes are laborious and prone to error; hence, universities and publishers around the world have adopted digital platforms to enhance efficiency, transparency and accessibility. Pakistan’s universities have recently deployed LMS portals to support distance education and digital publishing, while international initiatives such as Open Journal Systems (OJS), Editorial Manager and ConfiChair have modernised editorial workflows. This SLR uses the existing literature to map the development of EMAPs, evaluate their usability, examine adoption in academic settings and explore emerging technologies that address privacy, security and reviewer assignment challenges.</w:t>
      </w:r>
    </w:p>
    <w:bookmarkEnd w:id="21"/>
    <w:bookmarkStart w:id="22" w:name="methodology"/>
    <w:p>
      <w:pPr>
        <w:pStyle w:val="Heading2"/>
      </w:pPr>
      <w:r>
        <w:t xml:space="preserve">Methodology</w:t>
      </w:r>
    </w:p>
    <w:p>
      <w:pPr>
        <w:pStyle w:val="FirstParagraph"/>
      </w:pPr>
      <w:r>
        <w:t xml:space="preserve">The literature review followed PRISMA guidelines. Searches were conducted in databases such as Google Scholar, PubMed Central, arXiv and conference proceedings using keywords including</w:t>
      </w:r>
      <w:r>
        <w:t xml:space="preserve"> </w:t>
      </w:r>
      <w:r>
        <w:t xml:space="preserve">“</w:t>
      </w:r>
      <w:r>
        <w:t xml:space="preserve">journal management system,</w:t>
      </w:r>
      <w:r>
        <w:t xml:space="preserve">”</w:t>
      </w:r>
      <w:r>
        <w:t xml:space="preserve"> </w:t>
      </w:r>
      <w:r>
        <w:t xml:space="preserve">“</w:t>
      </w:r>
      <w:r>
        <w:t xml:space="preserve">conference management system,</w:t>
      </w:r>
      <w:r>
        <w:t xml:space="preserve">”</w:t>
      </w:r>
      <w:r>
        <w:t xml:space="preserve"> </w:t>
      </w:r>
      <w:r>
        <w:t xml:space="preserve">“</w:t>
      </w:r>
      <w:r>
        <w:t xml:space="preserve">editorial automation,</w:t>
      </w:r>
      <w:r>
        <w:t xml:space="preserve">”</w:t>
      </w:r>
      <w:r>
        <w:t xml:space="preserve"> </w:t>
      </w:r>
      <w:r>
        <w:t xml:space="preserve">“</w:t>
      </w:r>
      <w:r>
        <w:t xml:space="preserve">peer review platform,</w:t>
      </w:r>
      <w:r>
        <w:t xml:space="preserve">”</w:t>
      </w:r>
      <w:r>
        <w:t xml:space="preserve"> </w:t>
      </w:r>
      <w:r>
        <w:t xml:space="preserve">“</w:t>
      </w:r>
      <w:r>
        <w:t xml:space="preserve">Open Journal Systems,</w:t>
      </w:r>
      <w:r>
        <w:t xml:space="preserve">”</w:t>
      </w:r>
      <w:r>
        <w:t xml:space="preserve"> </w:t>
      </w:r>
      <w:r>
        <w:t xml:space="preserve">“</w:t>
      </w:r>
      <w:r>
        <w:t xml:space="preserve">learning management system adoption</w:t>
      </w:r>
      <w:r>
        <w:t xml:space="preserve">”</w:t>
      </w:r>
      <w:r>
        <w:t xml:space="preserve"> </w:t>
      </w:r>
      <w:r>
        <w:t xml:space="preserve">and</w:t>
      </w:r>
      <w:r>
        <w:t xml:space="preserve"> </w:t>
      </w:r>
      <w:r>
        <w:t xml:space="preserve">“</w:t>
      </w:r>
      <w:r>
        <w:t xml:space="preserve">university portal.</w:t>
      </w:r>
      <w:r>
        <w:t xml:space="preserve">”</w:t>
      </w:r>
      <w:r>
        <w:t xml:space="preserve"> </w:t>
      </w:r>
      <w:r>
        <w:t xml:space="preserve">Publications from 2000 to 2025 were considered. After screening titles and abstracts for relevance, 30 studies were selected that (1) present a system or framework for managing journal or conference workflows, (2) evaluate usability or adoption of these platforms, or (3) propose technical enhancements (e.g., privacy, metadata extraction, reviewer assignment). Studies solely describing commercial products or non‑academic blogs were excluded. Table 1 summarises each included paper along with its hyperlink, objectives, methodologies and key findings.</w:t>
      </w:r>
    </w:p>
    <w:bookmarkEnd w:id="22"/>
    <w:bookmarkStart w:id="56" w:name="literature-review"/>
    <w:p>
      <w:pPr>
        <w:pStyle w:val="Heading2"/>
      </w:pPr>
      <w:r>
        <w:t xml:space="preserve">Literature review</w:t>
      </w:r>
    </w:p>
    <w:bookmarkStart w:id="53" w:name="summary-of-included-research-papers"/>
    <w:p>
      <w:pPr>
        <w:pStyle w:val="Heading3"/>
      </w:pPr>
      <w:r>
        <w:t xml:space="preserve">Summary of included research papers</w:t>
      </w:r>
    </w:p>
    <w:p>
      <w:pPr>
        <w:pStyle w:val="FirstParagraph"/>
      </w:pPr>
      <w:r>
        <w:t xml:space="preserve">The table below lists the 30 papers reviewed. Each title links to the publicly accessible article or PDF.</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Paper (link) &amp; Year</w:t>
            </w:r>
          </w:p>
        </w:tc>
        <w:tc>
          <w:tcPr/>
          <w:p>
            <w:pPr>
              <w:pStyle w:val="Compact"/>
              <w:jc w:val="left"/>
            </w:pPr>
            <w:r>
              <w:t xml:space="preserve">Focus and methodology</w:t>
            </w:r>
          </w:p>
        </w:tc>
        <w:tc>
          <w:tcPr/>
          <w:p>
            <w:pPr>
              <w:pStyle w:val="Compact"/>
              <w:jc w:val="left"/>
            </w:pPr>
            <w:r>
              <w:t xml:space="preserve">Key findings</w:t>
            </w:r>
          </w:p>
        </w:tc>
      </w:tr>
      <w:tr>
        <w:tc>
          <w:tcPr/>
          <w:p>
            <w:pPr>
              <w:pStyle w:val="Compact"/>
              <w:jc w:val="left"/>
            </w:pPr>
            <w:r>
              <w:t xml:space="preserve">1</w:t>
            </w:r>
          </w:p>
        </w:tc>
        <w:tc>
          <w:tcPr/>
          <w:p>
            <w:pPr>
              <w:pStyle w:val="Compact"/>
              <w:jc w:val="left"/>
            </w:pPr>
            <w:hyperlink r:id="rId23">
              <w:r>
                <w:rPr>
                  <w:rStyle w:val="Hyperlink"/>
                </w:rPr>
                <w:t xml:space="preserve">Akinsola et al. (2020)</w:t>
              </w:r>
            </w:hyperlink>
          </w:p>
        </w:tc>
        <w:tc>
          <w:tcPr/>
          <w:p>
            <w:pPr>
              <w:pStyle w:val="Compact"/>
              <w:jc w:val="left"/>
            </w:pPr>
            <w:r>
              <w:t xml:space="preserve">Design of a PHP/MySQL web‑based Journal Management System (JMS) to replace manual processes at Akwa Ibom State University. Participatory development model.</w:t>
            </w:r>
          </w:p>
        </w:tc>
        <w:tc>
          <w:tcPr/>
          <w:p>
            <w:pPr>
              <w:pStyle w:val="Compact"/>
              <w:jc w:val="left"/>
            </w:pPr>
            <w:r>
              <w:t xml:space="preserve">Introduces super‑admin and user modules handling submission, review, payment and publication. Automation improves efficiency and accessibility for authors and researchers【642975219959427†L15-L47】.</w:t>
            </w:r>
          </w:p>
        </w:tc>
      </w:tr>
      <w:tr>
        <w:tc>
          <w:tcPr/>
          <w:p>
            <w:pPr>
              <w:pStyle w:val="Compact"/>
              <w:jc w:val="left"/>
            </w:pPr>
            <w:r>
              <w:t xml:space="preserve">2</w:t>
            </w:r>
          </w:p>
        </w:tc>
        <w:tc>
          <w:tcPr/>
          <w:p>
            <w:pPr>
              <w:pStyle w:val="Compact"/>
              <w:jc w:val="left"/>
            </w:pPr>
            <w:hyperlink r:id="rId24">
              <w:r>
                <w:rPr>
                  <w:rStyle w:val="Hyperlink"/>
                </w:rPr>
                <w:t xml:space="preserve">Johansson et al. (2015)</w:t>
              </w:r>
            </w:hyperlink>
          </w:p>
        </w:tc>
        <w:tc>
          <w:tcPr/>
          <w:p>
            <w:pPr>
              <w:pStyle w:val="Compact"/>
              <w:jc w:val="left"/>
            </w:pPr>
            <w:r>
              <w:t xml:space="preserve">Qualitative study on implementing a journal management system at a Swedish journal using negotiation theory.</w:t>
            </w:r>
          </w:p>
        </w:tc>
        <w:tc>
          <w:tcPr/>
          <w:p>
            <w:pPr>
              <w:pStyle w:val="Compact"/>
              <w:jc w:val="left"/>
            </w:pPr>
            <w:r>
              <w:t xml:space="preserve">Learning occurs through negotiation among editors and reviewers; the system acts as a boundary object enabling new workflows and organisational learning【902215184666754†L25-L44】.</w:t>
            </w:r>
          </w:p>
        </w:tc>
      </w:tr>
      <w:tr>
        <w:tc>
          <w:tcPr/>
          <w:p>
            <w:pPr>
              <w:pStyle w:val="Compact"/>
              <w:jc w:val="left"/>
            </w:pPr>
            <w:r>
              <w:t xml:space="preserve">3</w:t>
            </w:r>
          </w:p>
        </w:tc>
        <w:tc>
          <w:tcPr/>
          <w:p>
            <w:pPr>
              <w:pStyle w:val="Compact"/>
              <w:jc w:val="left"/>
            </w:pPr>
            <w:hyperlink r:id="rId25">
              <w:r>
                <w:rPr>
                  <w:rStyle w:val="Hyperlink"/>
                </w:rPr>
                <w:t xml:space="preserve">Azam &amp; Akbar (2023)</w:t>
              </w:r>
            </w:hyperlink>
          </w:p>
        </w:tc>
        <w:tc>
          <w:tcPr/>
          <w:p>
            <w:pPr>
              <w:pStyle w:val="Compact"/>
              <w:jc w:val="left"/>
            </w:pPr>
            <w:r>
              <w:t xml:space="preserve">Case study describing development of a web application for the Journal of Research and Innovations in Engineering (JORIE) using ASP.NET Core and Vue.js.</w:t>
            </w:r>
          </w:p>
        </w:tc>
        <w:tc>
          <w:tcPr/>
          <w:p>
            <w:pPr>
              <w:pStyle w:val="Compact"/>
              <w:jc w:val="left"/>
            </w:pPr>
            <w:r>
              <w:t xml:space="preserve">The website lets readers search, view and download articles; the dashboard manages submissions, reviewer assignments and editorial decisions, improving visibility and efficiency【538294889848861†L23-L49】【538294889848861†L67-L144】.</w:t>
            </w:r>
          </w:p>
        </w:tc>
      </w:tr>
      <w:tr>
        <w:tc>
          <w:tcPr/>
          <w:p>
            <w:pPr>
              <w:pStyle w:val="Compact"/>
              <w:jc w:val="left"/>
            </w:pPr>
            <w:r>
              <w:t xml:space="preserve">4</w:t>
            </w:r>
          </w:p>
        </w:tc>
        <w:tc>
          <w:tcPr/>
          <w:p>
            <w:pPr>
              <w:pStyle w:val="Compact"/>
              <w:jc w:val="left"/>
            </w:pPr>
            <w:hyperlink r:id="rId26">
              <w:r>
                <w:rPr>
                  <w:rStyle w:val="Hyperlink"/>
                </w:rPr>
                <w:t xml:space="preserve">Akbar &amp; Azam (2023)</w:t>
              </w:r>
            </w:hyperlink>
          </w:p>
        </w:tc>
        <w:tc>
          <w:tcPr/>
          <w:p>
            <w:pPr>
              <w:pStyle w:val="Compact"/>
              <w:jc w:val="left"/>
            </w:pPr>
            <w:r>
              <w:t xml:space="preserve">Five‑point Likert scale evaluation of the JORIE JMS.</w:t>
            </w:r>
          </w:p>
        </w:tc>
        <w:tc>
          <w:tcPr/>
          <w:p>
            <w:pPr>
              <w:pStyle w:val="Compact"/>
              <w:jc w:val="left"/>
            </w:pPr>
            <w:r>
              <w:t xml:space="preserve">High acceptance for SMS/e‑mail notifications (90 %), full acceptance for submission simplicity (100 %) and ~74 % satisfaction with peer‑review efficiency; overall workload reduced by ~52 %【85962079202249†L23-L89】【85962079202249†L95-L139】.</w:t>
            </w:r>
          </w:p>
        </w:tc>
      </w:tr>
      <w:tr>
        <w:tc>
          <w:tcPr/>
          <w:p>
            <w:pPr>
              <w:pStyle w:val="Compact"/>
              <w:jc w:val="left"/>
            </w:pPr>
            <w:r>
              <w:t xml:space="preserve">5</w:t>
            </w:r>
          </w:p>
        </w:tc>
        <w:tc>
          <w:tcPr/>
          <w:p>
            <w:pPr>
              <w:pStyle w:val="Compact"/>
              <w:jc w:val="left"/>
            </w:pPr>
            <w:hyperlink r:id="rId27">
              <w:r>
                <w:rPr>
                  <w:rStyle w:val="Hyperlink"/>
                </w:rPr>
                <w:t xml:space="preserve">Rizal et al. (2022)</w:t>
              </w:r>
            </w:hyperlink>
          </w:p>
        </w:tc>
        <w:tc>
          <w:tcPr/>
          <w:p>
            <w:pPr>
              <w:pStyle w:val="Compact"/>
              <w:jc w:val="left"/>
            </w:pPr>
            <w:r>
              <w:t xml:space="preserve">MVC‑based social‑networked JMS integrating secure deep links.</w:t>
            </w:r>
          </w:p>
        </w:tc>
        <w:tc>
          <w:tcPr/>
          <w:p>
            <w:pPr>
              <w:pStyle w:val="Compact"/>
              <w:jc w:val="left"/>
            </w:pPr>
            <w:r>
              <w:t xml:space="preserve">Social networking features and deep‑link notifications allow authors/reviewers to access specific submissions directly. User tests show improved timeliness and work efficiency【155959864005657†L21-L112】【155959864005657†L150-L204】.</w:t>
            </w:r>
          </w:p>
        </w:tc>
      </w:tr>
      <w:tr>
        <w:tc>
          <w:tcPr/>
          <w:p>
            <w:pPr>
              <w:pStyle w:val="Compact"/>
              <w:jc w:val="left"/>
            </w:pPr>
            <w:r>
              <w:t xml:space="preserve">6</w:t>
            </w:r>
          </w:p>
        </w:tc>
        <w:tc>
          <w:tcPr/>
          <w:p>
            <w:pPr>
              <w:pStyle w:val="Compact"/>
              <w:jc w:val="left"/>
            </w:pPr>
            <w:hyperlink r:id="rId28">
              <w:r>
                <w:rPr>
                  <w:rStyle w:val="Hyperlink"/>
                </w:rPr>
                <w:t xml:space="preserve">HIR Editorial Board (2018)</w:t>
              </w:r>
            </w:hyperlink>
          </w:p>
        </w:tc>
        <w:tc>
          <w:tcPr/>
          <w:p>
            <w:pPr>
              <w:pStyle w:val="Compact"/>
              <w:jc w:val="left"/>
            </w:pPr>
            <w:r>
              <w:t xml:space="preserve">Editorial outlining the adoption of a new online submission and peer‑review system for</w:t>
            </w:r>
            <w:r>
              <w:t xml:space="preserve"> </w:t>
            </w:r>
            <w:r>
              <w:rPr>
                <w:iCs/>
                <w:i/>
              </w:rPr>
              <w:t xml:space="preserve">Healthcare Informatics Research</w:t>
            </w:r>
            <w:r>
              <w:t xml:space="preserve">.</w:t>
            </w:r>
          </w:p>
        </w:tc>
        <w:tc>
          <w:tcPr/>
          <w:p>
            <w:pPr>
              <w:pStyle w:val="Compact"/>
              <w:jc w:val="left"/>
            </w:pPr>
            <w:r>
              <w:t xml:space="preserve">Features include ORCID/Ringgold integration, secure deep links for reviewers, similarity checking and editor tools for reviewer discovery. Upgrade to Editorial Manager improved efficiency and accessibility【50666802536811†L141-L174】【50666802536811†L182-L225】.</w:t>
            </w:r>
          </w:p>
        </w:tc>
      </w:tr>
      <w:tr>
        <w:tc>
          <w:tcPr/>
          <w:p>
            <w:pPr>
              <w:pStyle w:val="Compact"/>
              <w:jc w:val="left"/>
            </w:pPr>
            <w:r>
              <w:t xml:space="preserve">7</w:t>
            </w:r>
          </w:p>
        </w:tc>
        <w:tc>
          <w:tcPr/>
          <w:p>
            <w:pPr>
              <w:pStyle w:val="Compact"/>
              <w:jc w:val="left"/>
            </w:pPr>
            <w:hyperlink r:id="rId29">
              <w:r>
                <w:rPr>
                  <w:rStyle w:val="Hyperlink"/>
                </w:rPr>
                <w:t xml:space="preserve">Kamid et al. (2025)</w:t>
              </w:r>
            </w:hyperlink>
          </w:p>
        </w:tc>
        <w:tc>
          <w:tcPr/>
          <w:p>
            <w:pPr>
              <w:pStyle w:val="Compact"/>
              <w:jc w:val="left"/>
            </w:pPr>
            <w:r>
              <w:t xml:space="preserve">Qualitative interviews with 20 editors at Jambi University evaluating web‑based JMS needs for accreditation.</w:t>
            </w:r>
          </w:p>
        </w:tc>
        <w:tc>
          <w:tcPr/>
          <w:p>
            <w:pPr>
              <w:pStyle w:val="Compact"/>
              <w:jc w:val="left"/>
            </w:pPr>
            <w:r>
              <w:t xml:space="preserve">85 % of respondents use the journal website for indexation; 90 % consider web‑based management essential. Recommended features include statistics dashboards, evaluation mechanisms and training for editors【196880899572311†L224-L274】【196880899572311†L310-L356】【196880899572311†L366-L456】.</w:t>
            </w:r>
          </w:p>
        </w:tc>
      </w:tr>
      <w:tr>
        <w:tc>
          <w:tcPr/>
          <w:p>
            <w:pPr>
              <w:pStyle w:val="Compact"/>
              <w:jc w:val="left"/>
            </w:pPr>
            <w:r>
              <w:t xml:space="preserve">8</w:t>
            </w:r>
          </w:p>
        </w:tc>
        <w:tc>
          <w:tcPr/>
          <w:p>
            <w:pPr>
              <w:pStyle w:val="Compact"/>
              <w:jc w:val="left"/>
            </w:pPr>
            <w:hyperlink r:id="rId30">
              <w:r>
                <w:rPr>
                  <w:rStyle w:val="Hyperlink"/>
                </w:rPr>
                <w:t xml:space="preserve">Baker (2020)</w:t>
              </w:r>
            </w:hyperlink>
          </w:p>
        </w:tc>
        <w:tc>
          <w:tcPr/>
          <w:p>
            <w:pPr>
              <w:pStyle w:val="Compact"/>
              <w:jc w:val="left"/>
            </w:pPr>
            <w:r>
              <w:t xml:space="preserve">Assessment of open‑source journal software using the QualiPSo Open Maturity Model.</w:t>
            </w:r>
          </w:p>
        </w:tc>
        <w:tc>
          <w:tcPr/>
          <w:p>
            <w:pPr>
              <w:pStyle w:val="Compact"/>
              <w:jc w:val="left"/>
            </w:pPr>
            <w:r>
              <w:t xml:space="preserve">Only Ambra, Lodel and OJS were actively maintained; OJS scored highest on community and development maturity【279899196481861†L52-L66】 and researchers should engage with open‑source communities for sustainable systems【279899196481861†L78-L89】.</w:t>
            </w:r>
          </w:p>
        </w:tc>
      </w:tr>
      <w:tr>
        <w:tc>
          <w:tcPr/>
          <w:p>
            <w:pPr>
              <w:pStyle w:val="Compact"/>
              <w:jc w:val="left"/>
            </w:pPr>
            <w:r>
              <w:t xml:space="preserve">9</w:t>
            </w:r>
          </w:p>
        </w:tc>
        <w:tc>
          <w:tcPr/>
          <w:p>
            <w:pPr>
              <w:pStyle w:val="Compact"/>
              <w:jc w:val="left"/>
            </w:pPr>
            <w:hyperlink r:id="rId31">
              <w:r>
                <w:rPr>
                  <w:rStyle w:val="Hyperlink"/>
                </w:rPr>
                <w:t xml:space="preserve">Bellini et al. (2011)</w:t>
              </w:r>
            </w:hyperlink>
          </w:p>
        </w:tc>
        <w:tc>
          <w:tcPr/>
          <w:p>
            <w:pPr>
              <w:pStyle w:val="Compact"/>
              <w:jc w:val="left"/>
            </w:pPr>
            <w:r>
              <w:t xml:space="preserve">Development of</w:t>
            </w:r>
            <w:r>
              <w:t xml:space="preserve"> </w:t>
            </w:r>
            <w:r>
              <w:rPr>
                <w:iCs/>
                <w:i/>
              </w:rPr>
              <w:t xml:space="preserve">Palamede</w:t>
            </w:r>
            <w:r>
              <w:t xml:space="preserve">, a multi‑press platform built by re‑engineering OJS.</w:t>
            </w:r>
          </w:p>
        </w:tc>
        <w:tc>
          <w:tcPr/>
          <w:p>
            <w:pPr>
              <w:pStyle w:val="Compact"/>
              <w:jc w:val="left"/>
            </w:pPr>
            <w:r>
              <w:t xml:space="preserve">Supports multiple university presses; offers uniform metadata harvesting, cross‑press search and single user registration. Preserves OJS features like multilingual interface, automated peer review and content management【743988954828698†L18-L29】【743988954828698†L134-L158】【743988954828698†L74-L83】【743988954828698†L162-L171】.</w:t>
            </w:r>
          </w:p>
        </w:tc>
      </w:tr>
      <w:tr>
        <w:tc>
          <w:tcPr/>
          <w:p>
            <w:pPr>
              <w:pStyle w:val="Compact"/>
              <w:jc w:val="left"/>
            </w:pPr>
            <w:r>
              <w:t xml:space="preserve">10</w:t>
            </w:r>
          </w:p>
        </w:tc>
        <w:tc>
          <w:tcPr/>
          <w:p>
            <w:pPr>
              <w:pStyle w:val="Compact"/>
              <w:jc w:val="left"/>
            </w:pPr>
            <w:hyperlink r:id="rId32">
              <w:r>
                <w:rPr>
                  <w:rStyle w:val="Hyperlink"/>
                </w:rPr>
                <w:t xml:space="preserve">Priatna et al. (2017)</w:t>
              </w:r>
            </w:hyperlink>
          </w:p>
        </w:tc>
        <w:tc>
          <w:tcPr/>
          <w:p>
            <w:pPr>
              <w:pStyle w:val="Compact"/>
              <w:jc w:val="left"/>
            </w:pPr>
            <w:r>
              <w:t xml:space="preserve">Development of review rating and reporting plugins for OJS.</w:t>
            </w:r>
          </w:p>
        </w:tc>
        <w:tc>
          <w:tcPr/>
          <w:p>
            <w:pPr>
              <w:pStyle w:val="Compact"/>
              <w:jc w:val="left"/>
            </w:pPr>
            <w:r>
              <w:t xml:space="preserve">Provides automated recommendations for editors to evaluate review quality and generates reports for publishers; improves decision‑making efficiency.</w:t>
            </w:r>
          </w:p>
        </w:tc>
      </w:tr>
      <w:tr>
        <w:tc>
          <w:tcPr/>
          <w:p>
            <w:pPr>
              <w:pStyle w:val="Compact"/>
              <w:jc w:val="left"/>
            </w:pPr>
            <w:r>
              <w:t xml:space="preserve">11</w:t>
            </w:r>
          </w:p>
        </w:tc>
        <w:tc>
          <w:tcPr/>
          <w:p>
            <w:pPr>
              <w:pStyle w:val="Compact"/>
              <w:jc w:val="left"/>
            </w:pPr>
            <w:hyperlink r:id="rId33">
              <w:r>
                <w:rPr>
                  <w:rStyle w:val="Hyperlink"/>
                </w:rPr>
                <w:t xml:space="preserve">Rizqi et al. (2024)</w:t>
              </w:r>
            </w:hyperlink>
          </w:p>
        </w:tc>
        <w:tc>
          <w:tcPr/>
          <w:p>
            <w:pPr>
              <w:pStyle w:val="Compact"/>
              <w:jc w:val="left"/>
            </w:pPr>
            <w:r>
              <w:t xml:space="preserve">Rule‑based metadata extractor plugin for OJS.</w:t>
            </w:r>
          </w:p>
        </w:tc>
        <w:tc>
          <w:tcPr/>
          <w:p>
            <w:pPr>
              <w:pStyle w:val="Compact"/>
              <w:jc w:val="left"/>
            </w:pPr>
            <w:r>
              <w:t xml:space="preserve">Automatically extracts titles, author names, affiliations and emails; achieved 95 % precision and made metadata population 3.72 × faster【792373743519991†L83-L105】.</w:t>
            </w:r>
          </w:p>
        </w:tc>
      </w:tr>
      <w:tr>
        <w:tc>
          <w:tcPr/>
          <w:p>
            <w:pPr>
              <w:pStyle w:val="Compact"/>
              <w:jc w:val="left"/>
            </w:pPr>
            <w:r>
              <w:t xml:space="preserve">12</w:t>
            </w:r>
          </w:p>
        </w:tc>
        <w:tc>
          <w:tcPr/>
          <w:p>
            <w:pPr>
              <w:pStyle w:val="Compact"/>
              <w:jc w:val="left"/>
            </w:pPr>
            <w:hyperlink r:id="rId34">
              <w:r>
                <w:rPr>
                  <w:rStyle w:val="Hyperlink"/>
                </w:rPr>
                <w:t xml:space="preserve">Kurniawan et al. (2025)</w:t>
              </w:r>
            </w:hyperlink>
          </w:p>
        </w:tc>
        <w:tc>
          <w:tcPr/>
          <w:p>
            <w:pPr>
              <w:pStyle w:val="Compact"/>
              <w:jc w:val="left"/>
            </w:pPr>
            <w:r>
              <w:t xml:space="preserve">Post‑attack mitigation for OJS using the KUAD method.</w:t>
            </w:r>
          </w:p>
        </w:tc>
        <w:tc>
          <w:tcPr/>
          <w:p>
            <w:pPr>
              <w:pStyle w:val="Compact"/>
              <w:jc w:val="left"/>
            </w:pPr>
            <w:r>
              <w:t xml:space="preserve">Tripwire monitors file integrity; rsync‑based backup restores 15 365 files with 100 % success【66281607041116†L109-L125】, demonstrating effective recovery from cyber‑attacks.</w:t>
            </w:r>
          </w:p>
        </w:tc>
      </w:tr>
      <w:tr>
        <w:tc>
          <w:tcPr/>
          <w:p>
            <w:pPr>
              <w:pStyle w:val="Compact"/>
              <w:jc w:val="left"/>
            </w:pPr>
            <w:r>
              <w:t xml:space="preserve">13</w:t>
            </w:r>
          </w:p>
        </w:tc>
        <w:tc>
          <w:tcPr/>
          <w:p>
            <w:pPr>
              <w:pStyle w:val="Compact"/>
              <w:jc w:val="left"/>
            </w:pPr>
            <w:hyperlink r:id="rId35">
              <w:r>
                <w:rPr>
                  <w:rStyle w:val="Hyperlink"/>
                </w:rPr>
                <w:t xml:space="preserve">California Digital Library (2013)</w:t>
              </w:r>
            </w:hyperlink>
          </w:p>
        </w:tc>
        <w:tc>
          <w:tcPr/>
          <w:p>
            <w:pPr>
              <w:pStyle w:val="Compact"/>
              <w:jc w:val="left"/>
            </w:pPr>
            <w:r>
              <w:t xml:space="preserve">Usability evaluation of OJS 3.0 alpha with editors, authors and reviewers.</w:t>
            </w:r>
          </w:p>
        </w:tc>
        <w:tc>
          <w:tcPr/>
          <w:p>
            <w:pPr>
              <w:pStyle w:val="Compact"/>
              <w:jc w:val="left"/>
            </w:pPr>
            <w:r>
              <w:t xml:space="preserve">Participants struggled with unclear entry points, dispersed configuration screens and cryptic icons【256966776296038†L230-L243】【256966776296038†L279-L321】; report calls for holistic redesign and formal user‑participation channels【256966776296038†L323-L355】.</w:t>
            </w:r>
          </w:p>
        </w:tc>
      </w:tr>
      <w:tr>
        <w:tc>
          <w:tcPr/>
          <w:p>
            <w:pPr>
              <w:pStyle w:val="Compact"/>
              <w:jc w:val="left"/>
            </w:pPr>
            <w:r>
              <w:t xml:space="preserve">14</w:t>
            </w:r>
          </w:p>
        </w:tc>
        <w:tc>
          <w:tcPr/>
          <w:p>
            <w:pPr>
              <w:pStyle w:val="Compact"/>
              <w:jc w:val="left"/>
            </w:pPr>
            <w:hyperlink r:id="rId36">
              <w:r>
                <w:rPr>
                  <w:rStyle w:val="Hyperlink"/>
                </w:rPr>
                <w:t xml:space="preserve">Kostiuk et al. (2025)</w:t>
              </w:r>
            </w:hyperlink>
          </w:p>
        </w:tc>
        <w:tc>
          <w:tcPr/>
          <w:p>
            <w:pPr>
              <w:pStyle w:val="Compact"/>
              <w:jc w:val="left"/>
            </w:pPr>
            <w:r>
              <w:t xml:space="preserve">Methodology for using journal and conference systems in scholarly peer review.</w:t>
            </w:r>
          </w:p>
        </w:tc>
        <w:tc>
          <w:tcPr/>
          <w:p>
            <w:pPr>
              <w:pStyle w:val="Compact"/>
              <w:jc w:val="left"/>
            </w:pPr>
            <w:r>
              <w:t xml:space="preserve">Surveys show only 28 % of staff use conference systems and 38 % use journal systems. Authors identify technical, organisational and competency components and stress training for digital literacy【451773195519949†L61-L89】.</w:t>
            </w:r>
          </w:p>
        </w:tc>
      </w:tr>
      <w:tr>
        <w:tc>
          <w:tcPr/>
          <w:p>
            <w:pPr>
              <w:pStyle w:val="Compact"/>
              <w:jc w:val="left"/>
            </w:pPr>
            <w:r>
              <w:t xml:space="preserve">15</w:t>
            </w:r>
          </w:p>
        </w:tc>
        <w:tc>
          <w:tcPr/>
          <w:p>
            <w:pPr>
              <w:pStyle w:val="Compact"/>
              <w:jc w:val="left"/>
            </w:pPr>
            <w:hyperlink r:id="rId37">
              <w:r>
                <w:rPr>
                  <w:rStyle w:val="Hyperlink"/>
                </w:rPr>
                <w:t xml:space="preserve">Zhu et al. (2012)</w:t>
              </w:r>
            </w:hyperlink>
          </w:p>
        </w:tc>
        <w:tc>
          <w:tcPr/>
          <w:p>
            <w:pPr>
              <w:pStyle w:val="Compact"/>
              <w:jc w:val="left"/>
            </w:pPr>
            <w:r>
              <w:t xml:space="preserve">P3ERS – a distributed peer‑review system with group signature privacy.</w:t>
            </w:r>
          </w:p>
        </w:tc>
        <w:tc>
          <w:tcPr/>
          <w:p>
            <w:pPr>
              <w:pStyle w:val="Compact"/>
              <w:jc w:val="left"/>
            </w:pPr>
            <w:r>
              <w:t xml:space="preserve">Protects anonymity of authors and reviewers, ensuring objectivity; addresses biases and privacy concerns in existing systems【322593392708573†L10-L28】【322593392708573†L31-L144】.</w:t>
            </w:r>
          </w:p>
        </w:tc>
      </w:tr>
      <w:tr>
        <w:tc>
          <w:tcPr/>
          <w:p>
            <w:pPr>
              <w:pStyle w:val="Compact"/>
              <w:jc w:val="left"/>
            </w:pPr>
            <w:r>
              <w:t xml:space="preserve">16</w:t>
            </w:r>
          </w:p>
        </w:tc>
        <w:tc>
          <w:tcPr/>
          <w:p>
            <w:pPr>
              <w:pStyle w:val="Compact"/>
              <w:jc w:val="left"/>
            </w:pPr>
            <w:hyperlink r:id="rId38">
              <w:r>
                <w:rPr>
                  <w:rStyle w:val="Hyperlink"/>
                </w:rPr>
                <w:t xml:space="preserve">Miguel et al. (2012)</w:t>
              </w:r>
            </w:hyperlink>
          </w:p>
        </w:tc>
        <w:tc>
          <w:tcPr/>
          <w:p>
            <w:pPr>
              <w:pStyle w:val="Compact"/>
              <w:jc w:val="left"/>
            </w:pPr>
            <w:r>
              <w:t xml:space="preserve">ConfiChair – a cloud‑based conference management system.</w:t>
            </w:r>
          </w:p>
        </w:tc>
        <w:tc>
          <w:tcPr/>
          <w:p>
            <w:pPr>
              <w:pStyle w:val="Compact"/>
              <w:jc w:val="left"/>
            </w:pPr>
            <w:r>
              <w:t xml:space="preserve">Implements end‑to‑end encryption so the cloud only sees encrypted data; preserves secrecy of papers, reviews and scores and ensures unlinkability between authors and reviewers【510519164733638†L14-L33】【510519164733638†L67-L142】.</w:t>
            </w:r>
          </w:p>
        </w:tc>
      </w:tr>
      <w:tr>
        <w:tc>
          <w:tcPr/>
          <w:p>
            <w:pPr>
              <w:pStyle w:val="Compact"/>
              <w:jc w:val="left"/>
            </w:pPr>
            <w:r>
              <w:t xml:space="preserve">17</w:t>
            </w:r>
          </w:p>
        </w:tc>
        <w:tc>
          <w:tcPr/>
          <w:p>
            <w:pPr>
              <w:pStyle w:val="Compact"/>
              <w:jc w:val="left"/>
            </w:pPr>
            <w:hyperlink r:id="rId39">
              <w:r>
                <w:rPr>
                  <w:rStyle w:val="Hyperlink"/>
                </w:rPr>
                <w:t xml:space="preserve">Popescu et al. (2021)</w:t>
              </w:r>
            </w:hyperlink>
          </w:p>
        </w:tc>
        <w:tc>
          <w:tcPr/>
          <w:p>
            <w:pPr>
              <w:pStyle w:val="Compact"/>
              <w:jc w:val="left"/>
            </w:pPr>
            <w:r>
              <w:t xml:space="preserve">CoCon conference management system with formally verified confidentiality.</w:t>
            </w:r>
          </w:p>
        </w:tc>
        <w:tc>
          <w:tcPr/>
          <w:p>
            <w:pPr>
              <w:pStyle w:val="Compact"/>
              <w:jc w:val="left"/>
            </w:pPr>
            <w:r>
              <w:t xml:space="preserve">Uses bounded‑deducibility security to formally verify confidentiality properties of workflow components; demonstrates that real‑world CMSs can be mathematically proven secure【317131474436397†L37-L48】.</w:t>
            </w:r>
          </w:p>
        </w:tc>
      </w:tr>
      <w:tr>
        <w:tc>
          <w:tcPr/>
          <w:p>
            <w:pPr>
              <w:pStyle w:val="Compact"/>
              <w:jc w:val="left"/>
            </w:pPr>
            <w:r>
              <w:t xml:space="preserve">18</w:t>
            </w:r>
          </w:p>
        </w:tc>
        <w:tc>
          <w:tcPr/>
          <w:p>
            <w:pPr>
              <w:pStyle w:val="Compact"/>
              <w:jc w:val="left"/>
            </w:pPr>
            <w:hyperlink r:id="rId40">
              <w:r>
                <w:rPr>
                  <w:rStyle w:val="Hyperlink"/>
                </w:rPr>
                <w:t xml:space="preserve">Carrillo et al. (2024)</w:t>
              </w:r>
            </w:hyperlink>
          </w:p>
        </w:tc>
        <w:tc>
          <w:tcPr/>
          <w:p>
            <w:pPr>
              <w:pStyle w:val="Compact"/>
              <w:jc w:val="left"/>
            </w:pPr>
            <w:r>
              <w:t xml:space="preserve">Systematic review of blockchain applications in peer review.</w:t>
            </w:r>
          </w:p>
        </w:tc>
        <w:tc>
          <w:tcPr/>
          <w:p>
            <w:pPr>
              <w:pStyle w:val="Compact"/>
              <w:jc w:val="left"/>
            </w:pPr>
            <w:r>
              <w:t xml:space="preserve">Analyses 50 studies using PRISMA; blockchain can increase transparency, trust and reviewer incentives but adoption is still emerging【204187787291720†L42-L67】【204187787291720†L52-L66】.</w:t>
            </w:r>
          </w:p>
        </w:tc>
      </w:tr>
      <w:tr>
        <w:tc>
          <w:tcPr/>
          <w:p>
            <w:pPr>
              <w:pStyle w:val="Compact"/>
              <w:jc w:val="left"/>
            </w:pPr>
            <w:r>
              <w:t xml:space="preserve">19</w:t>
            </w:r>
          </w:p>
        </w:tc>
        <w:tc>
          <w:tcPr/>
          <w:p>
            <w:pPr>
              <w:pStyle w:val="Compact"/>
              <w:jc w:val="left"/>
            </w:pPr>
            <w:hyperlink r:id="rId41">
              <w:r>
                <w:rPr>
                  <w:rStyle w:val="Hyperlink"/>
                </w:rPr>
                <w:t xml:space="preserve">Hu et al. (2024)</w:t>
              </w:r>
            </w:hyperlink>
          </w:p>
        </w:tc>
        <w:tc>
          <w:tcPr/>
          <w:p>
            <w:pPr>
              <w:pStyle w:val="Compact"/>
              <w:jc w:val="left"/>
            </w:pPr>
            <w:r>
              <w:t xml:space="preserve">BeerReview – a blockchain‑enabled peer review platform.</w:t>
            </w:r>
          </w:p>
        </w:tc>
        <w:tc>
          <w:tcPr/>
          <w:p>
            <w:pPr>
              <w:pStyle w:val="Compact"/>
              <w:jc w:val="left"/>
            </w:pPr>
            <w:r>
              <w:t xml:space="preserve">Combines blockchain, smart contracts and secure enclaves to protect intellectual property and deter plagiarism; emphasises decentralised trust and immutable review records【945377106559715†L56-L90】【945377106559715†L127-L161】.</w:t>
            </w:r>
          </w:p>
        </w:tc>
      </w:tr>
      <w:tr>
        <w:tc>
          <w:tcPr/>
          <w:p>
            <w:pPr>
              <w:pStyle w:val="Compact"/>
              <w:jc w:val="left"/>
            </w:pPr>
            <w:r>
              <w:t xml:space="preserve">20</w:t>
            </w:r>
          </w:p>
        </w:tc>
        <w:tc>
          <w:tcPr/>
          <w:p>
            <w:pPr>
              <w:pStyle w:val="Compact"/>
              <w:jc w:val="left"/>
            </w:pPr>
            <w:hyperlink r:id="rId42">
              <w:r>
                <w:rPr>
                  <w:rStyle w:val="Hyperlink"/>
                </w:rPr>
                <w:t xml:space="preserve">Rahman et al. (2019)</w:t>
              </w:r>
            </w:hyperlink>
          </w:p>
        </w:tc>
        <w:tc>
          <w:tcPr/>
          <w:p>
            <w:pPr>
              <w:pStyle w:val="Compact"/>
              <w:jc w:val="left"/>
            </w:pPr>
            <w:r>
              <w:t xml:space="preserve">Time‑saving MVC‑based JMS developed at Dhaka University of Engineering &amp; Technology.</w:t>
            </w:r>
          </w:p>
        </w:tc>
        <w:tc>
          <w:tcPr/>
          <w:p>
            <w:pPr>
              <w:pStyle w:val="Compact"/>
              <w:jc w:val="left"/>
            </w:pPr>
            <w:r>
              <w:t xml:space="preserve">Built with Laravel; automates submission, reviewer assignment and publication; reduces administrative workload and improves time management【40178095849618†L11-L44】【40178095849618†L65-L120】.</w:t>
            </w:r>
          </w:p>
        </w:tc>
      </w:tr>
      <w:tr>
        <w:tc>
          <w:tcPr/>
          <w:p>
            <w:pPr>
              <w:pStyle w:val="Compact"/>
              <w:jc w:val="left"/>
            </w:pPr>
            <w:r>
              <w:t xml:space="preserve">21</w:t>
            </w:r>
          </w:p>
        </w:tc>
        <w:tc>
          <w:tcPr/>
          <w:p>
            <w:pPr>
              <w:pStyle w:val="Compact"/>
              <w:jc w:val="left"/>
            </w:pPr>
            <w:hyperlink r:id="rId43">
              <w:r>
                <w:rPr>
                  <w:rStyle w:val="Hyperlink"/>
                </w:rPr>
                <w:t xml:space="preserve">Noreen (2020)</w:t>
              </w:r>
            </w:hyperlink>
          </w:p>
        </w:tc>
        <w:tc>
          <w:tcPr/>
          <w:p>
            <w:pPr>
              <w:pStyle w:val="Compact"/>
              <w:jc w:val="left"/>
            </w:pPr>
            <w:r>
              <w:t xml:space="preserve">Study of LMS implementation at Allama Iqbal Open University (Pakistan).</w:t>
            </w:r>
          </w:p>
        </w:tc>
        <w:tc>
          <w:tcPr/>
          <w:p>
            <w:pPr>
              <w:pStyle w:val="Compact"/>
              <w:jc w:val="left"/>
            </w:pPr>
            <w:r>
              <w:t xml:space="preserve">Finds advantages of LMS (access to materials, blended learning) but notes challenges including poor internet connectivity and limited digital skills; recommends training and support【893442403222166†screenshot】.</w:t>
            </w:r>
          </w:p>
        </w:tc>
      </w:tr>
      <w:tr>
        <w:tc>
          <w:tcPr/>
          <w:p>
            <w:pPr>
              <w:pStyle w:val="Compact"/>
              <w:jc w:val="left"/>
            </w:pPr>
            <w:r>
              <w:t xml:space="preserve">22</w:t>
            </w:r>
          </w:p>
        </w:tc>
        <w:tc>
          <w:tcPr/>
          <w:p>
            <w:pPr>
              <w:pStyle w:val="Compact"/>
              <w:jc w:val="left"/>
            </w:pPr>
            <w:hyperlink r:id="rId44">
              <w:r>
                <w:rPr>
                  <w:rStyle w:val="Hyperlink"/>
                </w:rPr>
                <w:t xml:space="preserve">Khan et al. (2022)</w:t>
              </w:r>
            </w:hyperlink>
          </w:p>
        </w:tc>
        <w:tc>
          <w:tcPr/>
          <w:p>
            <w:pPr>
              <w:pStyle w:val="Compact"/>
              <w:jc w:val="left"/>
            </w:pPr>
            <w:r>
              <w:t xml:space="preserve">UTAUT2‑based analysis of LMS adoption in Sindh’s higher education institutions.</w:t>
            </w:r>
          </w:p>
        </w:tc>
        <w:tc>
          <w:tcPr/>
          <w:p>
            <w:pPr>
              <w:pStyle w:val="Compact"/>
              <w:jc w:val="left"/>
            </w:pPr>
            <w:r>
              <w:t xml:space="preserve">Performance expectancy, social influence, facilitating conditions and learning value significantly influence LMS adoption, whereas effort expectancy and hedonic motivation do not【751797667430868†L13-L31】.</w:t>
            </w:r>
          </w:p>
        </w:tc>
      </w:tr>
      <w:tr>
        <w:tc>
          <w:tcPr/>
          <w:p>
            <w:pPr>
              <w:pStyle w:val="Compact"/>
              <w:jc w:val="left"/>
            </w:pPr>
            <w:r>
              <w:t xml:space="preserve">23</w:t>
            </w:r>
          </w:p>
        </w:tc>
        <w:tc>
          <w:tcPr/>
          <w:p>
            <w:pPr>
              <w:pStyle w:val="Compact"/>
              <w:jc w:val="left"/>
            </w:pPr>
            <w:hyperlink r:id="rId45">
              <w:r>
                <w:rPr>
                  <w:rStyle w:val="Hyperlink"/>
                </w:rPr>
                <w:t xml:space="preserve">Gupta et al. (2013)</w:t>
              </w:r>
            </w:hyperlink>
          </w:p>
        </w:tc>
        <w:tc>
          <w:tcPr/>
          <w:p>
            <w:pPr>
              <w:pStyle w:val="Compact"/>
              <w:jc w:val="left"/>
            </w:pPr>
            <w:r>
              <w:t xml:space="preserve">Framework for a web‑based conference management system.</w:t>
            </w:r>
          </w:p>
        </w:tc>
        <w:tc>
          <w:tcPr/>
          <w:p>
            <w:pPr>
              <w:pStyle w:val="Compact"/>
              <w:jc w:val="left"/>
            </w:pPr>
            <w:r>
              <w:t xml:space="preserve">Automates call for papers, submission, review and registration processes; designed for non‑technical users; modules include login, conference creation, paper assignment and comments【564200361834446†L11-L27】【564200361834446†L43-L53】【564200361834446†L64-L76】【564200361834446†L106-L132】.</w:t>
            </w:r>
          </w:p>
        </w:tc>
      </w:tr>
      <w:tr>
        <w:tc>
          <w:tcPr/>
          <w:p>
            <w:pPr>
              <w:pStyle w:val="Compact"/>
              <w:jc w:val="left"/>
            </w:pPr>
            <w:r>
              <w:t xml:space="preserve">24</w:t>
            </w:r>
          </w:p>
        </w:tc>
        <w:tc>
          <w:tcPr/>
          <w:p>
            <w:pPr>
              <w:pStyle w:val="Compact"/>
              <w:jc w:val="left"/>
            </w:pPr>
            <w:hyperlink r:id="rId46">
              <w:r>
                <w:rPr>
                  <w:rStyle w:val="Hyperlink"/>
                </w:rPr>
                <w:t xml:space="preserve">Haluška et al. (2021)</w:t>
              </w:r>
            </w:hyperlink>
          </w:p>
        </w:tc>
        <w:tc>
          <w:tcPr/>
          <w:p>
            <w:pPr>
              <w:pStyle w:val="Compact"/>
              <w:jc w:val="left"/>
            </w:pPr>
            <w:r>
              <w:t xml:space="preserve">ConfLab – a web‑based abstract management system.</w:t>
            </w:r>
          </w:p>
        </w:tc>
        <w:tc>
          <w:tcPr/>
          <w:p>
            <w:pPr>
              <w:pStyle w:val="Compact"/>
              <w:jc w:val="left"/>
            </w:pPr>
            <w:r>
              <w:t xml:space="preserve">Supports two phases: interactive submission/review and automatic generation of the digest; addresses issues of email‑based submissions and notes that many CMSs lack full lifecycle support【986799538751720†L11-L27】【986799538751720†L69-L76】【986799538751720†L114-L146】.</w:t>
            </w:r>
          </w:p>
        </w:tc>
      </w:tr>
      <w:tr>
        <w:tc>
          <w:tcPr/>
          <w:p>
            <w:pPr>
              <w:pStyle w:val="Compact"/>
              <w:jc w:val="left"/>
            </w:pPr>
            <w:r>
              <w:t xml:space="preserve">25</w:t>
            </w:r>
          </w:p>
        </w:tc>
        <w:tc>
          <w:tcPr/>
          <w:p>
            <w:pPr>
              <w:pStyle w:val="Compact"/>
              <w:jc w:val="left"/>
            </w:pPr>
            <w:hyperlink r:id="rId47">
              <w:r>
                <w:rPr>
                  <w:rStyle w:val="Hyperlink"/>
                </w:rPr>
                <w:t xml:space="preserve">Kalmukov (2011)</w:t>
              </w:r>
            </w:hyperlink>
          </w:p>
        </w:tc>
        <w:tc>
          <w:tcPr/>
          <w:p>
            <w:pPr>
              <w:pStyle w:val="Compact"/>
              <w:jc w:val="left"/>
            </w:pPr>
            <w:r>
              <w:t xml:space="preserve">Conference management architecture with advanced reviewer assignment.</w:t>
            </w:r>
          </w:p>
        </w:tc>
        <w:tc>
          <w:tcPr/>
          <w:p>
            <w:pPr>
              <w:pStyle w:val="Compact"/>
              <w:jc w:val="left"/>
            </w:pPr>
            <w:r>
              <w:t xml:space="preserve">Uses a taxonomy of keywords, reviewer bidding and conflict‑of‑interest detection; automatic assignment ensures balanced workloads and high‑quality reviews【550385361564013†L17-L35】【550385361564013†L45-L54】【550385361564013†L73-L84】【550385361564013†L137-L152】.</w:t>
            </w:r>
          </w:p>
        </w:tc>
      </w:tr>
      <w:tr>
        <w:tc>
          <w:tcPr/>
          <w:p>
            <w:pPr>
              <w:pStyle w:val="Compact"/>
              <w:jc w:val="left"/>
            </w:pPr>
            <w:r>
              <w:t xml:space="preserve">26</w:t>
            </w:r>
          </w:p>
        </w:tc>
        <w:tc>
          <w:tcPr/>
          <w:p>
            <w:pPr>
              <w:pStyle w:val="Compact"/>
              <w:jc w:val="left"/>
            </w:pPr>
            <w:hyperlink r:id="rId48">
              <w:r>
                <w:rPr>
                  <w:rStyle w:val="Hyperlink"/>
                </w:rPr>
                <w:t xml:space="preserve">Stergiopoulos et al. (2025)</w:t>
              </w:r>
            </w:hyperlink>
          </w:p>
        </w:tc>
        <w:tc>
          <w:tcPr/>
          <w:p>
            <w:pPr>
              <w:pStyle w:val="Compact"/>
              <w:jc w:val="left"/>
            </w:pPr>
            <w:r>
              <w:t xml:space="preserve">Conference management system using a large language model (LLM) for reviewer assignment.</w:t>
            </w:r>
          </w:p>
        </w:tc>
        <w:tc>
          <w:tcPr/>
          <w:p>
            <w:pPr>
              <w:pStyle w:val="Compact"/>
              <w:jc w:val="left"/>
            </w:pPr>
            <w:r>
              <w:t xml:space="preserve">Employs BERT‑tiny and BERT‑large models as recommendation engines to match papers with suitable reviewers, solving the reviewer assignment problem in large conferences【961735309950804†L16-L32】【961735309950804†L24-L30】.</w:t>
            </w:r>
          </w:p>
        </w:tc>
      </w:tr>
      <w:tr>
        <w:tc>
          <w:tcPr/>
          <w:p>
            <w:pPr>
              <w:pStyle w:val="Compact"/>
              <w:jc w:val="left"/>
            </w:pPr>
            <w:r>
              <w:t xml:space="preserve">27</w:t>
            </w:r>
          </w:p>
        </w:tc>
        <w:tc>
          <w:tcPr/>
          <w:p>
            <w:pPr>
              <w:pStyle w:val="Compact"/>
              <w:jc w:val="left"/>
            </w:pPr>
            <w:hyperlink r:id="rId49">
              <w:r>
                <w:rPr>
                  <w:rStyle w:val="Hyperlink"/>
                </w:rPr>
                <w:t xml:space="preserve">Nuzzi et al. (2024)</w:t>
              </w:r>
            </w:hyperlink>
          </w:p>
        </w:tc>
        <w:tc>
          <w:tcPr/>
          <w:p>
            <w:pPr>
              <w:pStyle w:val="Compact"/>
              <w:jc w:val="left"/>
            </w:pPr>
            <w:r>
              <w:t xml:space="preserve">SmartReviewHub – AI‑enhanced conference management system.</w:t>
            </w:r>
          </w:p>
        </w:tc>
        <w:tc>
          <w:tcPr/>
          <w:p>
            <w:pPr>
              <w:pStyle w:val="Compact"/>
              <w:jc w:val="left"/>
            </w:pPr>
            <w:r>
              <w:t xml:space="preserve">Integrates machine learning features (concept extraction, plagiarism detection, spell checking, sentiment analysis) to streamline conference workflows and improve user experience【604534743298730†L20-L32】【604534743298730†L65-L70】【604534743298730†L72-L90】【604534743298730†L96-L103】.</w:t>
            </w:r>
          </w:p>
        </w:tc>
      </w:tr>
      <w:tr>
        <w:tc>
          <w:tcPr/>
          <w:p>
            <w:pPr>
              <w:pStyle w:val="Compact"/>
              <w:jc w:val="left"/>
            </w:pPr>
            <w:r>
              <w:t xml:space="preserve">28</w:t>
            </w:r>
          </w:p>
        </w:tc>
        <w:tc>
          <w:tcPr/>
          <w:p>
            <w:pPr>
              <w:pStyle w:val="Compact"/>
              <w:jc w:val="left"/>
            </w:pPr>
            <w:hyperlink r:id="rId50">
              <w:r>
                <w:rPr>
                  <w:rStyle w:val="Hyperlink"/>
                </w:rPr>
                <w:t xml:space="preserve">Vieira &amp; Vieira (2019)</w:t>
              </w:r>
            </w:hyperlink>
          </w:p>
        </w:tc>
        <w:tc>
          <w:tcPr/>
          <w:p>
            <w:pPr>
              <w:pStyle w:val="Compact"/>
              <w:jc w:val="left"/>
            </w:pPr>
            <w:r>
              <w:t xml:space="preserve">Brazilian federal universities and the use of OJS.</w:t>
            </w:r>
          </w:p>
        </w:tc>
        <w:tc>
          <w:tcPr/>
          <w:p>
            <w:pPr>
              <w:pStyle w:val="Compact"/>
              <w:jc w:val="left"/>
            </w:pPr>
            <w:r>
              <w:t xml:space="preserve">Survey of 55 university portals: Southeast region hosts 17 portals (588 journals) and most use OJS version 2.4.8.0; highlights universities’ role in promoting open science【451758661979756†L41-L80】【451758661979756†L90-L107】.</w:t>
            </w:r>
          </w:p>
        </w:tc>
      </w:tr>
      <w:tr>
        <w:tc>
          <w:tcPr/>
          <w:p>
            <w:pPr>
              <w:pStyle w:val="Compact"/>
              <w:jc w:val="left"/>
            </w:pPr>
            <w:r>
              <w:t xml:space="preserve">29</w:t>
            </w:r>
          </w:p>
        </w:tc>
        <w:tc>
          <w:tcPr/>
          <w:p>
            <w:pPr>
              <w:pStyle w:val="Compact"/>
              <w:jc w:val="left"/>
            </w:pPr>
            <w:hyperlink r:id="rId51">
              <w:r>
                <w:rPr>
                  <w:rStyle w:val="Hyperlink"/>
                </w:rPr>
                <w:t xml:space="preserve">PKP (2007)</w:t>
              </w:r>
            </w:hyperlink>
          </w:p>
        </w:tc>
        <w:tc>
          <w:tcPr/>
          <w:p>
            <w:pPr>
              <w:pStyle w:val="Compact"/>
              <w:jc w:val="left"/>
            </w:pPr>
            <w:r>
              <w:t xml:space="preserve">Technical reference for Open Journal Systems.</w:t>
            </w:r>
          </w:p>
        </w:tc>
        <w:tc>
          <w:tcPr/>
          <w:p>
            <w:pPr>
              <w:pStyle w:val="Compact"/>
              <w:jc w:val="left"/>
            </w:pPr>
            <w:r>
              <w:t xml:space="preserve">Provides architectural documentation of OJS, describing its multi‑tier design, submission and peer‑review workflows, metadata handling, and integration with identifiers and indexing services.</w:t>
            </w:r>
          </w:p>
        </w:tc>
      </w:tr>
      <w:tr>
        <w:tc>
          <w:tcPr/>
          <w:p>
            <w:pPr>
              <w:pStyle w:val="Compact"/>
              <w:jc w:val="left"/>
            </w:pPr>
            <w:r>
              <w:t xml:space="preserve">30</w:t>
            </w:r>
          </w:p>
        </w:tc>
        <w:tc>
          <w:tcPr/>
          <w:p>
            <w:pPr>
              <w:pStyle w:val="Compact"/>
              <w:jc w:val="left"/>
            </w:pPr>
            <w:hyperlink r:id="rId52">
              <w:r>
                <w:rPr>
                  <w:rStyle w:val="Hyperlink"/>
                </w:rPr>
                <w:t xml:space="preserve">Ndungu (2020)</w:t>
              </w:r>
            </w:hyperlink>
          </w:p>
        </w:tc>
        <w:tc>
          <w:tcPr/>
          <w:p>
            <w:pPr>
              <w:pStyle w:val="Compact"/>
              <w:jc w:val="left"/>
            </w:pPr>
            <w:r>
              <w:t xml:space="preserve">Publishing with OJS: a librarian’s perspective.</w:t>
            </w:r>
          </w:p>
        </w:tc>
        <w:tc>
          <w:tcPr/>
          <w:p>
            <w:pPr>
              <w:pStyle w:val="Compact"/>
              <w:jc w:val="left"/>
            </w:pPr>
            <w:r>
              <w:t xml:space="preserve">Discusses librarians’ experiences implementing OJS, emphasising the need for training, technical support and collaboration to maximise the platform’s benefits.</w:t>
            </w:r>
          </w:p>
        </w:tc>
      </w:tr>
    </w:tbl>
    <w:bookmarkEnd w:id="53"/>
    <w:bookmarkStart w:id="54" w:name="comparative-analysis"/>
    <w:p>
      <w:pPr>
        <w:pStyle w:val="Heading3"/>
      </w:pPr>
      <w:r>
        <w:t xml:space="preserve">Comparative analysis</w:t>
      </w:r>
    </w:p>
    <w:p>
      <w:pPr>
        <w:pStyle w:val="FirstParagraph"/>
      </w:pPr>
      <w:r>
        <w:t xml:space="preserve">Across the reviewed studies, there is a clear trend toward modular web‑based architectures that automate editorial tasks and integrate external services. Many journal management systems, such as AKSUJMS, JORIE and Palamede, combine server‑side technologies (PHP, Laravel or ASP.NET) with relational databases and provide role‑based modules for authors, editors and administrators. Automation of submission, peer review and publication reduces turnaround time and workload for staff【40178095849618†L65-L120】.</w:t>
      </w:r>
    </w:p>
    <w:p>
      <w:pPr>
        <w:pStyle w:val="BodyText"/>
      </w:pPr>
      <w:r>
        <w:t xml:space="preserve">User acceptance studies (Likert evaluations and usability tests) show that authors and editors value notification systems, simple submission interfaces and transparency in review workflows【85962079202249†L23-L89】【256966776296038†L279-L321】. However, pain points include confusing interfaces, scattered configuration options and inadequate support for training【256966776296038†L323-L355】【451773195519949†L61-L89】. Adoption research from Pakistan’s universities indicates that performance expectancy, social influence and facilitating conditions significantly influence LMS use【751797667430868†L13-L31】, while digital skill gaps and poor internet connectivity remain barriers【893442403222166†screenshot】.</w:t>
      </w:r>
    </w:p>
    <w:p>
      <w:pPr>
        <w:pStyle w:val="BodyText"/>
      </w:pPr>
      <w:r>
        <w:t xml:space="preserve">Security and privacy emerge as critical concerns. Systems such as P3ERS and ConfiChair use cryptographic techniques (group signatures, end‑to‑end encryption) to protect confidentiality【322593392708573†L10-L28】【510519164733638†L14-L33】, while KUAD provides post‑attack mitigation through integrity monitoring and restoration【66281607041116†L109-L125】. Formal verification of confidentiality (CoCon) shows that rigorous proofs can guarantee information flow security【317131474436397†L37-L48】.</w:t>
      </w:r>
    </w:p>
    <w:p>
      <w:pPr>
        <w:pStyle w:val="BodyText"/>
      </w:pPr>
      <w:r>
        <w:t xml:space="preserve">Recent innovations focus on intelligence and decentralisation. SmartReviewHub and the LLM‑based CMS integrate machine learning and deep learning for reviewer matching, plagiarism detection and sentiment analysis【604534743298730†L20-L32】【961735309950804†L16-L32】. Blockchain‑based platforms like BeerReview offer immutable audit trails and incentive mechanisms, enhancing transparency and trust【945377106559715†L56-L90】. These emerging technologies address long‑standing issues in peer review but require further evaluation of scalability and user acceptance【204187787291720†L42-L67】.</w:t>
      </w:r>
    </w:p>
    <w:bookmarkEnd w:id="54"/>
    <w:bookmarkStart w:id="55" w:name="conclusion-and-recommendations"/>
    <w:p>
      <w:pPr>
        <w:pStyle w:val="Heading3"/>
      </w:pPr>
      <w:r>
        <w:t xml:space="preserve">Conclusion and recommendations</w:t>
      </w:r>
    </w:p>
    <w:p>
      <w:pPr>
        <w:pStyle w:val="FirstParagraph"/>
      </w:pPr>
      <w:r>
        <w:t xml:space="preserve">This review demonstrates that EMAPs have evolved from simple web portals to sophisticated platforms incorporating social networking, artificial intelligence and cryptographic security. To maximise benefits, institutions should:</w:t>
      </w:r>
    </w:p>
    <w:p>
      <w:pPr>
        <w:numPr>
          <w:ilvl w:val="0"/>
          <w:numId w:val="1001"/>
        </w:numPr>
        <w:pStyle w:val="Compact"/>
      </w:pPr>
      <w:r>
        <w:rPr>
          <w:bCs/>
          <w:b/>
        </w:rPr>
        <w:t xml:space="preserve">Invest in training and support.</w:t>
      </w:r>
      <w:r>
        <w:t xml:space="preserve"> </w:t>
      </w:r>
      <w:r>
        <w:t xml:space="preserve">Studies from Pakistan highlight the importance of digital skills and reliable infrastructure for successful LMS adoption【751797667430868†L13-L31】. Similar training is needed when deploying JMS or CMS platforms.</w:t>
      </w:r>
    </w:p>
    <w:p>
      <w:pPr>
        <w:numPr>
          <w:ilvl w:val="0"/>
          <w:numId w:val="1001"/>
        </w:numPr>
        <w:pStyle w:val="Compact"/>
      </w:pPr>
      <w:r>
        <w:rPr>
          <w:bCs/>
          <w:b/>
        </w:rPr>
        <w:t xml:space="preserve">Prioritise user‑centred design.</w:t>
      </w:r>
      <w:r>
        <w:t xml:space="preserve"> </w:t>
      </w:r>
      <w:r>
        <w:t xml:space="preserve">Usability evaluations reveal that poor information architecture and inconsistent terminology hinder adoption【256966776296038†L279-L321】. Developers should involve editors, authors and reviewers in iterative design.</w:t>
      </w:r>
    </w:p>
    <w:p>
      <w:pPr>
        <w:numPr>
          <w:ilvl w:val="0"/>
          <w:numId w:val="1001"/>
        </w:numPr>
        <w:pStyle w:val="Compact"/>
      </w:pPr>
      <w:r>
        <w:rPr>
          <w:bCs/>
          <w:b/>
        </w:rPr>
        <w:t xml:space="preserve">Adopt modular, interoperable architectures.</w:t>
      </w:r>
      <w:r>
        <w:t xml:space="preserve"> </w:t>
      </w:r>
      <w:r>
        <w:t xml:space="preserve">Systems like Palamede and JORIE demonstrate the value of modular designs that can integrate metadata extraction, analytics and external identifiers【743988954828698†L134-L158】【792373743519991†L83-L105】.</w:t>
      </w:r>
    </w:p>
    <w:p>
      <w:pPr>
        <w:numPr>
          <w:ilvl w:val="0"/>
          <w:numId w:val="1001"/>
        </w:numPr>
        <w:pStyle w:val="Compact"/>
      </w:pPr>
      <w:r>
        <w:rPr>
          <w:bCs/>
          <w:b/>
        </w:rPr>
        <w:t xml:space="preserve">Ensure security and privacy.</w:t>
      </w:r>
      <w:r>
        <w:t xml:space="preserve"> </w:t>
      </w:r>
      <w:r>
        <w:t xml:space="preserve">Implement cryptographic protocols and regular security audits to protect sensitive data. Post‑attack mitigation and formal verification should be considered【66281607041116†L109-L125】【317131474436397†L37-L48】.</w:t>
      </w:r>
    </w:p>
    <w:p>
      <w:pPr>
        <w:numPr>
          <w:ilvl w:val="0"/>
          <w:numId w:val="1001"/>
        </w:numPr>
        <w:pStyle w:val="Compact"/>
      </w:pPr>
      <w:r>
        <w:rPr>
          <w:bCs/>
          <w:b/>
        </w:rPr>
        <w:t xml:space="preserve">Explore AI and blockchain cautiously.</w:t>
      </w:r>
      <w:r>
        <w:t xml:space="preserve"> </w:t>
      </w:r>
      <w:r>
        <w:t xml:space="preserve">LLM‑based reviewer assignment and blockchain‑enabled peer review platforms show promise but require evaluation for fairness, transparency and resource usage【961735309950804†L16-L32】【945377106559715†L56-L90】.</w:t>
      </w:r>
    </w:p>
    <w:p>
      <w:pPr>
        <w:pStyle w:val="FirstParagraph"/>
      </w:pPr>
      <w:r>
        <w:t xml:space="preserve">Future research should assess long‑term adoption of emerging technologies in diverse contexts and develop open‑source tools that balance innovation with usability, security and accessibility.</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rxiv.org/pdf/1111.6934.pdf" TargetMode="External" /><Relationship Type="http://schemas.openxmlformats.org/officeDocument/2006/relationships/hyperlink" Id="rId41" Target="https://arxiv.org/pdf/2405.20220.pdf" TargetMode="External" /><Relationship Type="http://schemas.openxmlformats.org/officeDocument/2006/relationships/hyperlink" Id="rId29" Target="https://cahaya-ic.com/index.php/JEE/article/download/1467/1015" TargetMode="External" /><Relationship Type="http://schemas.openxmlformats.org/officeDocument/2006/relationships/hyperlink" Id="rId35" Target="https://cdlib.org/wp-content/uploads/2019/02/ojs_findings_CDL_FINAL.pdf" TargetMode="External" /><Relationship Type="http://schemas.openxmlformats.org/officeDocument/2006/relationships/hyperlink" Id="rId46" Target="https://ceur-ws.org/Vol-2869/PAPER_05.pdf" TargetMode="External" /><Relationship Type="http://schemas.openxmlformats.org/officeDocument/2006/relationships/hyperlink" Id="rId50" Target="https://cip.brapci.inf.br/download/136433" TargetMode="External" /><Relationship Type="http://schemas.openxmlformats.org/officeDocument/2006/relationships/hyperlink" Id="rId52" Target="https://doi.org/10.1080/00987913.2020.1735645" TargetMode="External" /><Relationship Type="http://schemas.openxmlformats.org/officeDocument/2006/relationships/hyperlink" Id="rId45" Target="https://doi.org/10.24297/ijmit.v5i2.764" TargetMode="External" /><Relationship Type="http://schemas.openxmlformats.org/officeDocument/2006/relationships/hyperlink" Id="rId36" Target="https://doi.org/10.28925/2312-5829/2025.3.6" TargetMode="External" /><Relationship Type="http://schemas.openxmlformats.org/officeDocument/2006/relationships/hyperlink" Id="rId33" Target="https://doi.org/10.2991/978-94-6463-364-1_90" TargetMode="External" /><Relationship Type="http://schemas.openxmlformats.org/officeDocument/2006/relationships/hyperlink" Id="rId30" Target="https://doi.org/10.3998/3336451.0023.101" TargetMode="External" /><Relationship Type="http://schemas.openxmlformats.org/officeDocument/2006/relationships/hyperlink" Id="rId39" Target="https://eprints.whiterose.ac.uk/id/eprint/161211/15/Popescu2020_Article_CoConAConferenceManagementSyst.pdf" TargetMode="External" /><Relationship Type="http://schemas.openxmlformats.org/officeDocument/2006/relationships/hyperlink" Id="rId44" Target="https://journals.sbbusba.edu.pk/ebet/index.php/abc/article/view/13" TargetMode="External" /><Relationship Type="http://schemas.openxmlformats.org/officeDocument/2006/relationships/hyperlink" Id="rId34" Target="https://kinetik.iftic.ac.id/index.php/kinetik/article/view/2056" TargetMode="External" /><Relationship Type="http://schemas.openxmlformats.org/officeDocument/2006/relationships/hyperlink" Id="rId38" Target="https://markryan.eu/research/papers/pdf/12-confichair.pdf" TargetMode="External" /><Relationship Type="http://schemas.openxmlformats.org/officeDocument/2006/relationships/hyperlink" Id="rId43" Target="https://openpraxis.org/articles/94/files/submission/proof/94-1-185-1-10-20210615.pdf" TargetMode="External" /><Relationship Type="http://schemas.openxmlformats.org/officeDocument/2006/relationships/hyperlink" Id="rId51" Target="https://pkp.sfu.ca/ojs/OJSTechnicalReference.pdf" TargetMode="External" /><Relationship Type="http://schemas.openxmlformats.org/officeDocument/2006/relationships/hyperlink" Id="rId28" Target="https://pmc.ncbi.nlm.nih.gov/articles/PMC5820080/" TargetMode="External" /><Relationship Type="http://schemas.openxmlformats.org/officeDocument/2006/relationships/hyperlink" Id="rId49" Target="https://rochi.utcluj.ro/icusi/proceedings/articles/1/ICUSI_2024_p034-040.pdf" TargetMode="External" /><Relationship Type="http://schemas.openxmlformats.org/officeDocument/2006/relationships/hyperlink" Id="rId31" Target="https://www.disit.org/disitmn/articoli/DMS2011-Nesi-paper6-multipress-ojs-v3-3-nesi.pdf" TargetMode="External" /><Relationship Type="http://schemas.openxmlformats.org/officeDocument/2006/relationships/hyperlink" Id="rId24" Target="https://www.diva-portal.org/smash/get/diva2:916581/FULLTEXT01.pdf" TargetMode="External" /><Relationship Type="http://schemas.openxmlformats.org/officeDocument/2006/relationships/hyperlink" Id="rId42" Target="https://www.duet.ac.bd/storage/journal/volume-5-issue-2-december-2019(37-48)-1667835446.pdf" TargetMode="External" /><Relationship Type="http://schemas.openxmlformats.org/officeDocument/2006/relationships/hyperlink" Id="rId25" Target="https://www.imjst.org/wp-content/uploads/2023/05/IMJSTP29120862.pdf" TargetMode="External" /><Relationship Type="http://schemas.openxmlformats.org/officeDocument/2006/relationships/hyperlink" Id="rId26" Target="https://www.jmess.org/wp-content/uploads/2023/05/JMESSP13420918.pdf" TargetMode="External" /><Relationship Type="http://schemas.openxmlformats.org/officeDocument/2006/relationships/hyperlink" Id="rId23" Target="https://www.jmest.org/wp-content/uploads/JMESTN42353512.pdf" TargetMode="External" /><Relationship Type="http://schemas.openxmlformats.org/officeDocument/2006/relationships/hyperlink" Id="rId27" Target="https://www.jmest.org/wp-content/uploads/JMESTN42354188.pdf" TargetMode="External" /><Relationship Type="http://schemas.openxmlformats.org/officeDocument/2006/relationships/hyperlink" Id="rId40" Target="https://www.mdpi.com/2304-6775/12/4/40" TargetMode="External" /><Relationship Type="http://schemas.openxmlformats.org/officeDocument/2006/relationships/hyperlink" Id="rId32" Target="https://www.researchgate.net/publication/330674287_Development_of_Review_Rating_and_Reporting_in_Open_Journal_System" TargetMode="External" /><Relationship Type="http://schemas.openxmlformats.org/officeDocument/2006/relationships/hyperlink" Id="rId48" Target="https://www.scitepress.org/Papers/2025/134826/134826.pdf" TargetMode="External" /><Relationship Type="http://schemas.openxmlformats.org/officeDocument/2006/relationships/hyperlink" Id="rId37" Target="https://www.tdp.cat/issues11/tdp.a103a12.pdf" TargetMode="External" /></Relationships>
</file>

<file path=word/_rels/footnotes.xml.rels><?xml version="1.0" encoding="UTF-8"?><Relationships xmlns="http://schemas.openxmlformats.org/package/2006/relationships"><Relationship Type="http://schemas.openxmlformats.org/officeDocument/2006/relationships/hyperlink" Id="rId47" Target="https://arxiv.org/pdf/1111.6934.pdf" TargetMode="External" /><Relationship Type="http://schemas.openxmlformats.org/officeDocument/2006/relationships/hyperlink" Id="rId41" Target="https://arxiv.org/pdf/2405.20220.pdf" TargetMode="External" /><Relationship Type="http://schemas.openxmlformats.org/officeDocument/2006/relationships/hyperlink" Id="rId29" Target="https://cahaya-ic.com/index.php/JEE/article/download/1467/1015" TargetMode="External" /><Relationship Type="http://schemas.openxmlformats.org/officeDocument/2006/relationships/hyperlink" Id="rId35" Target="https://cdlib.org/wp-content/uploads/2019/02/ojs_findings_CDL_FINAL.pdf" TargetMode="External" /><Relationship Type="http://schemas.openxmlformats.org/officeDocument/2006/relationships/hyperlink" Id="rId46" Target="https://ceur-ws.org/Vol-2869/PAPER_05.pdf" TargetMode="External" /><Relationship Type="http://schemas.openxmlformats.org/officeDocument/2006/relationships/hyperlink" Id="rId50" Target="https://cip.brapci.inf.br/download/136433" TargetMode="External" /><Relationship Type="http://schemas.openxmlformats.org/officeDocument/2006/relationships/hyperlink" Id="rId52" Target="https://doi.org/10.1080/00987913.2020.1735645" TargetMode="External" /><Relationship Type="http://schemas.openxmlformats.org/officeDocument/2006/relationships/hyperlink" Id="rId45" Target="https://doi.org/10.24297/ijmit.v5i2.764" TargetMode="External" /><Relationship Type="http://schemas.openxmlformats.org/officeDocument/2006/relationships/hyperlink" Id="rId36" Target="https://doi.org/10.28925/2312-5829/2025.3.6" TargetMode="External" /><Relationship Type="http://schemas.openxmlformats.org/officeDocument/2006/relationships/hyperlink" Id="rId33" Target="https://doi.org/10.2991/978-94-6463-364-1_90" TargetMode="External" /><Relationship Type="http://schemas.openxmlformats.org/officeDocument/2006/relationships/hyperlink" Id="rId30" Target="https://doi.org/10.3998/3336451.0023.101" TargetMode="External" /><Relationship Type="http://schemas.openxmlformats.org/officeDocument/2006/relationships/hyperlink" Id="rId39" Target="https://eprints.whiterose.ac.uk/id/eprint/161211/15/Popescu2020_Article_CoConAConferenceManagementSyst.pdf" TargetMode="External" /><Relationship Type="http://schemas.openxmlformats.org/officeDocument/2006/relationships/hyperlink" Id="rId44" Target="https://journals.sbbusba.edu.pk/ebet/index.php/abc/article/view/13" TargetMode="External" /><Relationship Type="http://schemas.openxmlformats.org/officeDocument/2006/relationships/hyperlink" Id="rId34" Target="https://kinetik.iftic.ac.id/index.php/kinetik/article/view/2056" TargetMode="External" /><Relationship Type="http://schemas.openxmlformats.org/officeDocument/2006/relationships/hyperlink" Id="rId38" Target="https://markryan.eu/research/papers/pdf/12-confichair.pdf" TargetMode="External" /><Relationship Type="http://schemas.openxmlformats.org/officeDocument/2006/relationships/hyperlink" Id="rId43" Target="https://openpraxis.org/articles/94/files/submission/proof/94-1-185-1-10-20210615.pdf" TargetMode="External" /><Relationship Type="http://schemas.openxmlformats.org/officeDocument/2006/relationships/hyperlink" Id="rId51" Target="https://pkp.sfu.ca/ojs/OJSTechnicalReference.pdf" TargetMode="External" /><Relationship Type="http://schemas.openxmlformats.org/officeDocument/2006/relationships/hyperlink" Id="rId28" Target="https://pmc.ncbi.nlm.nih.gov/articles/PMC5820080/" TargetMode="External" /><Relationship Type="http://schemas.openxmlformats.org/officeDocument/2006/relationships/hyperlink" Id="rId49" Target="https://rochi.utcluj.ro/icusi/proceedings/articles/1/ICUSI_2024_p034-040.pdf" TargetMode="External" /><Relationship Type="http://schemas.openxmlformats.org/officeDocument/2006/relationships/hyperlink" Id="rId31" Target="https://www.disit.org/disitmn/articoli/DMS2011-Nesi-paper6-multipress-ojs-v3-3-nesi.pdf" TargetMode="External" /><Relationship Type="http://schemas.openxmlformats.org/officeDocument/2006/relationships/hyperlink" Id="rId24" Target="https://www.diva-portal.org/smash/get/diva2:916581/FULLTEXT01.pdf" TargetMode="External" /><Relationship Type="http://schemas.openxmlformats.org/officeDocument/2006/relationships/hyperlink" Id="rId42" Target="https://www.duet.ac.bd/storage/journal/volume-5-issue-2-december-2019(37-48)-1667835446.pdf" TargetMode="External" /><Relationship Type="http://schemas.openxmlformats.org/officeDocument/2006/relationships/hyperlink" Id="rId25" Target="https://www.imjst.org/wp-content/uploads/2023/05/IMJSTP29120862.pdf" TargetMode="External" /><Relationship Type="http://schemas.openxmlformats.org/officeDocument/2006/relationships/hyperlink" Id="rId26" Target="https://www.jmess.org/wp-content/uploads/2023/05/JMESSP13420918.pdf" TargetMode="External" /><Relationship Type="http://schemas.openxmlformats.org/officeDocument/2006/relationships/hyperlink" Id="rId23" Target="https://www.jmest.org/wp-content/uploads/JMESTN42353512.pdf" TargetMode="External" /><Relationship Type="http://schemas.openxmlformats.org/officeDocument/2006/relationships/hyperlink" Id="rId27" Target="https://www.jmest.org/wp-content/uploads/JMESTN42354188.pdf" TargetMode="External" /><Relationship Type="http://schemas.openxmlformats.org/officeDocument/2006/relationships/hyperlink" Id="rId40" Target="https://www.mdpi.com/2304-6775/12/4/40" TargetMode="External" /><Relationship Type="http://schemas.openxmlformats.org/officeDocument/2006/relationships/hyperlink" Id="rId32" Target="https://www.researchgate.net/publication/330674287_Development_of_Review_Rating_and_Reporting_in_Open_Journal_System" TargetMode="External" /><Relationship Type="http://schemas.openxmlformats.org/officeDocument/2006/relationships/hyperlink" Id="rId48" Target="https://www.scitepress.org/Papers/2025/134826/134826.pdf" TargetMode="External" /><Relationship Type="http://schemas.openxmlformats.org/officeDocument/2006/relationships/hyperlink" Id="rId37" Target="https://www.tdp.cat/issues11/tdp.a103a1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2025-12-09T12:02:31Z</dcterms:created>
  <dcterms:modified xsi:type="dcterms:W3CDTF">2025-12-09T12:02:31Z</dcterms:modified>
</cp:coreProperties>
</file>

<file path=docProps/custom.xml><?xml version="1.0" encoding="utf-8"?>
<Properties xmlns="http://schemas.openxmlformats.org/officeDocument/2006/custom-properties" xmlns:vt="http://schemas.openxmlformats.org/officeDocument/2006/docPropsVTypes"/>
</file>