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2137" w:val="clear"/>
            <w:tcMar>
              <w:top w:type="dxa" w:w="240"/>
              <w:left w:type="dxa" w:w="360"/>
              <w:bottom w:type="dxa" w:w="180"/>
              <w:right w:type="dxa" w:w="360"/>
            </w:tcMar>
            <w:vAlign w:val="center"/>
          </w:tcPr>
          <w:p>
            <w:pPr>
              <w:spacing w:after="60" w:before="0"/>
              <w:jc w:val="left"/>
            </w:pPr>
            <w:r>
              <w:rPr>
                <w:rFonts w:ascii="Calibri" w:cs="Calibri" w:eastAsia="Calibri" w:hAnsi="Calibri"/>
                <w:b/>
                <w:bCs/>
                <w:color w:val="FFFFFF"/>
                <w:sz w:val="40"/>
                <w:szCs w:val="40"/>
              </w:rPr>
              <w:t xml:space="preserve">CFB BETTING MODEL</w:t>
            </w:r>
            <w:r>
              <w:rPr>
                <w:rFonts w:ascii="Calibri" w:cs="Calibri" w:eastAsia="Calibri" w:hAnsi="Calibri"/>
                <w:color w:val="A8C4E0"/>
                <w:sz w:val="28"/>
                <w:szCs w:val="28"/>
              </w:rPr>
              <w:t xml:space="preserve">  |  2026 Season</w:t>
            </w:r>
          </w:p>
          <w:p>
            <w:pPr>
              <w:spacing w:after="0" w:before="0"/>
              <w:jc w:val="left"/>
            </w:pPr>
            <w:r>
              <w:rPr>
                <w:rFonts w:ascii="Calibri" w:cs="Calibri" w:eastAsia="Calibri" w:hAnsi="Calibri"/>
                <w:i/>
                <w:iCs/>
                <w:color w:val="A8C4E0"/>
                <w:sz w:val="18"/>
                <w:szCs w:val="18"/>
              </w:rPr>
              <w:t xml:space="preserve">Machine-learning powered spread, totals &amp; moneyline analysis</w:t>
            </w:r>
          </w:p>
        </w:tc>
      </w:tr>
    </w:tbl>
    <w:p>
      <w:pPr>
        <w:spacing w:after="140" w:before="0"/>
      </w:pPr>
    </w:p>
    <w:p>
      <w:pPr>
        <w:pBdr>
          <w:bottom w:val="single" w:color="D4A017" w:sz="8" w:space="2"/>
        </w:pBdr>
        <w:spacing w:after="100" w:before="0"/>
      </w:pPr>
      <w:r>
        <w:rPr>
          <w:rFonts w:ascii="Calibri" w:cs="Calibri" w:eastAsia="Calibri" w:hAnsi="Calibri"/>
          <w:b/>
          <w:bCs/>
          <w:color w:val="2A4A6B"/>
          <w:sz w:val="22"/>
          <w:szCs w:val="22"/>
        </w:rPr>
        <w:t xml:space="preserve">HOW THE MODEL WORKS</w:t>
      </w:r>
    </w:p>
    <w:p>
      <w:pPr>
        <w:spacing w:after="100" w:before="60"/>
      </w:pPr>
      <w:r>
        <w:rPr>
          <w:rFonts w:ascii="Calibri" w:cs="Calibri" w:eastAsia="Calibri" w:hAnsi="Calibri"/>
          <w:color w:val="1A1A2E"/>
          <w:sz w:val="18"/>
          <w:szCs w:val="18"/>
        </w:rPr>
        <w:t xml:space="preserve">Three independent machine-learning models predict game outcomes using 6+ years of college football data. Predictions are generated weekly during the season and compared to market odds to identify value bets.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Borders>
              <w:top w:val="single" w:color="B0C4D8" w:sz="4"/>
              <w:left w:val="single" w:color="B0C4D8" w:sz="4"/>
              <w:bottom w:val="single" w:color="B0C4D8" w:sz="4"/>
              <w:right w:val="single" w:color="B0C4D8" w:sz="4"/>
            </w:tcBorders>
            <w:shd w:fill="2A4A6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SPREAD MODEL</w:t>
            </w:r>
          </w:p>
        </w:tc>
        <w:tc>
          <w:tcPr>
            <w:tcBorders>
              <w:top w:val="single" w:color="B0C4D8" w:sz="4"/>
              <w:left w:val="single" w:color="B0C4D8" w:sz="4"/>
              <w:bottom w:val="single" w:color="B0C4D8" w:sz="4"/>
              <w:right w:val="single" w:color="B0C4D8" w:sz="4"/>
            </w:tcBorders>
            <w:shd w:fill="2A4A6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TOTALS MODEL</w:t>
            </w:r>
          </w:p>
        </w:tc>
        <w:tc>
          <w:tcPr>
            <w:tcBorders>
              <w:top w:val="single" w:color="B0C4D8" w:sz="4"/>
              <w:left w:val="single" w:color="B0C4D8" w:sz="4"/>
              <w:bottom w:val="single" w:color="B0C4D8" w:sz="4"/>
              <w:right w:val="single" w:color="B0C4D8" w:sz="4"/>
            </w:tcBorders>
            <w:shd w:fill="2A4A6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WIN PROBABILITY</w:t>
            </w:r>
          </w:p>
        </w:tc>
      </w:tr>
      <w:tr>
        <w:tc>
          <w:tcPr>
            <w:tcBorders>
              <w:top w:val="single" w:color="B0C4D8" w:sz="4"/>
              <w:left w:val="single" w:color="B0C4D8" w:sz="4"/>
              <w:bottom w:val="single" w:color="B0C4D8" w:sz="4"/>
              <w:right w:val="single" w:color="B0C4D8" w:sz="4"/>
            </w:tcBorders>
            <w:shd w:fill="FFFFFF" w:val="clear"/>
            <w:tcMar>
              <w:top w:type="dxa" w:w="80"/>
              <w:left w:type="dxa" w:w="120"/>
              <w:bottom w:type="dxa" w:w="80"/>
              <w:right w:type="dxa" w:w="120"/>
            </w:tcMar>
          </w:tcPr>
          <w:p>
            <w:pPr>
              <w:spacing w:after="30" w:before="30"/>
            </w:pPr>
            <w:r>
              <w:rPr>
                <w:rFonts w:ascii="Calibri" w:cs="Calibri" w:eastAsia="Calibri" w:hAnsi="Calibri"/>
                <w:b w:val="false"/>
                <w:bCs w:val="false"/>
                <w:color w:val="1A1A2E"/>
                <w:sz w:val="17"/>
                <w:szCs w:val="17"/>
              </w:rPr>
              <w:t xml:space="preserve">Ridge (20%)</w:t>
            </w:r>
          </w:p>
          <w:p>
            <w:pPr>
              <w:spacing w:after="30" w:before="30"/>
            </w:pPr>
            <w:r>
              <w:rPr>
                <w:rFonts w:ascii="Calibri" w:cs="Calibri" w:eastAsia="Calibri" w:hAnsi="Calibri"/>
                <w:b w:val="false"/>
                <w:bCs w:val="false"/>
                <w:color w:val="1A1A2E"/>
                <w:sz w:val="17"/>
                <w:szCs w:val="17"/>
              </w:rPr>
              <w:t xml:space="preserve">Gradient Boost (80%)</w:t>
            </w:r>
          </w:p>
        </w:tc>
        <w:tc>
          <w:tcPr>
            <w:tcBorders>
              <w:top w:val="single" w:color="B0C4D8" w:sz="4"/>
              <w:left w:val="single" w:color="B0C4D8" w:sz="4"/>
              <w:bottom w:val="single" w:color="B0C4D8" w:sz="4"/>
              <w:right w:val="single" w:color="B0C4D8" w:sz="4"/>
            </w:tcBorders>
            <w:shd w:fill="EAF2FB" w:val="clear"/>
            <w:tcMar>
              <w:top w:type="dxa" w:w="80"/>
              <w:left w:type="dxa" w:w="120"/>
              <w:bottom w:type="dxa" w:w="80"/>
              <w:right w:type="dxa" w:w="120"/>
            </w:tcMar>
          </w:tcPr>
          <w:p>
            <w:pPr>
              <w:spacing w:after="30" w:before="30"/>
            </w:pPr>
            <w:r>
              <w:rPr>
                <w:rFonts w:ascii="Calibri" w:cs="Calibri" w:eastAsia="Calibri" w:hAnsi="Calibri"/>
                <w:b w:val="false"/>
                <w:bCs w:val="false"/>
                <w:color w:val="1A1A2E"/>
                <w:sz w:val="17"/>
                <w:szCs w:val="17"/>
              </w:rPr>
              <w:t xml:space="preserve">Ridge (60%)</w:t>
            </w:r>
          </w:p>
          <w:p>
            <w:pPr>
              <w:spacing w:after="30" w:before="30"/>
            </w:pPr>
            <w:r>
              <w:rPr>
                <w:rFonts w:ascii="Calibri" w:cs="Calibri" w:eastAsia="Calibri" w:hAnsi="Calibri"/>
                <w:b w:val="false"/>
                <w:bCs w:val="false"/>
                <w:color w:val="1A1A2E"/>
                <w:sz w:val="17"/>
                <w:szCs w:val="17"/>
              </w:rPr>
              <w:t xml:space="preserve">Gradient Boost (40%)</w:t>
            </w:r>
          </w:p>
        </w:tc>
        <w:tc>
          <w:tcPr>
            <w:tcBorders>
              <w:top w:val="single" w:color="B0C4D8" w:sz="4"/>
              <w:left w:val="single" w:color="B0C4D8" w:sz="4"/>
              <w:bottom w:val="single" w:color="B0C4D8" w:sz="4"/>
              <w:right w:val="single" w:color="B0C4D8" w:sz="4"/>
            </w:tcBorders>
            <w:shd w:fill="FFFFFF" w:val="clear"/>
            <w:tcMar>
              <w:top w:type="dxa" w:w="80"/>
              <w:left w:type="dxa" w:w="120"/>
              <w:bottom w:type="dxa" w:w="80"/>
              <w:right w:type="dxa" w:w="120"/>
            </w:tcMar>
          </w:tcPr>
          <w:p>
            <w:pPr>
              <w:spacing w:after="30" w:before="30"/>
            </w:pPr>
            <w:r>
              <w:rPr>
                <w:rFonts w:ascii="Calibri" w:cs="Calibri" w:eastAsia="Calibri" w:hAnsi="Calibri"/>
                <w:b w:val="false"/>
                <w:bCs w:val="false"/>
                <w:color w:val="1A1A2E"/>
                <w:sz w:val="17"/>
                <w:szCs w:val="17"/>
              </w:rPr>
              <w:t xml:space="preserve">Spread-calibrated</w:t>
            </w:r>
          </w:p>
          <w:p>
            <w:pPr>
              <w:spacing w:after="30" w:before="30"/>
            </w:pPr>
            <w:r>
              <w:rPr>
                <w:rFonts w:ascii="Calibri" w:cs="Calibri" w:eastAsia="Calibri" w:hAnsi="Calibri"/>
                <w:b w:val="false"/>
                <w:bCs w:val="false"/>
                <w:color w:val="1A1A2E"/>
                <w:sz w:val="17"/>
                <w:szCs w:val="17"/>
              </w:rPr>
              <w:t xml:space="preserve">Normal CDF (σ = 16.2 pts)</w:t>
            </w:r>
          </w:p>
        </w:tc>
      </w:tr>
      <w:tr>
        <w:tc>
          <w:tcPr>
            <w:tcBorders>
              <w:top w:val="single" w:color="B0C4D8" w:sz="4"/>
              <w:left w:val="single" w:color="B0C4D8" w:sz="4"/>
              <w:bottom w:val="single" w:color="B0C4D8" w:sz="4"/>
              <w:right w:val="single" w:color="B0C4D8" w:sz="4"/>
            </w:tcBorders>
            <w:shd w:fill="EAF2FB" w:val="clear"/>
            <w:tcMar>
              <w:top w:type="dxa" w:w="80"/>
              <w:left w:type="dxa" w:w="120"/>
              <w:bottom w:type="dxa" w:w="80"/>
              <w:right w:type="dxa" w:w="120"/>
            </w:tcMar>
          </w:tcPr>
          <w:p>
            <w:pPr>
              <w:spacing w:after="30" w:before="30"/>
            </w:pPr>
            <w:r>
              <w:rPr>
                <w:rFonts w:ascii="Calibri" w:cs="Calibri" w:eastAsia="Calibri" w:hAnsi="Calibri"/>
                <w:b/>
                <w:bCs/>
                <w:color w:val="1A1A2E"/>
                <w:sz w:val="17"/>
                <w:szCs w:val="17"/>
              </w:rPr>
              <w:t xml:space="preserve">Edge threshold: 4–7 pts</w:t>
            </w:r>
          </w:p>
        </w:tc>
        <w:tc>
          <w:tcPr>
            <w:tcBorders>
              <w:top w:val="single" w:color="B0C4D8" w:sz="4"/>
              <w:left w:val="single" w:color="B0C4D8" w:sz="4"/>
              <w:bottom w:val="single" w:color="B0C4D8" w:sz="4"/>
              <w:right w:val="single" w:color="B0C4D8" w:sz="4"/>
            </w:tcBorders>
            <w:shd w:fill="FFFFFF" w:val="clear"/>
            <w:tcMar>
              <w:top w:type="dxa" w:w="80"/>
              <w:left w:type="dxa" w:w="120"/>
              <w:bottom w:type="dxa" w:w="80"/>
              <w:right w:type="dxa" w:w="120"/>
            </w:tcMar>
          </w:tcPr>
          <w:p>
            <w:pPr>
              <w:spacing w:after="30" w:before="30"/>
            </w:pPr>
            <w:r>
              <w:rPr>
                <w:rFonts w:ascii="Calibri" w:cs="Calibri" w:eastAsia="Calibri" w:hAnsi="Calibri"/>
                <w:b/>
                <w:bCs/>
                <w:color w:val="1A1A2E"/>
                <w:sz w:val="17"/>
                <w:szCs w:val="17"/>
              </w:rPr>
              <w:t xml:space="preserve">Edge threshold: 3+ pts</w:t>
            </w:r>
          </w:p>
        </w:tc>
        <w:tc>
          <w:tcPr>
            <w:tcBorders>
              <w:top w:val="single" w:color="B0C4D8" w:sz="4"/>
              <w:left w:val="single" w:color="B0C4D8" w:sz="4"/>
              <w:bottom w:val="single" w:color="B0C4D8" w:sz="4"/>
              <w:right w:val="single" w:color="B0C4D8" w:sz="4"/>
            </w:tcBorders>
            <w:shd w:fill="EAF2FB" w:val="clear"/>
            <w:tcMar>
              <w:top w:type="dxa" w:w="80"/>
              <w:left w:type="dxa" w:w="120"/>
              <w:bottom w:type="dxa" w:w="80"/>
              <w:right w:type="dxa" w:w="120"/>
            </w:tcMar>
          </w:tcPr>
          <w:p>
            <w:pPr>
              <w:spacing w:after="30" w:before="30"/>
            </w:pPr>
            <w:r>
              <w:rPr>
                <w:rFonts w:ascii="Calibri" w:cs="Calibri" w:eastAsia="Calibri" w:hAnsi="Calibri"/>
                <w:b/>
                <w:bCs/>
                <w:color w:val="1A1A2E"/>
                <w:sz w:val="17"/>
                <w:szCs w:val="17"/>
              </w:rPr>
              <w:t xml:space="preserve">Used for ML EV &amp; Kelly</w:t>
            </w:r>
          </w:p>
        </w:tc>
      </w:tr>
      <w:tr>
        <w:tc>
          <w:tcPr>
            <w:tcBorders>
              <w:top w:val="single" w:color="B0C4D8" w:sz="4"/>
              <w:left w:val="single" w:color="B0C4D8" w:sz="4"/>
              <w:bottom w:val="single" w:color="B0C4D8" w:sz="4"/>
              <w:right w:val="single" w:color="B0C4D8" w:sz="4"/>
            </w:tcBorders>
            <w:shd w:fill="FFFFFF" w:val="clear"/>
            <w:tcMar>
              <w:top w:type="dxa" w:w="80"/>
              <w:left w:type="dxa" w:w="120"/>
              <w:bottom w:type="dxa" w:w="80"/>
              <w:right w:type="dxa" w:w="120"/>
            </w:tcMar>
          </w:tcPr>
          <w:p>
            <w:pPr>
              <w:spacing w:after="30" w:before="30"/>
            </w:pPr>
            <w:r>
              <w:rPr>
                <w:rFonts w:ascii="Calibri" w:cs="Calibri" w:eastAsia="Calibri" w:hAnsi="Calibri"/>
                <w:b w:val="false"/>
                <w:bCs w:val="false"/>
                <w:color w:val="1A1A2E"/>
                <w:sz w:val="17"/>
                <w:szCs w:val="17"/>
              </w:rPr>
              <w:t xml:space="preserve">Best-case ROI: +4.0%</w:t>
            </w:r>
          </w:p>
        </w:tc>
        <w:tc>
          <w:tcPr>
            <w:tcBorders>
              <w:top w:val="single" w:color="B0C4D8" w:sz="4"/>
              <w:left w:val="single" w:color="B0C4D8" w:sz="4"/>
              <w:bottom w:val="single" w:color="B0C4D8" w:sz="4"/>
              <w:right w:val="single" w:color="B0C4D8" w:sz="4"/>
            </w:tcBorders>
            <w:shd w:fill="EAF2FB" w:val="clear"/>
            <w:tcMar>
              <w:top w:type="dxa" w:w="80"/>
              <w:left w:type="dxa" w:w="120"/>
              <w:bottom w:type="dxa" w:w="80"/>
              <w:right w:type="dxa" w:w="120"/>
            </w:tcMar>
          </w:tcPr>
          <w:p>
            <w:pPr>
              <w:spacing w:after="30" w:before="30"/>
            </w:pPr>
            <w:r>
              <w:rPr>
                <w:rFonts w:ascii="Calibri" w:cs="Calibri" w:eastAsia="Calibri" w:hAnsi="Calibri"/>
                <w:b w:val="false"/>
                <w:bCs w:val="false"/>
                <w:color w:val="1A1A2E"/>
                <w:sz w:val="17"/>
                <w:szCs w:val="17"/>
              </w:rPr>
              <w:t xml:space="preserve">Unders win rate: 59%</w:t>
            </w:r>
          </w:p>
        </w:tc>
        <w:tc>
          <w:tcPr>
            <w:tcBorders>
              <w:top w:val="single" w:color="B0C4D8" w:sz="4"/>
              <w:left w:val="single" w:color="B0C4D8" w:sz="4"/>
              <w:bottom w:val="single" w:color="B0C4D8" w:sz="4"/>
              <w:right w:val="single" w:color="B0C4D8" w:sz="4"/>
            </w:tcBorders>
            <w:shd w:fill="FFFFFF" w:val="clear"/>
            <w:tcMar>
              <w:top w:type="dxa" w:w="80"/>
              <w:left w:type="dxa" w:w="120"/>
              <w:bottom w:type="dxa" w:w="80"/>
              <w:right w:type="dxa" w:w="120"/>
            </w:tcMar>
          </w:tcPr>
          <w:p>
            <w:pPr>
              <w:spacing w:after="30" w:before="30"/>
            </w:pPr>
            <w:r>
              <w:rPr>
                <w:rFonts w:ascii="Calibri" w:cs="Calibri" w:eastAsia="Calibri" w:hAnsi="Calibri"/>
                <w:b w:val="false"/>
                <w:bCs w:val="false"/>
                <w:color w:val="1A1A2E"/>
                <w:sz w:val="17"/>
                <w:szCs w:val="17"/>
              </w:rPr>
              <w:t xml:space="preserve">ML underdogs ROI: +52.7%</w:t>
            </w:r>
          </w:p>
        </w:tc>
      </w:tr>
    </w:tbl>
    <w:p>
      <w:pPr>
        <w:spacing w:after="60" w:before="0"/>
      </w:pPr>
    </w:p>
    <w:p>
      <w:pPr>
        <w:spacing w:after="60" w:before="60"/>
      </w:pPr>
      <w:r>
        <w:rPr>
          <w:rFonts w:ascii="Calibri" w:cs="Calibri" w:eastAsia="Calibri" w:hAnsi="Calibri"/>
          <w:color w:val="1A1A2E"/>
          <w:sz w:val="18"/>
          <w:szCs w:val="18"/>
        </w:rPr>
        <w:t xml:space="preserve">Win probability is derived entirely from the spread model via a normal-distribution calibration (σ = 16.2 pts), ensuring moneyline and spread signals are always consistent. Both models are retrained before each season using walk-forward validation: train on 2019–2022, validate on 2023, and hold out 2024–2025 as out-of-sample test data.</w:t>
      </w:r>
    </w:p>
    <w:p>
      <w:pPr>
        <w:spacing w:after="80" w:before="0"/>
      </w:pPr>
    </w:p>
    <w:p>
      <w:pPr>
        <w:pBdr>
          <w:bottom w:val="single" w:color="D4A017" w:sz="8" w:space="2"/>
        </w:pBdr>
        <w:spacing w:after="100" w:before="0"/>
      </w:pPr>
      <w:r>
        <w:rPr>
          <w:rFonts w:ascii="Calibri" w:cs="Calibri" w:eastAsia="Calibri" w:hAnsi="Calibri"/>
          <w:b/>
          <w:bCs/>
          <w:color w:val="2A4A6B"/>
          <w:sz w:val="22"/>
          <w:szCs w:val="22"/>
        </w:rPr>
        <w:t xml:space="preserve">WHAT DATA IT'S TRAINED ON</w:t>
      </w:r>
    </w:p>
    <w:p>
      <w:pPr>
        <w:spacing w:after="80" w:before="0"/>
      </w:pPr>
      <w:r>
        <w:rPr>
          <w:rFonts w:ascii="Calibri" w:cs="Calibri" w:eastAsia="Calibri" w:hAnsi="Calibri"/>
          <w:color w:val="1A1A2E"/>
          <w:sz w:val="18"/>
          <w:szCs w:val="18"/>
        </w:rPr>
        <w:t xml:space="preserve">Every feature represents information available before kickoff — no lookahead bias.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Borders>
              <w:top w:val="single" w:color="B0C4D8" w:sz="4"/>
              <w:left w:val="single" w:color="B0C4D8" w:sz="4"/>
              <w:bottom w:val="single" w:color="B0C4D8" w:sz="4"/>
              <w:right w:val="single" w:color="B0C4D8" w:sz="4"/>
            </w:tcBorders>
            <w:shd w:fill="EAF2FB" w:val="clear"/>
            <w:tcMar>
              <w:top w:type="dxa" w:w="70"/>
              <w:left w:type="dxa" w:w="120"/>
              <w:bottom w:type="dxa" w:w="70"/>
              <w:right w:type="dxa" w:w="120"/>
            </w:tcMar>
          </w:tcPr>
          <w:p>
            <w:r>
              <w:rPr>
                <w:rFonts w:ascii="Calibri" w:cs="Calibri" w:eastAsia="Calibri" w:hAnsi="Calibri"/>
                <w:b/>
                <w:bCs/>
                <w:color w:val="2A4A6B"/>
                <w:sz w:val="17"/>
                <w:szCs w:val="17"/>
              </w:rPr>
              <w:t xml:space="preserve">Ratings &amp; Rankings</w:t>
            </w:r>
          </w:p>
        </w:tc>
        <w:tc>
          <w:tcPr>
            <w:tcBorders>
              <w:top w:val="single" w:color="B0C4D8" w:sz="4"/>
              <w:left w:val="single" w:color="B0C4D8" w:sz="4"/>
              <w:bottom w:val="single" w:color="B0C4D8" w:sz="4"/>
              <w:right w:val="single" w:color="B0C4D8" w:sz="4"/>
            </w:tcBorders>
            <w:shd w:fill="EAF2FB" w:val="clear"/>
            <w:tcMar>
              <w:top w:type="dxa" w:w="70"/>
              <w:left w:type="dxa" w:w="120"/>
              <w:bottom w:type="dxa" w:w="70"/>
              <w:right w:type="dxa" w:w="120"/>
            </w:tcMar>
          </w:tcPr>
          <w:p>
            <w:r>
              <w:rPr>
                <w:rFonts w:ascii="Calibri" w:cs="Calibri" w:eastAsia="Calibri" w:hAnsi="Calibri"/>
                <w:color w:val="1A1A2E"/>
                <w:sz w:val="17"/>
                <w:szCs w:val="17"/>
              </w:rPr>
              <w:t xml:space="preserve">SP+, FPI, SRS, Elo (weekly updated)</w:t>
            </w:r>
          </w:p>
        </w:tc>
      </w:tr>
      <w:tr>
        <w:tc>
          <w:tcPr>
            <w:tcBorders>
              <w:top w:val="single" w:color="B0C4D8" w:sz="4"/>
              <w:left w:val="single" w:color="B0C4D8" w:sz="4"/>
              <w:bottom w:val="single" w:color="B0C4D8" w:sz="4"/>
              <w:right w:val="single" w:color="B0C4D8" w:sz="4"/>
            </w:tcBorders>
            <w:shd w:fill="FFFFFF" w:val="clear"/>
            <w:tcMar>
              <w:top w:type="dxa" w:w="70"/>
              <w:left w:type="dxa" w:w="120"/>
              <w:bottom w:type="dxa" w:w="70"/>
              <w:right w:type="dxa" w:w="120"/>
            </w:tcMar>
          </w:tcPr>
          <w:p>
            <w:r>
              <w:rPr>
                <w:rFonts w:ascii="Calibri" w:cs="Calibri" w:eastAsia="Calibri" w:hAnsi="Calibri"/>
                <w:b/>
                <w:bCs/>
                <w:color w:val="2A4A6B"/>
                <w:sz w:val="17"/>
                <w:szCs w:val="17"/>
              </w:rPr>
              <w:t xml:space="preserve">Recruiting &amp; Portal</w:t>
            </w:r>
          </w:p>
        </w:tc>
        <w:tc>
          <w:tcPr>
            <w:tcBorders>
              <w:top w:val="single" w:color="B0C4D8" w:sz="4"/>
              <w:left w:val="single" w:color="B0C4D8" w:sz="4"/>
              <w:bottom w:val="single" w:color="B0C4D8" w:sz="4"/>
              <w:right w:val="single" w:color="B0C4D8" w:sz="4"/>
            </w:tcBorders>
            <w:shd w:fill="FFFFFF" w:val="clear"/>
            <w:tcMar>
              <w:top w:type="dxa" w:w="70"/>
              <w:left w:type="dxa" w:w="120"/>
              <w:bottom w:type="dxa" w:w="70"/>
              <w:right w:type="dxa" w:w="120"/>
            </w:tcMar>
          </w:tcPr>
          <w:p>
            <w:r>
              <w:rPr>
                <w:rFonts w:ascii="Calibri" w:cs="Calibri" w:eastAsia="Calibri" w:hAnsi="Calibri"/>
                <w:color w:val="1A1A2E"/>
                <w:sz w:val="17"/>
                <w:szCs w:val="17"/>
              </w:rPr>
              <w:t xml:space="preserve">4-yr rolling talent index + transfer portal ratings</w:t>
            </w:r>
          </w:p>
        </w:tc>
      </w:tr>
      <w:tr>
        <w:tc>
          <w:tcPr>
            <w:tcBorders>
              <w:top w:val="single" w:color="B0C4D8" w:sz="4"/>
              <w:left w:val="single" w:color="B0C4D8" w:sz="4"/>
              <w:bottom w:val="single" w:color="B0C4D8" w:sz="4"/>
              <w:right w:val="single" w:color="B0C4D8" w:sz="4"/>
            </w:tcBorders>
            <w:shd w:fill="EAF2FB" w:val="clear"/>
            <w:tcMar>
              <w:top w:type="dxa" w:w="70"/>
              <w:left w:type="dxa" w:w="120"/>
              <w:bottom w:type="dxa" w:w="70"/>
              <w:right w:type="dxa" w:w="120"/>
            </w:tcMar>
          </w:tcPr>
          <w:p>
            <w:r>
              <w:rPr>
                <w:rFonts w:ascii="Calibri" w:cs="Calibri" w:eastAsia="Calibri" w:hAnsi="Calibri"/>
                <w:b/>
                <w:bCs/>
                <w:color w:val="2A4A6B"/>
                <w:sz w:val="17"/>
                <w:szCs w:val="17"/>
              </w:rPr>
              <w:t xml:space="preserve">Advanced EPA</w:t>
            </w:r>
          </w:p>
        </w:tc>
        <w:tc>
          <w:tcPr>
            <w:tcBorders>
              <w:top w:val="single" w:color="B0C4D8" w:sz="4"/>
              <w:left w:val="single" w:color="B0C4D8" w:sz="4"/>
              <w:bottom w:val="single" w:color="B0C4D8" w:sz="4"/>
              <w:right w:val="single" w:color="B0C4D8" w:sz="4"/>
            </w:tcBorders>
            <w:shd w:fill="EAF2FB" w:val="clear"/>
            <w:tcMar>
              <w:top w:type="dxa" w:w="70"/>
              <w:left w:type="dxa" w:w="120"/>
              <w:bottom w:type="dxa" w:w="70"/>
              <w:right w:type="dxa" w:w="120"/>
            </w:tcMar>
          </w:tcPr>
          <w:p>
            <w:r>
              <w:rPr>
                <w:rFonts w:ascii="Calibri" w:cs="Calibri" w:eastAsia="Calibri" w:hAnsi="Calibri"/>
                <w:color w:val="1A1A2E"/>
                <w:sz w:val="17"/>
                <w:szCs w:val="17"/>
              </w:rPr>
              <w:t xml:space="preserve">Roll-3 / Roll-5 / YTD — offense, defense, EPA/play</w:t>
            </w:r>
          </w:p>
        </w:tc>
      </w:tr>
      <w:tr>
        <w:tc>
          <w:tcPr>
            <w:tcBorders>
              <w:top w:val="single" w:color="B0C4D8" w:sz="4"/>
              <w:left w:val="single" w:color="B0C4D8" w:sz="4"/>
              <w:bottom w:val="single" w:color="B0C4D8" w:sz="4"/>
              <w:right w:val="single" w:color="B0C4D8" w:sz="4"/>
            </w:tcBorders>
            <w:shd w:fill="FFFFFF" w:val="clear"/>
            <w:tcMar>
              <w:top w:type="dxa" w:w="70"/>
              <w:left w:type="dxa" w:w="120"/>
              <w:bottom w:type="dxa" w:w="70"/>
              <w:right w:type="dxa" w:w="120"/>
            </w:tcMar>
          </w:tcPr>
          <w:p>
            <w:r>
              <w:rPr>
                <w:rFonts w:ascii="Calibri" w:cs="Calibri" w:eastAsia="Calibri" w:hAnsi="Calibri"/>
                <w:b/>
                <w:bCs/>
                <w:color w:val="2A4A6B"/>
                <w:sz w:val="17"/>
                <w:szCs w:val="17"/>
              </w:rPr>
              <w:t xml:space="preserve">Situation Metrics</w:t>
            </w:r>
          </w:p>
        </w:tc>
        <w:tc>
          <w:tcPr>
            <w:tcBorders>
              <w:top w:val="single" w:color="B0C4D8" w:sz="4"/>
              <w:left w:val="single" w:color="B0C4D8" w:sz="4"/>
              <w:bottom w:val="single" w:color="B0C4D8" w:sz="4"/>
              <w:right w:val="single" w:color="B0C4D8" w:sz="4"/>
            </w:tcBorders>
            <w:shd w:fill="FFFFFF" w:val="clear"/>
            <w:tcMar>
              <w:top w:type="dxa" w:w="70"/>
              <w:left w:type="dxa" w:w="120"/>
              <w:bottom w:type="dxa" w:w="70"/>
              <w:right w:type="dxa" w:w="120"/>
            </w:tcMar>
          </w:tcPr>
          <w:p>
            <w:r>
              <w:rPr>
                <w:rFonts w:ascii="Calibri" w:cs="Calibri" w:eastAsia="Calibri" w:hAnsi="Calibri"/>
                <w:color w:val="1A1A2E"/>
                <w:sz w:val="17"/>
                <w:szCs w:val="17"/>
              </w:rPr>
              <w:t xml:space="preserve">WEPA, Havoc rate, Talent composite</w:t>
            </w:r>
          </w:p>
        </w:tc>
      </w:tr>
      <w:tr>
        <w:tc>
          <w:tcPr>
            <w:tcBorders>
              <w:top w:val="single" w:color="B0C4D8" w:sz="4"/>
              <w:left w:val="single" w:color="B0C4D8" w:sz="4"/>
              <w:bottom w:val="single" w:color="B0C4D8" w:sz="4"/>
              <w:right w:val="single" w:color="B0C4D8" w:sz="4"/>
            </w:tcBorders>
            <w:shd w:fill="EAF2FB" w:val="clear"/>
            <w:tcMar>
              <w:top w:type="dxa" w:w="70"/>
              <w:left w:type="dxa" w:w="120"/>
              <w:bottom w:type="dxa" w:w="70"/>
              <w:right w:type="dxa" w:w="120"/>
            </w:tcMar>
          </w:tcPr>
          <w:p>
            <w:r>
              <w:rPr>
                <w:rFonts w:ascii="Calibri" w:cs="Calibri" w:eastAsia="Calibri" w:hAnsi="Calibri"/>
                <w:b/>
                <w:bCs/>
                <w:color w:val="2A4A6B"/>
                <w:sz w:val="17"/>
                <w:szCs w:val="17"/>
              </w:rPr>
              <w:t xml:space="preserve">Game Context</w:t>
            </w:r>
          </w:p>
        </w:tc>
        <w:tc>
          <w:tcPr>
            <w:tcBorders>
              <w:top w:val="single" w:color="B0C4D8" w:sz="4"/>
              <w:left w:val="single" w:color="B0C4D8" w:sz="4"/>
              <w:bottom w:val="single" w:color="B0C4D8" w:sz="4"/>
              <w:right w:val="single" w:color="B0C4D8" w:sz="4"/>
            </w:tcBorders>
            <w:shd w:fill="EAF2FB" w:val="clear"/>
            <w:tcMar>
              <w:top w:type="dxa" w:w="70"/>
              <w:left w:type="dxa" w:w="120"/>
              <w:bottom w:type="dxa" w:w="70"/>
              <w:right w:type="dxa" w:w="120"/>
            </w:tcMar>
          </w:tcPr>
          <w:p>
            <w:r>
              <w:rPr>
                <w:rFonts w:ascii="Calibri" w:cs="Calibri" w:eastAsia="Calibri" w:hAnsi="Calibri"/>
                <w:color w:val="1A1A2E"/>
                <w:sz w:val="17"/>
                <w:szCs w:val="17"/>
              </w:rPr>
              <w:t xml:space="preserve">Home-field advantage, rest days, neutral site flag</w:t>
            </w:r>
          </w:p>
        </w:tc>
      </w:tr>
      <w:tr>
        <w:tc>
          <w:tcPr>
            <w:tcBorders>
              <w:top w:val="single" w:color="B0C4D8" w:sz="4"/>
              <w:left w:val="single" w:color="B0C4D8" w:sz="4"/>
              <w:bottom w:val="single" w:color="B0C4D8" w:sz="4"/>
              <w:right w:val="single" w:color="B0C4D8" w:sz="4"/>
            </w:tcBorders>
            <w:shd w:fill="FFFFFF" w:val="clear"/>
            <w:tcMar>
              <w:top w:type="dxa" w:w="70"/>
              <w:left w:type="dxa" w:w="120"/>
              <w:bottom w:type="dxa" w:w="70"/>
              <w:right w:type="dxa" w:w="120"/>
            </w:tcMar>
          </w:tcPr>
          <w:p>
            <w:r>
              <w:rPr>
                <w:rFonts w:ascii="Calibri" w:cs="Calibri" w:eastAsia="Calibri" w:hAnsi="Calibri"/>
                <w:b/>
                <w:bCs/>
                <w:color w:val="2A4A6B"/>
                <w:sz w:val="17"/>
                <w:szCs w:val="17"/>
              </w:rPr>
              <w:t xml:space="preserve">Market Data</w:t>
            </w:r>
          </w:p>
        </w:tc>
        <w:tc>
          <w:tcPr>
            <w:tcBorders>
              <w:top w:val="single" w:color="B0C4D8" w:sz="4"/>
              <w:left w:val="single" w:color="B0C4D8" w:sz="4"/>
              <w:bottom w:val="single" w:color="B0C4D8" w:sz="4"/>
              <w:right w:val="single" w:color="B0C4D8" w:sz="4"/>
            </w:tcBorders>
            <w:shd w:fill="FFFFFF" w:val="clear"/>
            <w:tcMar>
              <w:top w:type="dxa" w:w="70"/>
              <w:left w:type="dxa" w:w="120"/>
              <w:bottom w:type="dxa" w:w="70"/>
              <w:right w:type="dxa" w:w="120"/>
            </w:tcMar>
          </w:tcPr>
          <w:p>
            <w:r>
              <w:rPr>
                <w:rFonts w:ascii="Calibri" w:cs="Calibri" w:eastAsia="Calibri" w:hAnsi="Calibri"/>
                <w:color w:val="1A1A2E"/>
                <w:sz w:val="17"/>
                <w:szCs w:val="17"/>
              </w:rPr>
              <w:t xml:space="preserve">Opening &amp; current spreads, line movement, O/U</w:t>
            </w:r>
          </w:p>
        </w:tc>
      </w:tr>
    </w:tbl>
    <w:p>
      <w:pPr>
        <w:spacing w:after="60" w:before="0"/>
      </w:pPr>
    </w:p>
    <w:p>
      <w:pPr>
        <w:spacing w:after="60" w:before="60"/>
      </w:pPr>
      <w:r>
        <w:rPr>
          <w:rFonts w:ascii="Calibri" w:cs="Calibri" w:eastAsia="Calibri" w:hAnsi="Calibri"/>
          <w:color w:val="1A1A2E"/>
          <w:sz w:val="18"/>
          <w:szCs w:val="18"/>
        </w:rPr>
        <w:t xml:space="preserve">All rating sources are pulled fresh each week via the College Football Data API (CFBD). Live odds come from OddsBlaze (DraftKings, FanDuel, BetMGM, Caesars) with automatic fallback to CFBD historical lines when live data is unavailable.</w:t>
      </w:r>
    </w:p>
    <w:p>
      <w:pPr>
        <w:spacing w:after="80" w:before="0"/>
      </w:pPr>
    </w:p>
    <w:p>
      <w:pPr>
        <w:pBdr>
          <w:bottom w:val="single" w:color="D4A017" w:sz="8" w:space="2"/>
        </w:pBdr>
        <w:spacing w:after="100" w:before="0"/>
      </w:pPr>
      <w:r>
        <w:rPr>
          <w:rFonts w:ascii="Calibri" w:cs="Calibri" w:eastAsia="Calibri" w:hAnsi="Calibri"/>
          <w:b/>
          <w:bCs/>
          <w:color w:val="2A4A6B"/>
          <w:sz w:val="22"/>
          <w:szCs w:val="22"/>
        </w:rPr>
        <w:t xml:space="preserve">HOW WE'LL USE IT IN 2026</w:t>
      </w:r>
    </w:p>
    <w:p>
      <w:pPr>
        <w:spacing w:after="80" w:before="0"/>
      </w:pPr>
      <w:r>
        <w:rPr>
          <w:rFonts w:ascii="Calibri" w:cs="Calibri" w:eastAsia="Calibri" w:hAnsi="Calibri"/>
          <w:color w:val="1A1A2E"/>
          <w:sz w:val="18"/>
          <w:szCs w:val="18"/>
        </w:rPr>
        <w:t xml:space="preserve">Each game week follows a five-step process from raw data to a sized bet: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Borders>
              <w:top w:val="single" w:color="B0C4D8" w:sz="4"/>
              <w:left w:val="single" w:color="B0C4D8" w:sz="4"/>
              <w:bottom w:val="single" w:color="B0C4D8" w:sz="4"/>
              <w:right w:val="single" w:color="B0C4D8" w:sz="4"/>
            </w:tcBorders>
            <w:shd w:fill="2A4A6B" w:val="clear"/>
            <w:tcMar>
              <w:top w:type="dxa" w:w="80"/>
              <w:left w:type="dxa" w:w="80"/>
              <w:bottom w:type="dxa" w:w="80"/>
              <w:right w:type="dxa" w:w="80"/>
            </w:tcMar>
            <w:vAlign w:val="center"/>
          </w:tcPr>
          <w:p>
            <w:pPr>
              <w:spacing w:after="20" w:before="0"/>
              <w:jc w:val="center"/>
            </w:pPr>
            <w:r>
              <w:rPr>
                <w:rFonts w:ascii="Calibri" w:cs="Calibri" w:eastAsia="Calibri" w:hAnsi="Calibri"/>
                <w:b/>
                <w:bCs/>
                <w:color w:val="D4A017"/>
                <w:sz w:val="14"/>
                <w:szCs w:val="14"/>
              </w:rPr>
              <w:t xml:space="preserve">STEP 1</w:t>
            </w:r>
          </w:p>
          <w:p>
            <w:pPr>
              <w:spacing w:after="30" w:before="0"/>
              <w:jc w:val="center"/>
            </w:pPr>
            <w:r>
              <w:rPr>
                <w:rFonts w:ascii="Calibri" w:cs="Calibri" w:eastAsia="Calibri" w:hAnsi="Calibri"/>
                <w:b/>
                <w:bCs/>
                <w:color w:val="FFFFFF"/>
                <w:sz w:val="19"/>
                <w:szCs w:val="19"/>
              </w:rPr>
              <w:t xml:space="preserve">Refresh Data</w:t>
            </w:r>
          </w:p>
          <w:p>
            <w:pPr>
              <w:spacing w:after="0" w:before="0"/>
              <w:jc w:val="center"/>
            </w:pPr>
            <w:r>
              <w:rPr>
                <w:rFonts w:ascii="Calibri" w:cs="Calibri" w:eastAsia="Calibri" w:hAnsi="Calibri"/>
                <w:color w:val="A8C4E0"/>
                <w:sz w:val="15"/>
                <w:szCs w:val="15"/>
              </w:rPr>
              <w:t xml:space="preserve">Pull latest SP+, EPA,</w:t>
            </w:r>
          </w:p>
          <w:p>
            <w:pPr>
              <w:spacing w:after="0" w:before="0"/>
              <w:jc w:val="center"/>
            </w:pPr>
            <w:r>
              <w:rPr>
                <w:rFonts w:ascii="Calibri" w:cs="Calibri" w:eastAsia="Calibri" w:hAnsi="Calibri"/>
                <w:color w:val="A8C4E0"/>
                <w:sz w:val="15"/>
                <w:szCs w:val="15"/>
              </w:rPr>
              <w:t xml:space="preserve">recruiting &amp; odds</w:t>
            </w:r>
          </w:p>
        </w:tc>
        <w:tc>
          <w:tcPr>
            <w:tcBorders>
              <w:top w:val="single" w:color="B0C4D8" w:sz="4"/>
              <w:left w:val="single" w:color="B0C4D8" w:sz="4"/>
              <w:bottom w:val="single" w:color="B0C4D8" w:sz="4"/>
              <w:right w:val="single" w:color="B0C4D8" w:sz="4"/>
            </w:tcBorders>
            <w:shd w:fill="0D2137" w:val="clear"/>
            <w:tcMar>
              <w:top w:type="dxa" w:w="80"/>
              <w:left w:type="dxa" w:w="80"/>
              <w:bottom w:type="dxa" w:w="80"/>
              <w:right w:type="dxa" w:w="80"/>
            </w:tcMar>
            <w:vAlign w:val="center"/>
          </w:tcPr>
          <w:p>
            <w:pPr>
              <w:spacing w:after="20" w:before="0"/>
              <w:jc w:val="center"/>
            </w:pPr>
            <w:r>
              <w:rPr>
                <w:rFonts w:ascii="Calibri" w:cs="Calibri" w:eastAsia="Calibri" w:hAnsi="Calibri"/>
                <w:b/>
                <w:bCs/>
                <w:color w:val="D4A017"/>
                <w:sz w:val="14"/>
                <w:szCs w:val="14"/>
              </w:rPr>
              <w:t xml:space="preserve">STEP 2</w:t>
            </w:r>
          </w:p>
          <w:p>
            <w:pPr>
              <w:spacing w:after="30" w:before="0"/>
              <w:jc w:val="center"/>
            </w:pPr>
            <w:r>
              <w:rPr>
                <w:rFonts w:ascii="Calibri" w:cs="Calibri" w:eastAsia="Calibri" w:hAnsi="Calibri"/>
                <w:b/>
                <w:bCs/>
                <w:color w:val="FFFFFF"/>
                <w:sz w:val="19"/>
                <w:szCs w:val="19"/>
              </w:rPr>
              <w:t xml:space="preserve">Retrain Model</w:t>
            </w:r>
          </w:p>
          <w:p>
            <w:pPr>
              <w:spacing w:after="0" w:before="0"/>
              <w:jc w:val="center"/>
            </w:pPr>
            <w:r>
              <w:rPr>
                <w:rFonts w:ascii="Calibri" w:cs="Calibri" w:eastAsia="Calibri" w:hAnsi="Calibri"/>
                <w:color w:val="A8C4E0"/>
                <w:sz w:val="15"/>
                <w:szCs w:val="15"/>
              </w:rPr>
              <w:t xml:space="preserve">Walk-forward fit on</w:t>
            </w:r>
          </w:p>
          <w:p>
            <w:pPr>
              <w:spacing w:after="0" w:before="0"/>
              <w:jc w:val="center"/>
            </w:pPr>
            <w:r>
              <w:rPr>
                <w:rFonts w:ascii="Calibri" w:cs="Calibri" w:eastAsia="Calibri" w:hAnsi="Calibri"/>
                <w:color w:val="A8C4E0"/>
                <w:sz w:val="15"/>
                <w:szCs w:val="15"/>
              </w:rPr>
              <w:t xml:space="preserve">2019–2025 history</w:t>
            </w:r>
          </w:p>
        </w:tc>
        <w:tc>
          <w:tcPr>
            <w:tcBorders>
              <w:top w:val="single" w:color="B0C4D8" w:sz="4"/>
              <w:left w:val="single" w:color="B0C4D8" w:sz="4"/>
              <w:bottom w:val="single" w:color="B0C4D8" w:sz="4"/>
              <w:right w:val="single" w:color="B0C4D8" w:sz="4"/>
            </w:tcBorders>
            <w:shd w:fill="2A4A6B" w:val="clear"/>
            <w:tcMar>
              <w:top w:type="dxa" w:w="80"/>
              <w:left w:type="dxa" w:w="80"/>
              <w:bottom w:type="dxa" w:w="80"/>
              <w:right w:type="dxa" w:w="80"/>
            </w:tcMar>
            <w:vAlign w:val="center"/>
          </w:tcPr>
          <w:p>
            <w:pPr>
              <w:spacing w:after="20" w:before="0"/>
              <w:jc w:val="center"/>
            </w:pPr>
            <w:r>
              <w:rPr>
                <w:rFonts w:ascii="Calibri" w:cs="Calibri" w:eastAsia="Calibri" w:hAnsi="Calibri"/>
                <w:b/>
                <w:bCs/>
                <w:color w:val="D4A017"/>
                <w:sz w:val="14"/>
                <w:szCs w:val="14"/>
              </w:rPr>
              <w:t xml:space="preserve">STEP 3</w:t>
            </w:r>
          </w:p>
          <w:p>
            <w:pPr>
              <w:spacing w:after="30" w:before="0"/>
              <w:jc w:val="center"/>
            </w:pPr>
            <w:r>
              <w:rPr>
                <w:rFonts w:ascii="Calibri" w:cs="Calibri" w:eastAsia="Calibri" w:hAnsi="Calibri"/>
                <w:b/>
                <w:bCs/>
                <w:color w:val="FFFFFF"/>
                <w:sz w:val="19"/>
                <w:szCs w:val="19"/>
              </w:rPr>
              <w:t xml:space="preserve">Load Picks</w:t>
            </w:r>
          </w:p>
          <w:p>
            <w:pPr>
              <w:spacing w:after="0" w:before="0"/>
              <w:jc w:val="center"/>
            </w:pPr>
            <w:r>
              <w:rPr>
                <w:rFonts w:ascii="Calibri" w:cs="Calibri" w:eastAsia="Calibri" w:hAnsi="Calibri"/>
                <w:color w:val="A8C4E0"/>
                <w:sz w:val="15"/>
                <w:szCs w:val="15"/>
              </w:rPr>
              <w:t xml:space="preserve">App fetches live</w:t>
            </w:r>
          </w:p>
          <w:p>
            <w:pPr>
              <w:spacing w:after="0" w:before="0"/>
              <w:jc w:val="center"/>
            </w:pPr>
            <w:r>
              <w:rPr>
                <w:rFonts w:ascii="Calibri" w:cs="Calibri" w:eastAsia="Calibri" w:hAnsi="Calibri"/>
                <w:color w:val="A8C4E0"/>
                <w:sz w:val="15"/>
                <w:szCs w:val="15"/>
              </w:rPr>
              <w:t xml:space="preserve">lines from OddsBlaze</w:t>
            </w:r>
          </w:p>
        </w:tc>
        <w:tc>
          <w:tcPr>
            <w:tcBorders>
              <w:top w:val="single" w:color="B0C4D8" w:sz="4"/>
              <w:left w:val="single" w:color="B0C4D8" w:sz="4"/>
              <w:bottom w:val="single" w:color="B0C4D8" w:sz="4"/>
              <w:right w:val="single" w:color="B0C4D8" w:sz="4"/>
            </w:tcBorders>
            <w:shd w:fill="0D2137" w:val="clear"/>
            <w:tcMar>
              <w:top w:type="dxa" w:w="80"/>
              <w:left w:type="dxa" w:w="80"/>
              <w:bottom w:type="dxa" w:w="80"/>
              <w:right w:type="dxa" w:w="80"/>
            </w:tcMar>
            <w:vAlign w:val="center"/>
          </w:tcPr>
          <w:p>
            <w:pPr>
              <w:spacing w:after="20" w:before="0"/>
              <w:jc w:val="center"/>
            </w:pPr>
            <w:r>
              <w:rPr>
                <w:rFonts w:ascii="Calibri" w:cs="Calibri" w:eastAsia="Calibri" w:hAnsi="Calibri"/>
                <w:b/>
                <w:bCs/>
                <w:color w:val="D4A017"/>
                <w:sz w:val="14"/>
                <w:szCs w:val="14"/>
              </w:rPr>
              <w:t xml:space="preserve">STEP 4</w:t>
            </w:r>
          </w:p>
          <w:p>
            <w:pPr>
              <w:spacing w:after="30" w:before="0"/>
              <w:jc w:val="center"/>
            </w:pPr>
            <w:r>
              <w:rPr>
                <w:rFonts w:ascii="Calibri" w:cs="Calibri" w:eastAsia="Calibri" w:hAnsi="Calibri"/>
                <w:b/>
                <w:bCs/>
                <w:color w:val="FFFFFF"/>
                <w:sz w:val="19"/>
                <w:szCs w:val="19"/>
              </w:rPr>
              <w:t xml:space="preserve">Filter Edges</w:t>
            </w:r>
          </w:p>
          <w:p>
            <w:pPr>
              <w:spacing w:after="0" w:before="0"/>
              <w:jc w:val="center"/>
            </w:pPr>
            <w:r>
              <w:rPr>
                <w:rFonts w:ascii="Calibri" w:cs="Calibri" w:eastAsia="Calibri" w:hAnsi="Calibri"/>
                <w:color w:val="A8C4E0"/>
                <w:sz w:val="15"/>
                <w:szCs w:val="15"/>
              </w:rPr>
              <w:t xml:space="preserve">Apply spread / totals /</w:t>
            </w:r>
          </w:p>
          <w:p>
            <w:pPr>
              <w:spacing w:after="0" w:before="0"/>
              <w:jc w:val="center"/>
            </w:pPr>
            <w:r>
              <w:rPr>
                <w:rFonts w:ascii="Calibri" w:cs="Calibri" w:eastAsia="Calibri" w:hAnsi="Calibri"/>
                <w:color w:val="A8C4E0"/>
                <w:sz w:val="15"/>
                <w:szCs w:val="15"/>
              </w:rPr>
              <w:t xml:space="preserve">ML thresholds</w:t>
            </w:r>
          </w:p>
        </w:tc>
        <w:tc>
          <w:tcPr>
            <w:tcBorders>
              <w:top w:val="single" w:color="B0C4D8" w:sz="4"/>
              <w:left w:val="single" w:color="B0C4D8" w:sz="4"/>
              <w:bottom w:val="single" w:color="B0C4D8" w:sz="4"/>
              <w:right w:val="single" w:color="B0C4D8" w:sz="4"/>
            </w:tcBorders>
            <w:shd w:fill="2A4A6B" w:val="clear"/>
            <w:tcMar>
              <w:top w:type="dxa" w:w="80"/>
              <w:left w:type="dxa" w:w="80"/>
              <w:bottom w:type="dxa" w:w="80"/>
              <w:right w:type="dxa" w:w="80"/>
            </w:tcMar>
            <w:vAlign w:val="center"/>
          </w:tcPr>
          <w:p>
            <w:pPr>
              <w:spacing w:after="20" w:before="0"/>
              <w:jc w:val="center"/>
            </w:pPr>
            <w:r>
              <w:rPr>
                <w:rFonts w:ascii="Calibri" w:cs="Calibri" w:eastAsia="Calibri" w:hAnsi="Calibri"/>
                <w:b/>
                <w:bCs/>
                <w:color w:val="D4A017"/>
                <w:sz w:val="14"/>
                <w:szCs w:val="14"/>
              </w:rPr>
              <w:t xml:space="preserve">STEP 5</w:t>
            </w:r>
          </w:p>
          <w:p>
            <w:pPr>
              <w:spacing w:after="30" w:before="0"/>
              <w:jc w:val="center"/>
            </w:pPr>
            <w:r>
              <w:rPr>
                <w:rFonts w:ascii="Calibri" w:cs="Calibri" w:eastAsia="Calibri" w:hAnsi="Calibri"/>
                <w:b/>
                <w:bCs/>
                <w:color w:val="FFFFFF"/>
                <w:sz w:val="19"/>
                <w:szCs w:val="19"/>
              </w:rPr>
              <w:t xml:space="preserve">Size Bets</w:t>
            </w:r>
          </w:p>
          <w:p>
            <w:pPr>
              <w:spacing w:after="0" w:before="0"/>
              <w:jc w:val="center"/>
            </w:pPr>
            <w:r>
              <w:rPr>
                <w:rFonts w:ascii="Calibri" w:cs="Calibri" w:eastAsia="Calibri" w:hAnsi="Calibri"/>
                <w:color w:val="A8C4E0"/>
                <w:sz w:val="15"/>
                <w:szCs w:val="15"/>
              </w:rPr>
              <w:t xml:space="preserve">Kelly criterion +</w:t>
            </w:r>
          </w:p>
          <w:p>
            <w:pPr>
              <w:spacing w:after="0" w:before="0"/>
              <w:jc w:val="center"/>
            </w:pPr>
            <w:r>
              <w:rPr>
                <w:rFonts w:ascii="Calibri" w:cs="Calibri" w:eastAsia="Calibri" w:hAnsi="Calibri"/>
                <w:color w:val="A8C4E0"/>
                <w:sz w:val="15"/>
                <w:szCs w:val="15"/>
              </w:rPr>
              <w:t xml:space="preserve">ROI tracking</w:t>
            </w:r>
          </w:p>
        </w:tc>
      </w:tr>
    </w:tbl>
    <w:p>
      <w:pPr>
        <w:spacing w:after="80" w:before="0"/>
      </w:pPr>
    </w:p>
    <w:p>
      <w:pPr>
        <w:spacing w:after="60" w:before="0"/>
      </w:pPr>
      <w:r>
        <w:rPr>
          <w:rFonts w:ascii="Calibri" w:cs="Calibri" w:eastAsia="Calibri" w:hAnsi="Calibri"/>
          <w:color w:val="1A1A2E"/>
          <w:sz w:val="18"/>
          <w:szCs w:val="18"/>
        </w:rPr>
        <w:t xml:space="preserve">Bets are placed only when all three criteria are met:</w:t>
      </w:r>
    </w:p>
    <w:p>
      <w:pPr>
        <w:pStyle w:val="ListParagraph"/>
        <w:numPr>
          <w:ilvl w:val="0"/>
          <w:numId w:val="2"/>
        </w:numPr>
        <w:spacing w:after="40" w:before="40"/>
      </w:pPr>
      <w:r>
        <w:rPr>
          <w:rFonts w:ascii="Calibri" w:cs="Calibri" w:eastAsia="Calibri" w:hAnsi="Calibri"/>
          <w:b/>
          <w:bCs/>
          <w:color w:val="1A1A2E"/>
          <w:sz w:val="18"/>
          <w:szCs w:val="18"/>
        </w:rPr>
        <w:t xml:space="preserve">Spread / Totals: </w:t>
      </w:r>
      <w:r>
        <w:rPr>
          <w:rFonts w:ascii="Calibri" w:cs="Calibri" w:eastAsia="Calibri" w:hAnsi="Calibri"/>
          <w:color w:val="1A1A2E"/>
          <w:sz w:val="18"/>
          <w:szCs w:val="18"/>
        </w:rPr>
        <w:t xml:space="preserve"> Edge ≥ 4 pts vs. the closing spread (or ≥ 3 pts for totals)</w:t>
      </w:r>
    </w:p>
    <w:p>
      <w:pPr>
        <w:pStyle w:val="ListParagraph"/>
        <w:numPr>
          <w:ilvl w:val="0"/>
          <w:numId w:val="2"/>
        </w:numPr>
        <w:spacing w:after="40" w:before="40"/>
      </w:pPr>
      <w:r>
        <w:rPr>
          <w:rFonts w:ascii="Calibri" w:cs="Calibri" w:eastAsia="Calibri" w:hAnsi="Calibri"/>
          <w:b/>
          <w:bCs/>
          <w:color w:val="1A1A2E"/>
          <w:sz w:val="18"/>
          <w:szCs w:val="18"/>
        </w:rPr>
        <w:t xml:space="preserve">Moneyline: </w:t>
      </w:r>
      <w:r>
        <w:rPr>
          <w:rFonts w:ascii="Calibri" w:cs="Calibri" w:eastAsia="Calibri" w:hAnsi="Calibri"/>
          <w:color w:val="1A1A2E"/>
          <w:sz w:val="18"/>
          <w:szCs w:val="18"/>
        </w:rPr>
        <w:t xml:space="preserve"> Expected Value &gt; 4% above the implied market probability</w:t>
      </w:r>
    </w:p>
    <w:p>
      <w:pPr>
        <w:pStyle w:val="ListParagraph"/>
        <w:numPr>
          <w:ilvl w:val="0"/>
          <w:numId w:val="2"/>
        </w:numPr>
        <w:spacing w:after="40" w:before="40"/>
      </w:pPr>
      <w:r>
        <w:rPr>
          <w:rFonts w:ascii="Calibri" w:cs="Calibri" w:eastAsia="Calibri" w:hAnsi="Calibri"/>
          <w:b/>
          <w:bCs/>
          <w:color w:val="1A1A2E"/>
          <w:sz w:val="18"/>
          <w:szCs w:val="18"/>
        </w:rPr>
        <w:t xml:space="preserve">Position size: </w:t>
      </w:r>
      <w:r>
        <w:rPr>
          <w:rFonts w:ascii="Calibri" w:cs="Calibri" w:eastAsia="Calibri" w:hAnsi="Calibri"/>
          <w:color w:val="1A1A2E"/>
          <w:sz w:val="18"/>
          <w:szCs w:val="18"/>
        </w:rPr>
        <w:t xml:space="preserve"> Fractional Kelly sizing (typically 1–3% of bankroll per bet)</w:t>
      </w:r>
    </w:p>
    <w:p>
      <w:pPr>
        <w:spacing w:after="80" w:before="0"/>
      </w:pPr>
    </w:p>
    <w:p>
      <w:pPr>
        <w:spacing w:after="60" w:before="60"/>
      </w:pPr>
      <w:r>
        <w:rPr>
          <w:rFonts w:ascii="Calibri" w:cs="Calibri" w:eastAsia="Calibri" w:hAnsi="Calibri"/>
          <w:color w:val="1A1A2E"/>
          <w:sz w:val="18"/>
          <w:szCs w:val="18"/>
        </w:rPr>
        <w:t xml:space="preserve">Results are tracked in-app game by game — win rate, ROI, and P&amp;L update automatically as outcomes come in. The model is retrained at least once before the season opener and can be re-fit mid-season if performance drifts.</w:t>
      </w:r>
    </w:p>
    <w:sectPr>
      <w:footerReference w:type="default" r:id="rId7"/>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C4D8" w:sz="4" w:space="4"/>
      </w:pBdr>
      <w:jc w:val="right"/>
    </w:pPr>
    <w:r>
      <w:rPr>
        <w:rFonts w:ascii="Calibri" w:cs="Calibri" w:eastAsia="Calibri" w:hAnsi="Calibri"/>
        <w:color w:val="4A6A8A"/>
        <w:sz w:val="16"/>
        <w:szCs w:val="16"/>
      </w:rPr>
      <w:t xml:space="preserve">CFB Betting Model — 2026 Season  |  Confidential  |  Page </w:t>
    </w:r>
    <w:r>
      <w:rPr>
        <w:rFonts w:ascii="Calibri" w:cs="Calibri" w:eastAsia="Calibri" w:hAnsi="Calibri"/>
        <w:color w:val="4A6A8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2026-05-27T11:17:26.960Z</dcterms:created>
  <dcterms:modified xsi:type="dcterms:W3CDTF">2026-05-27T11:17:26.965Z</dcterms:modified>
</cp:coreProperties>
</file>

<file path=docProps/custom.xml><?xml version="1.0" encoding="utf-8"?>
<Properties xmlns="http://schemas.openxmlformats.org/officeDocument/2006/custom-properties" xmlns:vt="http://schemas.openxmlformats.org/officeDocument/2006/docPropsVTypes"/>
</file>