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Quantization Comparison Report</w:t>
      </w:r>
    </w:p>
    <w:p>
      <w:pPr>
        <w:jc w:val="center"/>
      </w:pPr>
      <w:r>
        <w:rPr>
          <w:i/>
          <w:sz w:val="24"/>
        </w:rPr>
        <w:t>Tanh + AvgPool vs ReLU + MaxPool</w:t>
      </w:r>
    </w:p>
    <w:p>
      <w:pPr>
        <w:pStyle w:val="Heading1"/>
      </w:pPr>
      <w:r>
        <w:t>1. Overview</w:t>
      </w:r>
    </w:p>
    <w:p>
      <w:r>
        <w:t>This report compares five numerical formats—Float32, Fixed16 &lt;13,3&gt;, Ultra-low (1,2), INT8, and INT4—using two model configurations. The comparison considers classification accuracy, quantization error, and memory usage.</w:t>
      </w:r>
    </w:p>
    <w:p>
      <w:r>
        <w:rPr>
          <w:b/>
        </w:rPr>
        <w:t xml:space="preserve">Configurations: </w:t>
      </w:r>
      <w:r>
        <w:t>Tanh + AvgPool and ReLU + MaxPool.</w:t>
      </w:r>
    </w:p>
    <w:p>
      <w:pPr>
        <w:pStyle w:val="Heading1"/>
      </w:pPr>
      <w:r>
        <w:t>2. Quantization Comparison — Tanh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Format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Accuracy (%)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Max Error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Mean Error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RMSE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Memory (bytes)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Float32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Baseline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98.40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246,824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Fixed16 &lt;13,3&gt;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Paper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97.20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0.06250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0.03122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0.03605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123,412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Ultra-low (1,2)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test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95.40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0.12499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0.06121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0.07105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30,853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INT8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ext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98.40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0.00241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0.00096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0.00111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61,706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INT4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ext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97.80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0.04379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0.01739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0.02013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30,853</w:t>
            </w:r>
          </w:p>
        </w:tc>
      </w:tr>
    </w:tbl>
    <w:p/>
    <w:p>
      <w:pPr>
        <w:pStyle w:val="Heading1"/>
      </w:pPr>
      <w:r>
        <w:t>3. Quantization Comparison — ReLU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Format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Accuracy (%)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Max Error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Mean Error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RMSE</w:t>
            </w:r>
          </w:p>
        </w:tc>
        <w:tc>
          <w:tcPr>
            <w:tcW w:type="dxa" w:w="14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Memory (bytes)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Float32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Baseline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246,824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Fixed16 &lt;13,3&gt;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Paper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97.20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0.06250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0.03144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0.03622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123,412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Ultra-low (1,2)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test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69.60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0.12500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0.06057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0.07038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30,853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INT8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ext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98.20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0.00277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0.00098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0.00115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61,706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INT4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ext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98.00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0.05030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0.01784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0.02096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30,853</w:t>
            </w:r>
          </w:p>
        </w:tc>
      </w:tr>
    </w:tbl>
    <w:p/>
    <w:p>
      <w:pPr>
        <w:pStyle w:val="Heading1"/>
      </w:pPr>
      <w:r>
        <w:t>4. Combined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Format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Tanh Accuracy (%)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ReLU Accuracy (%)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Difference (%)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Tanh RMSE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ReLU RMSE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Memory (KB)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Float32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Baseline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-0.40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241.04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Fixed16 &lt;13,3&gt;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Paper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+0.00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0.03605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0.03622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120.52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Ultra-low (1,2)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test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95.40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69.60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-25.80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0.07105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0.07038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30.13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INT8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ext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-0.20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0.00111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0.00115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60.26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INT4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Our ext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+0.20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0.02013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0.02096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30.13</w:t>
            </w:r>
          </w:p>
        </w:tc>
      </w:tr>
    </w:tbl>
    <w:p/>
    <w:p>
      <w:pPr>
        <w:pStyle w:val="Heading1"/>
      </w:pPr>
      <w:r>
        <w:t>5. Accuracy Graph</w:t>
      </w:r>
    </w:p>
    <w:p>
      <w:pPr>
        <w:jc w:val="left"/>
      </w:pPr>
      <w:r>
        <w:t>The following graph compares accuracy across the five quantization formats for the two model configurations: tanh + AvgPool and ReLU + MaxPool.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52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10 at 21.43.2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Key Findings</w:t>
      </w:r>
    </w:p>
    <w:p>
      <w:pPr>
        <w:pStyle w:val="ListBullet"/>
      </w:pPr>
      <w:r>
        <w:rPr>
          <w:b/>
        </w:rPr>
        <w:t xml:space="preserve">Float32: </w:t>
      </w:r>
      <w:r>
        <w:t>Provides the baseline accuracy of 98.4% for tanh + AvgPool and 98.0% for ReLU + MaxPool, but requires the highest memory at 241.04 KB.</w:t>
      </w:r>
    </w:p>
    <w:p>
      <w:pPr>
        <w:pStyle w:val="ListBullet"/>
      </w:pPr>
      <w:r>
        <w:rPr>
          <w:b/>
        </w:rPr>
        <w:t xml:space="preserve">Fixed16 &lt;13,3&gt;: </w:t>
      </w:r>
      <w:r>
        <w:t>Reduces memory by roughly half compared with Float32, while maintaining 97.2% accuracy for both configurations. Its RMSE is around 0.036.</w:t>
      </w:r>
    </w:p>
    <w:p>
      <w:pPr>
        <w:pStyle w:val="ListBullet"/>
      </w:pPr>
      <w:r>
        <w:rPr>
          <w:b/>
        </w:rPr>
        <w:t xml:space="preserve">Ultra-low (1,2): </w:t>
      </w:r>
      <w:r>
        <w:t>Uses only 30.13 KB, but suffers a major accuracy degradation with ReLU + MaxPool, falling to 69.6%. With tanh + AvgPool it reaches 95.4%.</w:t>
      </w:r>
    </w:p>
    <w:p>
      <w:pPr>
        <w:pStyle w:val="ListBullet"/>
      </w:pPr>
      <w:r>
        <w:rPr>
          <w:b/>
        </w:rPr>
        <w:t xml:space="preserve">INT8: </w:t>
      </w:r>
      <w:r>
        <w:t>Offers the strongest overall accuracy-to-memory trade-off. It reaches 98.4% on tanh + AvgPool and 98.2% on ReLU + MaxPool while using only 60.26 KB.</w:t>
      </w:r>
    </w:p>
    <w:p>
      <w:pPr>
        <w:pStyle w:val="ListBullet"/>
      </w:pPr>
      <w:r>
        <w:rPr>
          <w:b/>
        </w:rPr>
        <w:t xml:space="preserve">INT4: </w:t>
      </w:r>
      <w:r>
        <w:t>Matches the Ultra-low format's 30.13 KB memory footprint while achieving much better accuracy: 97.8% with tanh + AvgPool and 98.0% with ReLU + MaxPool.</w:t>
      </w:r>
    </w:p>
    <w:p>
      <w:pPr>
        <w:pStyle w:val="Heading1"/>
      </w:pPr>
      <w:r>
        <w:t>7. Conclusion</w:t>
      </w:r>
    </w:p>
    <w:p>
      <w:r>
        <w:t>Based on the reported results, INT8 is the most balanced choice when both accuracy and memory efficiency are important. It retains essentially the Float32-level accuracy while reducing memory from 241.04 KB to 60.26 KB. If the primary objective is minimum memory, INT4 is considerably more reliable than the tested Ultra-low (1,2) format, especially for the ReLU + MaxPool configuration. The Ultra-low (1,2) representation appears highly sensitive to the activation/pooling combination and is therefore not the preferred option for the ReLU configuration.</w:t>
      </w:r>
    </w:p>
    <w:p>
      <w:pPr>
        <w:pStyle w:val="Heading1"/>
      </w:pPr>
      <w:r>
        <w:t>8. Metric Notes</w:t>
      </w:r>
    </w:p>
    <w:p>
      <w:pPr>
        <w:pStyle w:val="ListBullet"/>
      </w:pPr>
      <w:r>
        <w:rPr>
          <w:b/>
        </w:rPr>
        <w:t xml:space="preserve">Accuracy: </w:t>
      </w:r>
      <w:r>
        <w:t>Percentage of correctly classified samples.</w:t>
      </w:r>
    </w:p>
    <w:p>
      <w:pPr>
        <w:pStyle w:val="ListBullet"/>
      </w:pPr>
      <w:r>
        <w:rPr>
          <w:b/>
        </w:rPr>
        <w:t xml:space="preserve">Max Error: </w:t>
      </w:r>
      <w:r>
        <w:t>Largest absolute difference between the reference and quantized values.</w:t>
      </w:r>
    </w:p>
    <w:p>
      <w:pPr>
        <w:pStyle w:val="ListBullet"/>
      </w:pPr>
      <w:r>
        <w:rPr>
          <w:b/>
        </w:rPr>
        <w:t xml:space="preserve">Mean Error: </w:t>
      </w:r>
      <w:r>
        <w:t>Average absolute quantization error.</w:t>
      </w:r>
    </w:p>
    <w:p>
      <w:pPr>
        <w:pStyle w:val="ListBullet"/>
      </w:pPr>
      <w:r>
        <w:rPr>
          <w:b/>
        </w:rPr>
        <w:t xml:space="preserve">RMSE: </w:t>
      </w:r>
      <w:r>
        <w:t>Root Mean Square Error; lower values indicate smaller overall numerical deviation.</w:t>
      </w:r>
    </w:p>
    <w:p>
      <w:pPr>
        <w:pStyle w:val="ListBullet"/>
      </w:pPr>
      <w:r>
        <w:rPr>
          <w:b/>
        </w:rPr>
        <w:t xml:space="preserve">Memory: </w:t>
      </w:r>
      <w:r>
        <w:t>Reported storage required for the corresponding model representation.</w:t>
      </w: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Quantization Comparison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