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9091" w14:textId="679BAFBB" w:rsidR="001145F7" w:rsidRDefault="001145F7" w:rsidP="001145F7">
      <w:pPr>
        <w:rPr>
          <w:b/>
          <w:bCs/>
        </w:rPr>
      </w:pPr>
      <w:proofErr w:type="spellStart"/>
      <w:r>
        <w:rPr>
          <w:b/>
          <w:bCs/>
        </w:rPr>
        <w:t>NayaOne</w:t>
      </w:r>
      <w:proofErr w:type="spellEnd"/>
      <w:r>
        <w:rPr>
          <w:b/>
          <w:bCs/>
        </w:rPr>
        <w:t xml:space="preserve"> Limited.</w:t>
      </w:r>
    </w:p>
    <w:p w14:paraId="3E5A3F06" w14:textId="5D4D05CE" w:rsidR="001145F7" w:rsidRPr="001145F7" w:rsidRDefault="001145F7" w:rsidP="001145F7">
      <w:r w:rsidRPr="001145F7">
        <w:rPr>
          <w:b/>
          <w:bCs/>
        </w:rPr>
        <w:t>Date:</w:t>
      </w:r>
      <w:r w:rsidRPr="001145F7">
        <w:t xml:space="preserve"> January 15, </w:t>
      </w:r>
      <w:proofErr w:type="gramStart"/>
      <w:r w:rsidRPr="001145F7">
        <w:t>2024</w:t>
      </w:r>
      <w:proofErr w:type="gramEnd"/>
      <w:r w:rsidRPr="001145F7">
        <w:t xml:space="preserve"> </w:t>
      </w:r>
      <w:r w:rsidRPr="001145F7">
        <w:rPr>
          <w:b/>
          <w:bCs/>
        </w:rPr>
        <w:t>Time:</w:t>
      </w:r>
      <w:r w:rsidRPr="001145F7">
        <w:t xml:space="preserve"> 9:00 AM - 10:30 AM </w:t>
      </w:r>
      <w:r w:rsidRPr="001145F7">
        <w:rPr>
          <w:b/>
          <w:bCs/>
        </w:rPr>
        <w:t>Location:</w:t>
      </w:r>
      <w:r w:rsidRPr="001145F7">
        <w:t xml:space="preserve"> Conference Room A / Microsoft Teams </w:t>
      </w:r>
      <w:r w:rsidRPr="001145F7">
        <w:rPr>
          <w:b/>
          <w:bCs/>
        </w:rPr>
        <w:t>Attendees:</w:t>
      </w:r>
    </w:p>
    <w:p w14:paraId="2730B0E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Alistair Finch (AF) - Chief Executive Officer</w:t>
      </w:r>
    </w:p>
    <w:p w14:paraId="11FE9091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Dr. Evelyn Hayes (EH) - Chief Technology Officer</w:t>
      </w:r>
    </w:p>
    <w:p w14:paraId="6DFCC29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Marcus Chen (MC) – Head of Security</w:t>
      </w:r>
    </w:p>
    <w:p w14:paraId="14C14836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Sarah Johnson (SJ) – Compliance Officer</w:t>
      </w:r>
    </w:p>
    <w:p w14:paraId="55FC0C1E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David Lee (DL) – Head of IT Operations</w:t>
      </w:r>
    </w:p>
    <w:p w14:paraId="4169C63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Olivia Brown (OB) - Data Protection Officer</w:t>
      </w:r>
    </w:p>
    <w:p w14:paraId="11E54A34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 xml:space="preserve">Kenji Tanaka (KT) - Head of APAC Operations (Tokyo Branch) - </w:t>
      </w:r>
      <w:r w:rsidRPr="001145F7">
        <w:rPr>
          <w:i/>
          <w:iCs/>
        </w:rPr>
        <w:t>via video conference</w:t>
      </w:r>
    </w:p>
    <w:p w14:paraId="245C5ECB" w14:textId="77777777" w:rsidR="001145F7" w:rsidRPr="001145F7" w:rsidRDefault="001145F7" w:rsidP="001145F7">
      <w:r w:rsidRPr="001145F7">
        <w:rPr>
          <w:b/>
          <w:bCs/>
        </w:rPr>
        <w:t>Subject:</w:t>
      </w:r>
      <w:r w:rsidRPr="001145F7">
        <w:t xml:space="preserve"> Information Security Program – Initial Planning &amp; Risk Assessment Scope</w:t>
      </w:r>
    </w:p>
    <w:p w14:paraId="06AD6A8A" w14:textId="77777777" w:rsidR="001145F7" w:rsidRPr="001145F7" w:rsidRDefault="001145F7" w:rsidP="001145F7">
      <w:r w:rsidRPr="001145F7">
        <w:rPr>
          <w:b/>
          <w:bCs/>
        </w:rPr>
        <w:t>1. Introduction (AF)</w:t>
      </w:r>
    </w:p>
    <w:p w14:paraId="45DCECF9" w14:textId="77777777" w:rsidR="001145F7" w:rsidRPr="001145F7" w:rsidRDefault="001145F7" w:rsidP="001145F7">
      <w:r w:rsidRPr="001145F7">
        <w:t xml:space="preserve">Alistair Finch opened the meeting, emphasizing the increasing importance of information security, particularly given </w:t>
      </w:r>
      <w:proofErr w:type="spellStart"/>
      <w:r w:rsidRPr="001145F7">
        <w:t>NayaOne’s</w:t>
      </w:r>
      <w:proofErr w:type="spellEnd"/>
      <w:r w:rsidRPr="001145F7">
        <w:t xml:space="preserve"> expanding global footprint (London, New York, Tokyo) and the need to maintain a strong security posture for existing and prospective clients. He highlighted the importance of maintaining SOC 2 Type II compliance and avoiding any gaps identified in previous audit reports.</w:t>
      </w:r>
    </w:p>
    <w:p w14:paraId="477BF92E" w14:textId="77777777" w:rsidR="001145F7" w:rsidRPr="001145F7" w:rsidRDefault="001145F7" w:rsidP="001145F7">
      <w:r w:rsidRPr="001145F7">
        <w:rPr>
          <w:b/>
          <w:bCs/>
        </w:rPr>
        <w:t>2. Program Overview (MC)</w:t>
      </w:r>
    </w:p>
    <w:p w14:paraId="7A1322B0" w14:textId="77777777" w:rsidR="001145F7" w:rsidRPr="001145F7" w:rsidRDefault="001145F7" w:rsidP="001145F7">
      <w:r w:rsidRPr="001145F7">
        <w:t>Marcus Chen presented a preliminary overview of the proposed Information Security Program. Key components discussed included:</w:t>
      </w:r>
    </w:p>
    <w:p w14:paraId="4B26B6FE" w14:textId="77777777" w:rsidR="001145F7" w:rsidRPr="001145F7" w:rsidRDefault="001145F7" w:rsidP="001145F7">
      <w:pPr>
        <w:numPr>
          <w:ilvl w:val="0"/>
          <w:numId w:val="2"/>
        </w:numPr>
      </w:pPr>
      <w:r w:rsidRPr="001145F7">
        <w:t>Risk Management framework adoption (ISO 27001 as a guideline, aligning with SOC 2 Trust Services Criteria).</w:t>
      </w:r>
    </w:p>
    <w:p w14:paraId="27470E42" w14:textId="77777777" w:rsidR="001145F7" w:rsidRPr="001145F7" w:rsidRDefault="001145F7" w:rsidP="001145F7">
      <w:pPr>
        <w:numPr>
          <w:ilvl w:val="0"/>
          <w:numId w:val="2"/>
        </w:numPr>
      </w:pPr>
      <w:r w:rsidRPr="001145F7">
        <w:t>Security awareness training for all employees, tailored to regional regulations (GDPR, CCPA, etc.).</w:t>
      </w:r>
    </w:p>
    <w:p w14:paraId="6BFAC79A" w14:textId="77777777" w:rsidR="001145F7" w:rsidRPr="001145F7" w:rsidRDefault="001145F7" w:rsidP="001145F7">
      <w:pPr>
        <w:numPr>
          <w:ilvl w:val="0"/>
          <w:numId w:val="2"/>
        </w:numPr>
      </w:pPr>
      <w:r w:rsidRPr="001145F7">
        <w:t>Implementation of key security controls (access management, vulnerability management, incident response planning).</w:t>
      </w:r>
    </w:p>
    <w:p w14:paraId="0EC83FAE" w14:textId="77777777" w:rsidR="001145F7" w:rsidRPr="001145F7" w:rsidRDefault="001145F7" w:rsidP="001145F7">
      <w:pPr>
        <w:numPr>
          <w:ilvl w:val="0"/>
          <w:numId w:val="2"/>
        </w:numPr>
      </w:pPr>
      <w:r w:rsidRPr="001145F7">
        <w:t>Long-term goal: SIEM (Security Information and Event Management) implementation for centralized monitoring.</w:t>
      </w:r>
    </w:p>
    <w:p w14:paraId="333FBCDF" w14:textId="77777777" w:rsidR="001145F7" w:rsidRPr="001145F7" w:rsidRDefault="001145F7" w:rsidP="001145F7">
      <w:r w:rsidRPr="001145F7">
        <w:rPr>
          <w:b/>
          <w:bCs/>
        </w:rPr>
        <w:t>3. Risk Assessment Scoping (SJ, MC)</w:t>
      </w:r>
    </w:p>
    <w:p w14:paraId="2F3D7581" w14:textId="77777777" w:rsidR="001145F7" w:rsidRPr="001145F7" w:rsidRDefault="001145F7" w:rsidP="001145F7">
      <w:r w:rsidRPr="001145F7">
        <w:t>Sarah Johnson presented a preliminary risk assessment framework. Discussion focused on:</w:t>
      </w:r>
    </w:p>
    <w:p w14:paraId="63D19C12" w14:textId="77777777" w:rsidR="001145F7" w:rsidRPr="001145F7" w:rsidRDefault="001145F7" w:rsidP="001145F7">
      <w:pPr>
        <w:numPr>
          <w:ilvl w:val="0"/>
          <w:numId w:val="3"/>
        </w:numPr>
      </w:pPr>
      <w:r w:rsidRPr="001145F7">
        <w:t>Identifying key assets: Customer data (PII, financial data), source code, intellectual property, cloud infrastructure (AWS, Azure), and branch office networks.</w:t>
      </w:r>
    </w:p>
    <w:p w14:paraId="7B5D3FF1" w14:textId="77777777" w:rsidR="001145F7" w:rsidRPr="001145F7" w:rsidRDefault="001145F7" w:rsidP="001145F7">
      <w:pPr>
        <w:numPr>
          <w:ilvl w:val="0"/>
          <w:numId w:val="3"/>
        </w:numPr>
      </w:pPr>
      <w:r w:rsidRPr="001145F7">
        <w:t xml:space="preserve">Threat </w:t>
      </w:r>
      <w:proofErr w:type="spellStart"/>
      <w:r w:rsidRPr="001145F7">
        <w:t>modeling</w:t>
      </w:r>
      <w:proofErr w:type="spellEnd"/>
      <w:r w:rsidRPr="001145F7">
        <w:t>: Phishing attacks, ransomware, insider threats, data breaches, DDoS attacks, supply chain vulnerabilities.</w:t>
      </w:r>
    </w:p>
    <w:p w14:paraId="436B05D9" w14:textId="77777777" w:rsidR="001145F7" w:rsidRPr="001145F7" w:rsidRDefault="001145F7" w:rsidP="001145F7">
      <w:pPr>
        <w:numPr>
          <w:ilvl w:val="0"/>
          <w:numId w:val="3"/>
        </w:numPr>
      </w:pPr>
      <w:r w:rsidRPr="001145F7">
        <w:t>Initial high-level risk rating across various areas (Data Security, Application Security, Network Security, Physical Security, Vendor Management).</w:t>
      </w:r>
    </w:p>
    <w:p w14:paraId="7BCC3510" w14:textId="77777777" w:rsidR="001145F7" w:rsidRPr="001145F7" w:rsidRDefault="001145F7" w:rsidP="001145F7">
      <w:pPr>
        <w:numPr>
          <w:ilvl w:val="0"/>
          <w:numId w:val="3"/>
        </w:numPr>
      </w:pPr>
      <w:r w:rsidRPr="001145F7">
        <w:lastRenderedPageBreak/>
        <w:t>Initial scope of the formal risk assessment: prioritizing SaaS application and associated data storage, with a secondary focus on access controls across all branches. Review of existing SOC 2 gap analysis.</w:t>
      </w:r>
    </w:p>
    <w:p w14:paraId="641CA1D8" w14:textId="77777777" w:rsidR="001145F7" w:rsidRPr="001145F7" w:rsidRDefault="001145F7" w:rsidP="001145F7">
      <w:r w:rsidRPr="001145F7">
        <w:rPr>
          <w:b/>
          <w:bCs/>
        </w:rPr>
        <w:t>4. Budgetary Considerations (AF, EH)</w:t>
      </w:r>
    </w:p>
    <w:p w14:paraId="3979BF33" w14:textId="77777777" w:rsidR="001145F7" w:rsidRPr="001145F7" w:rsidRDefault="001145F7" w:rsidP="001145F7">
      <w:r w:rsidRPr="001145F7">
        <w:t>Alistair Finch inquired about budgetary requirements. Evelyn Hayes outlined anticipated costs for training, tools, and potentially external security consultants. A preliminary budget allocation of £75,000 was approved for the initial phase (Risk Assessment &amp; Basic Security Controls), with a contingency of £10,000.</w:t>
      </w:r>
    </w:p>
    <w:p w14:paraId="0EA8D84E" w14:textId="77777777" w:rsidR="001145F7" w:rsidRPr="001145F7" w:rsidRDefault="001145F7" w:rsidP="001145F7">
      <w:r w:rsidRPr="001145F7">
        <w:rPr>
          <w:b/>
          <w:bCs/>
        </w:rPr>
        <w:t>5. Action Items:</w:t>
      </w:r>
    </w:p>
    <w:p w14:paraId="7E7ED477" w14:textId="77777777" w:rsidR="001145F7" w:rsidRPr="001145F7" w:rsidRDefault="001145F7" w:rsidP="001145F7">
      <w:pPr>
        <w:numPr>
          <w:ilvl w:val="0"/>
          <w:numId w:val="4"/>
        </w:numPr>
      </w:pPr>
      <w:r w:rsidRPr="001145F7">
        <w:rPr>
          <w:b/>
          <w:bCs/>
        </w:rPr>
        <w:t>MC:</w:t>
      </w:r>
      <w:r w:rsidRPr="001145F7">
        <w:t xml:space="preserve"> Finalize the Risk Assessment plan, including a detailed questionnaire and methodology, incorporating SOC 2 criteria. (Due: January 29, 2024) – </w:t>
      </w:r>
      <w:r w:rsidRPr="001145F7">
        <w:rPr>
          <w:i/>
          <w:iCs/>
        </w:rPr>
        <w:t>Owner: Marcus Chen, Support: Olivia Brown</w:t>
      </w:r>
    </w:p>
    <w:p w14:paraId="62A9D8E8" w14:textId="77777777" w:rsidR="001145F7" w:rsidRPr="001145F7" w:rsidRDefault="001145F7" w:rsidP="001145F7">
      <w:pPr>
        <w:numPr>
          <w:ilvl w:val="0"/>
          <w:numId w:val="4"/>
        </w:numPr>
      </w:pPr>
      <w:r w:rsidRPr="001145F7">
        <w:rPr>
          <w:b/>
          <w:bCs/>
        </w:rPr>
        <w:t>SJ:</w:t>
      </w:r>
      <w:r w:rsidRPr="001145F7">
        <w:t xml:space="preserve"> Begin gathering information regarding current data processing activities for GDPR, CCPA, and other relevant regulations. Review previous SOC 2 reports for identified gaps. (Due: February 5, 2024) – </w:t>
      </w:r>
      <w:r w:rsidRPr="001145F7">
        <w:rPr>
          <w:i/>
          <w:iCs/>
        </w:rPr>
        <w:t>Owner: Sarah Johnson</w:t>
      </w:r>
    </w:p>
    <w:p w14:paraId="28F329E7" w14:textId="77777777" w:rsidR="001145F7" w:rsidRPr="001145F7" w:rsidRDefault="001145F7" w:rsidP="001145F7">
      <w:pPr>
        <w:numPr>
          <w:ilvl w:val="0"/>
          <w:numId w:val="4"/>
        </w:numPr>
      </w:pPr>
      <w:r w:rsidRPr="001145F7">
        <w:rPr>
          <w:b/>
          <w:bCs/>
        </w:rPr>
        <w:t>DL:</w:t>
      </w:r>
      <w:r w:rsidRPr="001145F7">
        <w:t xml:space="preserve"> Provide a complete inventory of all hardware and software assets across all branches, including network diagrams. (Due: February 12, 2024) – </w:t>
      </w:r>
      <w:r w:rsidRPr="001145F7">
        <w:rPr>
          <w:i/>
          <w:iCs/>
        </w:rPr>
        <w:t>Owner: David Lee, Support: Branch IT Leads</w:t>
      </w:r>
    </w:p>
    <w:p w14:paraId="139B52CB" w14:textId="77777777" w:rsidR="001145F7" w:rsidRPr="001145F7" w:rsidRDefault="001145F7" w:rsidP="001145F7">
      <w:pPr>
        <w:numPr>
          <w:ilvl w:val="0"/>
          <w:numId w:val="4"/>
        </w:numPr>
      </w:pPr>
      <w:r w:rsidRPr="001145F7">
        <w:rPr>
          <w:b/>
          <w:bCs/>
        </w:rPr>
        <w:t>KT:</w:t>
      </w:r>
      <w:r w:rsidRPr="001145F7">
        <w:t xml:space="preserve"> Coordinate with the Tokyo branch IT team to provide asset inventory and confirm understanding of security policies. (Due: February 9, 2024) – </w:t>
      </w:r>
      <w:r w:rsidRPr="001145F7">
        <w:rPr>
          <w:i/>
          <w:iCs/>
        </w:rPr>
        <w:t>Owner: Kenji Tanaka</w:t>
      </w:r>
    </w:p>
    <w:p w14:paraId="48C40159" w14:textId="77777777" w:rsidR="001145F7" w:rsidRPr="001145F7" w:rsidRDefault="001145F7" w:rsidP="001145F7">
      <w:r w:rsidRPr="001145F7">
        <w:rPr>
          <w:b/>
          <w:bCs/>
        </w:rPr>
        <w:t>Minutes Taken By:</w:t>
      </w:r>
      <w:r w:rsidRPr="001145F7">
        <w:t xml:space="preserve"> Olivia Brown</w:t>
      </w:r>
    </w:p>
    <w:p w14:paraId="62F57BE0" w14:textId="77777777" w:rsidR="008936C0" w:rsidRDefault="008936C0"/>
    <w:sectPr w:rsidR="00893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2719F"/>
    <w:multiLevelType w:val="multilevel"/>
    <w:tmpl w:val="847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F091E"/>
    <w:multiLevelType w:val="multilevel"/>
    <w:tmpl w:val="0B8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14C35"/>
    <w:multiLevelType w:val="multilevel"/>
    <w:tmpl w:val="83F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34D49"/>
    <w:multiLevelType w:val="multilevel"/>
    <w:tmpl w:val="6BA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97196">
    <w:abstractNumId w:val="2"/>
  </w:num>
  <w:num w:numId="2" w16cid:durableId="771820288">
    <w:abstractNumId w:val="3"/>
  </w:num>
  <w:num w:numId="3" w16cid:durableId="1615089456">
    <w:abstractNumId w:val="0"/>
  </w:num>
  <w:num w:numId="4" w16cid:durableId="46373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F7"/>
    <w:rsid w:val="001145F7"/>
    <w:rsid w:val="008936C0"/>
    <w:rsid w:val="00B273B1"/>
    <w:rsid w:val="00CF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45FE48"/>
  <w15:chartTrackingRefBased/>
  <w15:docId w15:val="{351D5E17-2814-4FB6-8377-DDA16B44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45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45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F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F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6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Obrina Briliyant</dc:creator>
  <cp:keywords/>
  <dc:description/>
  <cp:lastModifiedBy>Obrina Briliyant</cp:lastModifiedBy>
  <cp:revision>1</cp:revision>
  <dcterms:created xsi:type="dcterms:W3CDTF">2025-03-14T00:40:00Z</dcterms:created>
  <dcterms:modified xsi:type="dcterms:W3CDTF">2025-03-14T00:42:00Z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23c99a89-2861-4f0d-b6c2-375c3b0748b6</vt:lpwstr>
  </property>
</Properties>
</file>