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282A"/>
          <w:sz w:val="52"/>
          <w:szCs w:val="52"/>
        </w:rPr>
        <w:t xml:space="preserve">ATAMEKEN Club</w:t>
      </w:r>
    </w:p>
    <w:p>
      <w:pPr>
        <w:pBdr>
          <w:bottom w:val="single" w:color="C8282A" w:sz="12" w:space="8"/>
        </w:pBdr>
        <w:spacing w:after="240"/>
      </w:pPr>
      <w:r>
        <w:rPr>
          <w:rFonts w:ascii="Arial" w:cs="Arial" w:eastAsia="Arial" w:hAnsi="Arial"/>
          <w:b/>
          <w:bCs/>
          <w:color w:val="1A2230"/>
          <w:sz w:val="36"/>
          <w:szCs w:val="36"/>
        </w:rPr>
        <w:t xml:space="preserve">Механика платформы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Полное описание ключевых процессов платформы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atameken.club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: регистрация и доступ → приём оплаты → поддержка связи. Документ отражает фактическую реализацию (бэкенд Fastify + Prisma/Postgres; фронтенд — статические HTML на том же сервисе Render).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Версия Пользовательского соглашения: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2.0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.  Базовый URL: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https://atameken.club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0. Обзор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ATAMEKEN Club — закрытая B2B-площадка, где предприниматели находят проверенных контрагентов. Доступ к контактам в Реестре открывается за токены; сложные сделки ведутся «под ключ» с подписанием NDA/NCNDA и комиссией.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8 типов участников (ролей):</w:t>
      </w:r>
    </w:p>
    <w:tbl>
      <w:tblPr>
        <w:tblW w:type="dxa" w:w="9360"/>
        <w:tblBorders>
          <w:top w:val="single" w:color="D2D8E0" w:sz="1"/>
          <w:left w:val="single" w:color="D2D8E0" w:sz="1"/>
          <w:bottom w:val="single" w:color="D2D8E0" w:sz="1"/>
          <w:right w:val="single" w:color="D2D8E0" w:sz="1"/>
          <w:insideH w:val="single" w:color="D2D8E0" w:sz="1"/>
          <w:insideV w:val="single" w:color="D2D8E0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Продавцы (размещают карточки)</w:t>
            </w:r>
          </w:p>
        </w:tc>
        <w:tc>
          <w:tcPr>
            <w:tcW w:type="dxa" w:w="468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Покупатели (открывают карточки)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Соискатель инвестиций (SEEKER)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Инвестор (INVESTOR)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Франчайзер (FRANCHISER)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Франчайзи (FRANCHISEE)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Продавец готового бизнеса (BIZ_SELLER)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Покупатель готового бизнеса (BIZ_BUYER)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Продавец товаров и сырья (GOODS_SELLER)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Покупатель товаров и сырья (GOODS_BUYER)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Единица доступа: </w:t>
      </w:r>
      <w:r>
        <w:rPr>
          <w:rFonts w:ascii="Arial" w:cs="Arial" w:eastAsia="Arial" w:hAnsi="Arial"/>
          <w:b/>
          <w:bCs/>
          <w:color w:val="C8282A"/>
          <w:sz w:val="22"/>
          <w:szCs w:val="22"/>
        </w:rPr>
        <w:t xml:space="preserve">1 токен = $5 USD = 1 открытие развёрнутой карточки.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Три опоры платформы (этот документ):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1) Регистрация и доступ   2) Приём оплаты   3) Поддержка связи.</w:t>
      </w:r>
    </w:p>
    <w:p>
      <w:pPr>
        <w:pStyle w:val="Heading1"/>
      </w:pPr>
      <w:r>
        <w:t xml:space="preserve">1. Регистрация и аутентификация</w:t>
      </w:r>
    </w:p>
    <w:p>
      <w:pPr>
        <w:pStyle w:val="Heading2"/>
      </w:pPr>
      <w:r>
        <w:t xml:space="preserve">1.1. Путь пользователя (фронтенд register.html)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Выбор типа участника (одна из 8 ролей).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Заполнение: ФИО, Email, Телефон (необязательно), Пароль (мин. 8 символов).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Анти-бот проверка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Cloudflare Turnstile (виджет в форме).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Click-wrap соглашение: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галочка «Я прочитал(а) и принимаю» → «Согласен и продолжить».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Аккаунт создаётся, пользователь сразу авторизован и перенаправлен в кабинет.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Принятие фиксируется в БД: дата (</w:t>
      </w:r>
      <w:r>
        <w:rPr>
          <w:rFonts w:ascii="Consolas" w:cs="Consolas" w:eastAsia="Consolas" w:hAnsi="Consolas"/>
          <w:color w:val="24303F"/>
          <w:sz w:val="19"/>
          <w:szCs w:val="19"/>
        </w:rPr>
        <w:t xml:space="preserve">termsAcceptedAt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) и версия (</w:t>
      </w:r>
      <w:r>
        <w:rPr>
          <w:rFonts w:ascii="Consolas" w:cs="Consolas" w:eastAsia="Consolas" w:hAnsi="Consolas"/>
          <w:color w:val="24303F"/>
          <w:sz w:val="19"/>
          <w:szCs w:val="19"/>
        </w:rPr>
        <w:t xml:space="preserve">termsVersion = 2.0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). Полный текст — /terms.html (26 разделов).</w:t>
      </w:r>
    </w:p>
    <w:p>
      <w:pPr>
        <w:pStyle w:val="Heading2"/>
      </w:pPr>
      <w:r>
        <w:t xml:space="preserve">1.2. Технический процесс (POST /auth/register)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Фронт ──► POST /auth/register { email, password, role, fullName, phone,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                        acceptedTerms:true, captchaToken }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1. Валидация (zod): email / пароль 8–128 / роль из списка / acceptedTerms===true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2. Проверка Turnstile через siteverify (fail-closed: ошибка сети → отказ)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3. Дубль email → 409 «Пользователь с таким email уже существует»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4. Хеш пароля: bcrypt, cost 12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5. Создание User + выпуск пары токенов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6. Ответ 201 + установка httpOnly refresh-cookie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Токены доступа (JWT-схема):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Access-token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— JWT, срок 15 минут. Хранится в localStorage, передаётся в заголовке Authorization: Bearer …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Refresh-token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— случайные 48 байт. В БД хранится только sha256-хеш. Отдаётся в httpOnly Secure cookie (path=/auth, SameSite=Lax, 30 дней). JS его не видит → защита от XSS.</w:t>
      </w:r>
    </w:p>
    <w:p>
      <w:pPr>
        <w:pStyle w:val="Heading2"/>
      </w:pPr>
      <w:r>
        <w:t xml:space="preserve">1.3. Вход, обновление сессии, выход</w:t>
      </w:r>
    </w:p>
    <w:tbl>
      <w:tblPr>
        <w:tblW w:type="dxa" w:w="9360"/>
        <w:tblBorders>
          <w:top w:val="single" w:color="D2D8E0" w:sz="1"/>
          <w:left w:val="single" w:color="D2D8E0" w:sz="1"/>
          <w:bottom w:val="single" w:color="D2D8E0" w:sz="1"/>
          <w:right w:val="single" w:color="D2D8E0" w:sz="1"/>
          <w:insideH w:val="single" w:color="D2D8E0" w:sz="1"/>
          <w:insideV w:val="single" w:color="D2D8E0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Эндпоинт</w:t>
            </w:r>
          </w:p>
        </w:tc>
        <w:tc>
          <w:tcPr>
            <w:tcW w:type="dxa" w:w="616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Проверка пароля (bcrypt), выпуск новой пары токенов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Ротация: старый refresh ревокается, выпускается новый (cookie обновляется)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Ревок refresh-токена в БД + очистка cookie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Текущий пользователь + статус профиля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1.4. Восстановление пароля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POST /auth/forgot-password { email }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всегда 200 (не раскрываем, существует ли email)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если email есть: в БД пишем sha256(token), срок 1 час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→ ссылка /reset-password.html?token=… уходит на почту (Resend)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POST /auth/reset-password { token, password }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сверяем sha256(token) + срок → новый пароль (bcrypt)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ревок ВСЕХ refresh-токенов (разлогин на всех устройствах)</w:t>
      </w:r>
    </w:p>
    <w:p>
      <w:pPr>
        <w:pStyle w:val="Heading2"/>
      </w:pPr>
      <w:r>
        <w:t xml:space="preserve">1.5. Защита от перебора (rate limiting)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Глобально: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100 запросов/мин с IP.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Auth-эндпоинты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(/register, /login, /forgot-password, /reset-password): 5 запросов/мин с IP → перебор и enumeration практически невозможны. Превышение → 429.</w:t>
      </w:r>
    </w:p>
    <w:p>
      <w:pPr>
        <w:pStyle w:val="Heading2"/>
      </w:pPr>
      <w:r>
        <w:t xml:space="preserve">1.6. Верификация профиля (доступ к Реестру)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Базовая регистрация бесплатна. Для размещения карточки и полного доступа участник проходит верификацию: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Анкета (verify.html) → DRAFT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│ отправка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▼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SUBMITTED → модератор проверяет 1–2 раб. дня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├─► VERIFIED  (карточка публикуется в Реестре)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└─► REJECTED  (с причиной; можно исправить и отправить повторно)</w:t>
      </w:r>
    </w:p>
    <w:p>
      <w:r>
        <w:br w:type="page"/>
      </w:r>
    </w:p>
    <w:p>
      <w:pPr>
        <w:pStyle w:val="Heading1"/>
      </w:pPr>
      <w:r>
        <w:t xml:space="preserve">2. Приём оплаты</w:t>
      </w:r>
    </w:p>
    <w:p>
      <w:pPr>
        <w:pStyle w:val="Heading2"/>
      </w:pPr>
      <w:r>
        <w:t xml:space="preserve">2.1. Токен-экономика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Доступ к контактам и развёрнутым данным оплачивается токенами: </w:t>
      </w:r>
      <w:r>
        <w:rPr>
          <w:rFonts w:ascii="Arial" w:cs="Arial" w:eastAsia="Arial" w:hAnsi="Arial"/>
          <w:b/>
          <w:bCs/>
          <w:color w:val="C8282A"/>
          <w:sz w:val="22"/>
          <w:szCs w:val="22"/>
        </w:rPr>
        <w:t xml:space="preserve">1 токен = $5 USD = 1 открытие развёрнутой карточки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(или 1 пункт верификации).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Пакеты токенов:</w:t>
      </w:r>
    </w:p>
    <w:tbl>
      <w:tblPr>
        <w:tblW w:type="dxa" w:w="9360"/>
        <w:tblBorders>
          <w:top w:val="single" w:color="D2D8E0" w:sz="1"/>
          <w:left w:val="single" w:color="D2D8E0" w:sz="1"/>
          <w:bottom w:val="single" w:color="D2D8E0" w:sz="1"/>
          <w:right w:val="single" w:color="D2D8E0" w:sz="1"/>
          <w:insideH w:val="single" w:color="D2D8E0" w:sz="1"/>
          <w:insideV w:val="single" w:color="D2D8E0" w:sz="1"/>
        </w:tblBorders>
      </w:tblPr>
      <w:tblGrid>
        <w:gridCol w:w="1800"/>
        <w:gridCol w:w="2200"/>
        <w:gridCol w:w="2680"/>
        <w:gridCol w:w="2680"/>
      </w:tblGrid>
      <w:tr>
        <w:trPr>
          <w:tblHeader/>
        </w:trPr>
        <w:tc>
          <w:tcPr>
            <w:tcW w:type="dxa" w:w="180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Пакет</w:t>
            </w:r>
          </w:p>
        </w:tc>
        <w:tc>
          <w:tcPr>
            <w:tcW w:type="dxa" w:w="220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Токенов</w:t>
            </w:r>
          </w:p>
        </w:tc>
        <w:tc>
          <w:tcPr>
            <w:tcW w:type="dxa" w:w="268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Цена</w:t>
            </w:r>
          </w:p>
        </w:tc>
        <w:tc>
          <w:tcPr>
            <w:tcW w:type="dxa" w:w="268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Скидка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10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$50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25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$115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50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$220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100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$400</w:t>
            </w:r>
          </w:p>
        </w:tc>
        <w:tc>
          <w:tcPr>
            <w:tcW w:type="dxa" w:w="268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Цены — в USD для удобства зарубежных пользователей. Для резидентов РК сумма пересчитывается в тенге по курсу Нацбанка (KZT_PER_USD, по умолчанию 470).</w:t>
      </w:r>
    </w:p>
    <w:p>
      <w:pPr>
        <w:pStyle w:val="Heading2"/>
      </w:pPr>
      <w:r>
        <w:t xml:space="preserve">2.2. Оплата через Kaspi Pay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1. Пользователь жмёт «Купить» на пакете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2. POST /wallet/payment/init { packageSize }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создаётся PendingPayment (PENDING, срок оплаты 30 минут)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priceKzt = priceUsd × KZT_PER_USD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├─ короткий референс для чека Kaspi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ответ: { kaspiPayUrl, reference, priceKzt, tokensAmount, expiresAt, mode }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3. Фронт показывает модалку с QR-кодом Kaspi + кнопкой «Открыть Kaspi.kz»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4. Подтверждение оплаты: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• REAL: Kaspi шлёт webhook → POST /wallet/payment/kaspi-webhook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• Фронт параллельно поллит GET /wallet/payment/:id/status (каждые 4 сек)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5. COMPLETED → токены зачисляются, фиксируется транзакция PURCHASE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Безопасность webhook (REAL-режим):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Подпись проверяется HMAC-SHA256 (x-kaspi-signature), сравнение timingSafeEqual.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Если KASPI_API_TOKEN не задан — webhook полностью отключён (подделать оплату нельзя).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MOCK-режим (текущий):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кнопка «Я оплатил (mock)» через /wallet/payment/:id/mock-complete — для UAT/демо до получения merchant-аккаунта Kaspi.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Статусы платежа: </w:t>
      </w:r>
      <w:r>
        <w:rPr>
          <w:rFonts w:ascii="Consolas" w:cs="Consolas" w:eastAsia="Consolas" w:hAnsi="Consolas"/>
          <w:color w:val="24303F"/>
          <w:sz w:val="19"/>
          <w:szCs w:val="19"/>
        </w:rPr>
        <w:t xml:space="preserve">PENDING → COMPLETED | EXPIRED | FAILED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(просроченные PENDING авто-помечаются EXPIRED).</w:t>
      </w:r>
    </w:p>
    <w:p>
      <w:pPr>
        <w:pStyle w:val="Heading2"/>
      </w:pPr>
      <w:r>
        <w:t xml:space="preserve">2.3. Списание токенов (атомарно)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Открытие карточки — POST /wallet/spend/card { publicationId }: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$transaction: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updateMany TokenWallet WHERE id=… AND balance &gt;= 1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SET balance -= 1, totalSpent += 1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если 0 строк обновлено → 402 «Недостаточно токенов»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иначе → транзакция SPEND_CARD + создание PurchasedCard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Условие balance &gt;= 1 прямо в UPDATE исключает «двойное списание» при одновременных запросах. Купленная карточка доступна без срока.</w:t>
      </w:r>
    </w:p>
    <w:p>
      <w:pPr>
        <w:pStyle w:val="Heading2"/>
      </w:pPr>
      <w:r>
        <w:t xml:space="preserve">2.4. Журнал транзакций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Каждая операция фиксируется: тип (PURCHASE, SPEND_CARD, SPEND_VERIF, REFUND, BONUS), сумма, баланс после, метаданные. Виден в разделе «Пакеты токенов → История транзакций».</w:t>
      </w:r>
    </w:p>
    <w:p>
      <w:pPr>
        <w:pStyle w:val="Heading2"/>
      </w:pPr>
      <w:r>
        <w:t xml:space="preserve">2.5. Платные услуги и комиссия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Верификации/аудиты: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верификация компании ($50), маркетинговый анализ ($100), аудит бизнес-плана / фин. модели / договоров (по запросу), верификация состава, запасов и т.д.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Сопровождение сделки: </w:t>
      </w:r>
      <w:r>
        <w:rPr>
          <w:rFonts w:ascii="Arial" w:cs="Arial" w:eastAsia="Arial" w:hAnsi="Arial"/>
          <w:b/>
          <w:bCs/>
          <w:color w:val="C8282A"/>
          <w:sz w:val="22"/>
          <w:szCs w:val="22"/>
        </w:rPr>
        <w:t xml:space="preserve">комиссия 1,5% от суммы сделки.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Для крупных сделок верхний лимит комиссии — не более $1,5 млн.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Резидентам Бизнес-сообщества — скидка </w:t>
      </w: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−10%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 на все платные услуги.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Возврат средств — только в случаях, прямо предусмотренных правом или отдельным соглашением (п.7 Пользовательского соглашения).</w:t>
      </w:r>
    </w:p>
    <w:p>
      <w:r>
        <w:br w:type="page"/>
      </w:r>
    </w:p>
    <w:p>
      <w:pPr>
        <w:pStyle w:val="Heading1"/>
      </w:pPr>
      <w:r>
        <w:t xml:space="preserve">3. Поддержка связи (коммуникации)</w:t>
      </w:r>
    </w:p>
    <w:p>
      <w:pPr>
        <w:pStyle w:val="Heading2"/>
      </w:pPr>
      <w:r>
        <w:t xml:space="preserve">3.1. Чат между пользователями (Сообщения)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Прямой мессенджер между сторонами Реестра — переговоры без посредников.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• Старт диалога: на карточке «✉ Написать автору»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→ POST /chat/conversations { publicationId }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• История:  GET /chat/conversations, GET /chat/conversations/:id/messages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• Отправка: POST /chat/messages { conversationId, text, lang }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• Real-time: WebSocket /chat/ws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Безопасная WS-аутентификация (ticket-flow):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POST /chat/ws-ticket выдаёт одноразовый ticket (TTL 60 сек); подключение wss://…/chat/ws?ticket=…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JWT никогда не уходит в URL → не светится в access-логах CDN. Heartbeat ping 30с / таймаут 60с.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2230"/>
          <w:sz w:val="22"/>
          <w:szCs w:val="22"/>
        </w:rPr>
        <w:t xml:space="preserve">AI-переводчик: </w:t>
      </w:r>
      <w:r>
        <w:rPr>
          <w:rFonts w:ascii="Arial" w:cs="Arial" w:eastAsia="Arial" w:hAnsi="Arial"/>
          <w:color w:val="1A2230"/>
          <w:sz w:val="22"/>
          <w:szCs w:val="22"/>
        </w:rPr>
        <w:t xml:space="preserve">сообщения автоматически переводятся на язык собеседника (как в WeChat) через OpenAI. Язык задаётся на уровне диалога.</w:t>
      </w:r>
    </w:p>
    <w:p>
      <w:pPr>
        <w:pStyle w:val="Heading2"/>
      </w:pPr>
      <w:r>
        <w:t xml:space="preserve">3.2. Служба Поддержки (закреплённый чат)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В разделе «Сообщения» первым закреплён неудаляемый чат «Служба Поддержки» (🛎, 24/7).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Пользователь пишет → POST /chat/support { text }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форвард в Telegram-группу модераторов (через бот)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└─ авто-подтверждение «сообщение получено, ответим в течение часа»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История переписки хранится локально у пользователя; менеджер отвечает на email/телефон из регистрации.</w:t>
      </w:r>
    </w:p>
    <w:p>
      <w:pPr>
        <w:pStyle w:val="Heading2"/>
      </w:pPr>
      <w:r>
        <w:t xml:space="preserve">3.3. Внешние каналы связи</w:t>
      </w:r>
    </w:p>
    <w:tbl>
      <w:tblPr>
        <w:tblW w:type="dxa" w:w="9360"/>
        <w:tblBorders>
          <w:top w:val="single" w:color="D2D8E0" w:sz="1"/>
          <w:left w:val="single" w:color="D2D8E0" w:sz="1"/>
          <w:bottom w:val="single" w:color="D2D8E0" w:sz="1"/>
          <w:right w:val="single" w:color="D2D8E0" w:sz="1"/>
          <w:insideH w:val="single" w:color="D2D8E0" w:sz="1"/>
          <w:insideV w:val="single" w:color="D2D8E0" w:sz="1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260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</w:t>
            </w:r>
          </w:p>
        </w:tc>
        <w:tc>
          <w:tcPr>
            <w:tcW w:type="dxa" w:w="486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Подвал всех страниц</w:t>
            </w:r>
          </w:p>
        </w:tc>
        <w:tc>
          <w:tcPr>
            <w:tcW w:type="dxa" w:w="48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+7 706 515 0336 (wa.me/77065150336) с готовым текстом «Здравствуйте! Пишу с сайта atameken.club.»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Telegram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Подвал / поддержка</w:t>
            </w:r>
          </w:p>
        </w:tc>
        <w:tc>
          <w:tcPr>
            <w:tcW w:type="dxa" w:w="48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@atameken_support + закрытая группа модераторов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Подвал / письма</w:t>
            </w:r>
          </w:p>
        </w:tc>
        <w:tc>
          <w:tcPr>
            <w:tcW w:type="dxa" w:w="48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info@atameken.club (общий), support@atameken.club (поддержка)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Resend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Транзакц. письма</w:t>
            </w:r>
          </w:p>
        </w:tc>
        <w:tc>
          <w:tcPr>
            <w:tcW w:type="dxa" w:w="48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Восстановление пароля, уведомления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3.4. Сопровождение сделки (документооборот)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Создание сделки → POST /deals  (опц. «делим комиссию пополам с контрагентом»)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Подписание 3 документов онлайн (по очереди):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1. NDA   — соглашение о неразглашении (взаимодействие + 3 года)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2. NCNDA — ненарушение каналов (межд. стандарт ICC)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3. Договор о сопровождении за комиссию 1,5%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Каждое подписание: POST /deals/:id/sign — фиксируется с IP и временем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(юридически = электронный акцепт). Все 3 подписаны → ведёт менеджер.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Документы рендерятся в sandboxed iframe (defense-in-depth против XSS); все пользовательские поля экранируются.</w:t>
      </w:r>
    </w:p>
    <w:p>
      <w:r>
        <w:br w:type="page"/>
      </w:r>
    </w:p>
    <w:p>
      <w:pPr>
        <w:pStyle w:val="Heading1"/>
      </w:pPr>
      <w:r>
        <w:t xml:space="preserve">4. Что требует настройки для продакшена</w:t>
      </w:r>
    </w:p>
    <w:p>
      <w:pPr>
        <w:spacing w:after="120" w:line="276"/>
      </w:pPr>
      <w:r>
        <w:rPr>
          <w:rFonts w:ascii="Arial" w:cs="Arial" w:eastAsia="Arial" w:hAnsi="Arial"/>
          <w:color w:val="1A2230"/>
          <w:sz w:val="22"/>
          <w:szCs w:val="22"/>
        </w:rPr>
        <w:t xml:space="preserve">Переменные окружения, включающие «боевые» режимы (Render → Environment):</w:t>
      </w:r>
    </w:p>
    <w:tbl>
      <w:tblPr>
        <w:tblW w:type="dxa" w:w="9360"/>
        <w:tblBorders>
          <w:top w:val="single" w:color="D2D8E0" w:sz="1"/>
          <w:left w:val="single" w:color="D2D8E0" w:sz="1"/>
          <w:bottom w:val="single" w:color="D2D8E0" w:sz="1"/>
          <w:right w:val="single" w:color="D2D8E0" w:sz="1"/>
          <w:insideH w:val="single" w:color="D2D8E0" w:sz="1"/>
          <w:insideV w:val="single" w:color="D2D8E0" w:sz="1"/>
        </w:tblBorders>
      </w:tblPr>
      <w:tblGrid>
        <w:gridCol w:w="3100"/>
        <w:gridCol w:w="1800"/>
        <w:gridCol w:w="4460"/>
      </w:tblGrid>
      <w:tr>
        <w:trPr>
          <w:tblHeader/>
        </w:trPr>
        <w:tc>
          <w:tcPr>
            <w:tcW w:type="dxa" w:w="310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180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4460"/>
            <w:shd w:fill="C828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Без неё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TURNSTILE_SITE_KEY / _SECRET_KEY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работают test-ключи (пропускают всех — анти-бот защиты нет)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KASPI_MERCHANT_ID / _API_TOKEN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mock-режим, реальный webhook отключён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Письма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ссылки восстановления только в логах, не на почту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Чат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AI-перевод не выполняется (оригинал)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TELEGRAM_BOT_TOKEN / _CHAT_ID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сообщения не форвардятся в Telegram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S3_* (R2/Spaces)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Файлы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файлы в /tmp/ — стираются при каждом деплое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A2230"/>
                <w:sz w:val="20"/>
                <w:szCs w:val="20"/>
              </w:rPr>
              <w:t xml:space="preserve">CORS_ORIGIN, JWT_*_SECRET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2230"/>
                <w:sz w:val="20"/>
                <w:szCs w:val="20"/>
              </w:rPr>
              <w:t xml:space="preserve">прод не стартует с небезопасной конфигурацией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Жизненный цикл участника</w:t>
      </w:r>
    </w:p>
    <w:p>
      <w:pPr>
        <w:shd w:fill="F2F4F7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РЕГИСТРАЦИЯ           ДОСТУП              ОПЛАТА             СВЯЗЬ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┌──────────────┐   ┌──────────────┐   ┌──────────────┐  ┌──────────────┐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│ роль          │   │ анкета →      │   │ пакет токенов │  │ чат + AI-перев│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│ + Turnstile   │──►│ проверка →    │──►│ → Kaspi Pay QR│─►│ Служба Поддерж│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│ + click-wrap  │   │ VERIFIED      │   │ → токены      │  │ WhatsApp / TG │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│ → JWT+cookie  │   │ доступ к Реест│   │ → открытие к. │  │ / email       │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└──────────────┘   └──────────────┘   └──────────────┘  └──────────────┘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                                      │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                               крупная сделка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                                      ▼</w:t>
      </w:r>
    </w:p>
    <w:p>
      <w:pPr>
        <w:shd w:fill="F2F4F7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                    Сопровождение: NDA→NCNDA→комиссия 1,5%</w:t>
      </w:r>
    </w:p>
    <w:p>
      <w:pPr>
        <w:shd w:fill="F2F4F7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4303F"/>
          <w:sz w:val="17"/>
          <w:szCs w:val="17"/>
        </w:rPr>
        <w:t xml:space="preserve">                                       (лимит $1,5 млн)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A6472"/>
          <w:sz w:val="19"/>
          <w:szCs w:val="19"/>
        </w:rPr>
        <w:t xml:space="preserve">Документ описывает текущую реализацию. Юридические тексты (Пользовательское соглашение, NDA/NCNDA) требуют финальной вычитки юристом перед массовым распространением.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C0C0" w:sz="6" w:space="4"/>
      </w:pBdr>
      <w:spacing w:after="160" w:before="320"/>
      <w:outlineLvl w:val="0"/>
    </w:pPr>
    <w:rPr>
      <w:rFonts w:ascii="Arial" w:cs="Arial" w:eastAsia="Arial" w:hAnsi="Arial"/>
      <w:b/>
      <w:bCs/>
      <w:color w:val="C828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22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A64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Механика платформы</dc:title>
  <dc:creator>ATAMEKEN Club</dc:creator>
  <cp:lastModifiedBy>Un-named</cp:lastModifiedBy>
  <cp:revision>1</cp:revision>
  <dcterms:created xsi:type="dcterms:W3CDTF">2026-06-28T03:52:31.220Z</dcterms:created>
  <dcterms:modified xsi:type="dcterms:W3CDTF">2026-06-28T03:52:31.221Z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