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600" w:after="80"/>
        <w:jc w:val="center"/>
      </w:pPr>
      <w:r>
        <w:rPr>
          <w:rFonts w:ascii="Arial" w:hAnsi="Arial"/>
          <w:b/>
          <w:color w:val="E87D0D"/>
          <w:sz w:val="60"/>
        </w:rPr>
        <w:t>FLOMASTER</w:t>
      </w:r>
    </w:p>
    <w:p>
      <w:pPr>
        <w:spacing w:after="200"/>
        <w:jc w:val="center"/>
      </w:pPr>
      <w:r>
        <w:rPr>
          <w:rFonts w:ascii="Arial" w:hAnsi="Arial"/>
          <w:b/>
          <w:color w:val="E87D0D"/>
          <w:sz w:val="36"/>
        </w:rPr>
        <w:t>User Guide</w:t>
      </w:r>
    </w:p>
    <w:p>
      <w:pPr>
        <w:spacing w:after="80"/>
        <w:jc w:val="center"/>
      </w:pPr>
      <w:r>
        <w:rPr>
          <w:rFonts w:ascii="Arial" w:hAnsi="Arial"/>
          <w:color w:val="555555"/>
          <w:sz w:val="22"/>
        </w:rPr>
        <w:t>A single launch point for DCC applications under one OCIO config</w:t>
      </w:r>
    </w:p>
    <w:p>
      <w:pPr>
        <w:spacing w:after="400"/>
        <w:jc w:val="center"/>
      </w:pPr>
      <w:r>
        <w:rPr>
          <w:rFonts w:ascii="Arial" w:hAnsi="Arial"/>
          <w:color w:val="555555"/>
          <w:sz w:val="21"/>
        </w:rPr>
        <w:t>Version 2.3 - Windows 10/11</w:t>
      </w:r>
    </w:p>
    <w:p>
      <w:r>
        <w:rPr>
          <w:rFonts w:ascii="Arial" w:hAnsi="Arial"/>
          <w:sz w:val="19"/>
        </w:rPr>
        <w:t>FLOMASTER is a launcher for 3D graphics applications: one button starts Blender, Maya, Houdini, Nuke, DaVinci Resolve, Unreal Engine or Substance Painter with a predefined OCIO color config. The launcher finds installed applications automatically, keeps launch presets, opens project files and logs every launch. One color config - across all applications, with no manual environment setup.</w:t>
      </w:r>
    </w:p>
    <w:p>
      <w:r>
        <w:rPr>
          <w:rFonts w:ascii="Arial" w:hAnsi="Arial"/>
          <w:i/>
          <w:color w:val="555555"/>
          <w:sz w:val="18"/>
        </w:rPr>
        <w:t>github.com/abyrvalg379/FLOMASTER</w:t>
      </w:r>
    </w:p>
    <w:p>
      <w:pPr>
        <w:pStyle w:val="Heading1"/>
      </w:pPr>
      <w:bookmarkStart w:id="100000" w:name="_Toc100000"/>
      <w:r>
        <w:t>Contents</w:t>
      </w:r>
      <w:bookmarkEnd w:id="100000"/>
    </w:p>
    <w:p>
      <w:pPr>
        <w:pStyle w:val="9"/>
        <w:tabs>
          <w:tab w:val="right" w:leader="dot" w:pos="9026"/>
        </w:tabs>
        <w:spacing w:before="120" w:after="60"/>
      </w:pPr>
      <w:hyperlink w:anchor="_Toc100001" w:history="1">
        <w:r>
          <w:rPr>
            <w:rStyle w:val="Hyperlink"/>
          </w:rPr>
          <w:t>1. About FLOMASTER</w:t>
        </w:r>
        <w:r>
          <w:tab/>
        </w:r>
        <w:r>
          <w:fldChar w:fldCharType="begin"/>
        </w:r>
        <w:r>
          <w:instrText xml:space="preserve"> PAGEREF _Toc100001 \h </w:instrText>
        </w:r>
        <w:r>
          <w:fldChar w:fldCharType="separate"/>
        </w:r>
        <w:r>
          <w:t>2</w:t>
        </w:r>
        <w:r>
          <w:fldChar w:fldCharType="end"/>
        </w:r>
      </w:hyperlink>
    </w:p>
    <w:p>
      <w:pPr>
        <w:pStyle w:val="9"/>
        <w:tabs>
          <w:tab w:val="right" w:leader="dot" w:pos="9026"/>
        </w:tabs>
        <w:spacing w:before="120" w:after="60"/>
      </w:pPr>
      <w:hyperlink w:anchor="_Toc100002" w:history="1">
        <w:r>
          <w:rPr>
            <w:rStyle w:val="Hyperlink"/>
          </w:rPr>
          <w:t>2. Installation</w:t>
        </w:r>
        <w:r>
          <w:tab/>
        </w:r>
        <w:r>
          <w:fldChar w:fldCharType="begin"/>
        </w:r>
        <w:r>
          <w:instrText xml:space="preserve"> PAGEREF _Toc100002 \h </w:instrText>
        </w:r>
        <w:r>
          <w:fldChar w:fldCharType="separate"/>
        </w:r>
        <w:r>
          <w:t>2</w:t>
        </w:r>
        <w:r>
          <w:fldChar w:fldCharType="end"/>
        </w:r>
      </w:hyperlink>
    </w:p>
    <w:p>
      <w:pPr>
        <w:pStyle w:val="9"/>
        <w:tabs>
          <w:tab w:val="right" w:leader="dot" w:pos="9026"/>
        </w:tabs>
        <w:spacing w:before="120" w:after="60"/>
      </w:pPr>
      <w:hyperlink w:anchor="_Toc100003" w:history="1">
        <w:r>
          <w:rPr>
            <w:rStyle w:val="Hyperlink"/>
          </w:rPr>
          <w:t>3. Quick start</w:t>
        </w:r>
        <w:r>
          <w:tab/>
        </w:r>
        <w:r>
          <w:fldChar w:fldCharType="begin"/>
        </w:r>
        <w:r>
          <w:instrText xml:space="preserve"> PAGEREF _Toc100003 \h </w:instrText>
        </w:r>
        <w:r>
          <w:fldChar w:fldCharType="separate"/>
        </w:r>
        <w:r>
          <w:t>2</w:t>
        </w:r>
        <w:r>
          <w:fldChar w:fldCharType="end"/>
        </w:r>
      </w:hyperlink>
    </w:p>
    <w:p>
      <w:pPr>
        <w:pStyle w:val="9"/>
        <w:tabs>
          <w:tab w:val="right" w:leader="dot" w:pos="9026"/>
        </w:tabs>
        <w:spacing w:before="120" w:after="60"/>
      </w:pPr>
      <w:hyperlink w:anchor="_Toc100004" w:history="1">
        <w:r>
          <w:rPr>
            <w:rStyle w:val="Hyperlink"/>
          </w:rPr>
          <w:t>4. Presets and auto-scan</w:t>
        </w:r>
        <w:r>
          <w:tab/>
        </w:r>
        <w:r>
          <w:fldChar w:fldCharType="begin"/>
        </w:r>
        <w:r>
          <w:instrText xml:space="preserve"> PAGEREF _Toc100004 \h </w:instrText>
        </w:r>
        <w:r>
          <w:fldChar w:fldCharType="separate"/>
        </w:r>
        <w:r>
          <w:t>2</w:t>
        </w:r>
        <w:r>
          <w:fldChar w:fldCharType="end"/>
        </w:r>
      </w:hyperlink>
    </w:p>
    <w:p>
      <w:pPr>
        <w:pStyle w:val="9"/>
        <w:tabs>
          <w:tab w:val="right" w:leader="dot" w:pos="9026"/>
        </w:tabs>
        <w:spacing w:before="120" w:after="60"/>
      </w:pPr>
      <w:hyperlink w:anchor="_Toc100007" w:history="1">
        <w:r>
          <w:rPr>
            <w:rStyle w:val="Hyperlink"/>
          </w:rPr>
          <w:t>5. Project files</w:t>
        </w:r>
        <w:r>
          <w:tab/>
        </w:r>
        <w:r>
          <w:fldChar w:fldCharType="begin"/>
        </w:r>
        <w:r>
          <w:instrText xml:space="preserve"> PAGEREF _Toc100007 \h </w:instrText>
        </w:r>
        <w:r>
          <w:fldChar w:fldCharType="separate"/>
        </w:r>
        <w:r>
          <w:t>3</w:t>
        </w:r>
        <w:r>
          <w:fldChar w:fldCharType="end"/>
        </w:r>
      </w:hyperlink>
    </w:p>
    <w:p>
      <w:pPr>
        <w:pStyle w:val="9"/>
        <w:tabs>
          <w:tab w:val="right" w:leader="dot" w:pos="9026"/>
        </w:tabs>
        <w:spacing w:before="120" w:after="60"/>
      </w:pPr>
      <w:hyperlink w:anchor="_Toc100008" w:history="1">
        <w:r>
          <w:rPr>
            <w:rStyle w:val="Hyperlink"/>
          </w:rPr>
          <w:t>6. How OCIO support works</w:t>
        </w:r>
        <w:r>
          <w:tab/>
        </w:r>
        <w:r>
          <w:fldChar w:fldCharType="begin"/>
        </w:r>
        <w:r>
          <w:instrText xml:space="preserve"> PAGEREF _Toc100008 \h </w:instrText>
        </w:r>
        <w:r>
          <w:fldChar w:fldCharType="separate"/>
        </w:r>
        <w:r>
          <w:t>3</w:t>
        </w:r>
        <w:r>
          <w:fldChar w:fldCharType="end"/>
        </w:r>
      </w:hyperlink>
    </w:p>
    <w:p>
      <w:pPr>
        <w:pStyle w:val="9"/>
        <w:tabs>
          <w:tab w:val="right" w:leader="dot" w:pos="9026"/>
        </w:tabs>
        <w:spacing w:before="120" w:after="60"/>
      </w:pPr>
      <w:hyperlink w:anchor="_Toc100009" w:history="1">
        <w:r>
          <w:rPr>
            <w:rStyle w:val="Hyperlink"/>
          </w:rPr>
          <w:t>7. Themes</w:t>
        </w:r>
        <w:r>
          <w:tab/>
        </w:r>
        <w:r>
          <w:fldChar w:fldCharType="begin"/>
        </w:r>
        <w:r>
          <w:instrText xml:space="preserve"> PAGEREF _Toc100009 \h </w:instrText>
        </w:r>
        <w:r>
          <w:fldChar w:fldCharType="separate"/>
        </w:r>
        <w:r>
          <w:t>3</w:t>
        </w:r>
        <w:r>
          <w:fldChar w:fldCharType="end"/>
        </w:r>
      </w:hyperlink>
    </w:p>
    <w:p>
      <w:pPr>
        <w:pStyle w:val="9"/>
        <w:tabs>
          <w:tab w:val="right" w:leader="dot" w:pos="9026"/>
        </w:tabs>
        <w:spacing w:before="120" w:after="60"/>
      </w:pPr>
      <w:hyperlink w:anchor="_Toc100010" w:history="1">
        <w:r>
          <w:rPr>
            <w:rStyle w:val="Hyperlink"/>
          </w:rPr>
          <w:t>8. Settings</w:t>
        </w:r>
        <w:r>
          <w:tab/>
        </w:r>
        <w:r>
          <w:fldChar w:fldCharType="begin"/>
        </w:r>
        <w:r>
          <w:instrText xml:space="preserve"> PAGEREF _Toc100010 \h </w:instrText>
        </w:r>
        <w:r>
          <w:fldChar w:fldCharType="separate"/>
        </w:r>
        <w:r>
          <w:t>4</w:t>
        </w:r>
        <w:r>
          <w:fldChar w:fldCharType="end"/>
        </w:r>
      </w:hyperlink>
    </w:p>
    <w:p>
      <w:pPr>
        <w:pStyle w:val="9"/>
        <w:tabs>
          <w:tab w:val="right" w:leader="dot" w:pos="9026"/>
        </w:tabs>
        <w:spacing w:before="120" w:after="60"/>
      </w:pPr>
      <w:hyperlink w:anchor="_Toc100011" w:history="1">
        <w:r>
          <w:rPr>
            <w:rStyle w:val="Hyperlink"/>
          </w:rPr>
          <w:t>9. Tray and log</w:t>
        </w:r>
        <w:r>
          <w:tab/>
        </w:r>
        <w:r>
          <w:fldChar w:fldCharType="begin"/>
        </w:r>
        <w:r>
          <w:instrText xml:space="preserve"> PAGEREF _Toc100011 \h </w:instrText>
        </w:r>
        <w:r>
          <w:fldChar w:fldCharType="separate"/>
        </w:r>
        <w:r>
          <w:t>4</w:t>
        </w:r>
        <w:r>
          <w:fldChar w:fldCharType="end"/>
        </w:r>
      </w:hyperlink>
    </w:p>
    <w:p>
      <w:pPr>
        <w:pStyle w:val="9"/>
        <w:tabs>
          <w:tab w:val="right" w:leader="dot" w:pos="9026"/>
        </w:tabs>
        <w:spacing w:before="120" w:after="60"/>
      </w:pPr>
      <w:hyperlink w:anchor="_Toc100012" w:history="1">
        <w:r>
          <w:rPr>
            <w:rStyle w:val="Hyperlink"/>
          </w:rPr>
          <w:t>10. Files and folders</w:t>
        </w:r>
        <w:r>
          <w:tab/>
        </w:r>
        <w:r>
          <w:fldChar w:fldCharType="begin"/>
        </w:r>
        <w:r>
          <w:instrText xml:space="preserve"> PAGEREF _Toc100012 \h </w:instrText>
        </w:r>
        <w:r>
          <w:fldChar w:fldCharType="separate"/>
        </w:r>
        <w:r>
          <w:t>4</w:t>
        </w:r>
        <w:r>
          <w:fldChar w:fldCharType="end"/>
        </w:r>
      </w:hyperlink>
    </w:p>
    <w:p>
      <w:pPr>
        <w:pStyle w:val="9"/>
        <w:tabs>
          <w:tab w:val="right" w:leader="dot" w:pos="9026"/>
        </w:tabs>
        <w:spacing w:before="120" w:after="60"/>
      </w:pPr>
      <w:hyperlink w:anchor="_Toc100013" w:history="1">
        <w:r>
          <w:rPr>
            <w:rStyle w:val="Hyperlink"/>
          </w:rPr>
          <w:t>11. Workflows</w:t>
        </w:r>
        <w:r>
          <w:tab/>
        </w:r>
        <w:r>
          <w:fldChar w:fldCharType="begin"/>
        </w:r>
        <w:r>
          <w:instrText xml:space="preserve"> PAGEREF _Toc100013 \h </w:instrText>
        </w:r>
        <w:r>
          <w:fldChar w:fldCharType="separate"/>
        </w:r>
        <w:r>
          <w:t>4</w:t>
        </w:r>
        <w:r>
          <w:fldChar w:fldCharType="end"/>
        </w:r>
      </w:hyperlink>
    </w:p>
    <w:p>
      <w:pPr>
        <w:pStyle w:val="9"/>
        <w:tabs>
          <w:tab w:val="right" w:leader="dot" w:pos="9026"/>
        </w:tabs>
        <w:spacing w:before="120" w:after="60"/>
      </w:pPr>
      <w:hyperlink w:anchor="_Toc100018" w:history="1">
        <w:r>
          <w:rPr>
            <w:rStyle w:val="Hyperlink"/>
          </w:rPr>
          <w:t>12. Troubleshooting</w:t>
        </w:r>
        <w:r>
          <w:tab/>
        </w:r>
        <w:r>
          <w:fldChar w:fldCharType="begin"/>
        </w:r>
        <w:r>
          <w:instrText xml:space="preserve"> PAGEREF _Toc100018 \h </w:instrText>
        </w:r>
        <w:r>
          <w:fldChar w:fldCharType="separate"/>
        </w:r>
        <w:r>
          <w:t>5</w:t>
        </w:r>
        <w:r>
          <w:fldChar w:fldCharType="end"/>
        </w:r>
      </w:hyperlink>
    </w:p>
    <w:p>
      <w:r>
        <w:fldChar w:fldCharType="begin"/>
        <w:instrText xml:space="preserve">TOC \o "1-1" \h \z \u</w:instrText>
        <w:fldChar w:fldCharType="separate">
          <w:t>Table of contents: open the document in Word/LibreOffice and refresh the field (F9) to fill in page numbers.</w:t>
        </w:fldChar>
        <w:fldChar w:fldCharType="end"/>
      </w:r>
    </w:p>
    <w:p>
      <w:r>
        <w:br w:type="page"/>
      </w:r>
    </w:p>
    <w:p>
      <w:pPr>
        <w:pStyle w:val="Heading1"/>
      </w:pPr>
      <w:bookmarkStart w:id="100001" w:name="_Toc100001"/>
      <w:r>
        <w:t>1. About FLOMASTER</w:t>
      </w:r>
      <w:bookmarkEnd w:id="100001"/>
    </w:p>
    <w:p>
      <w:r>
        <w:rPr>
          <w:rFonts w:ascii="Arial" w:hAnsi="Arial"/>
          <w:sz w:val="19"/>
        </w:rPr>
        <w:t>Key features:</w:t>
      </w:r>
    </w:p>
    <w:p>
      <w:pPr>
        <w:pStyle w:val="ListBullet"/>
      </w:pPr>
      <w:r>
        <w:rPr>
          <w:rFonts w:ascii="Arial" w:hAnsi="Arial"/>
          <w:sz w:val="19"/>
        </w:rPr>
        <w:t>auto-scan of installed applications: Blender, K-Cycles, Maya, Houdini, Nuke, DaVinci Resolve, Unreal Engine, Substance Painter;</w:t>
      </w:r>
    </w:p>
    <w:p>
      <w:pPr>
        <w:pStyle w:val="ListBullet"/>
      </w:pPr>
      <w:r>
        <w:rPr>
          <w:rFonts w:ascii="Arial" w:hAnsi="Arial"/>
          <w:sz w:val="19"/>
        </w:rPr>
        <w:t>launch presets: your own name, exe and launch arguments;</w:t>
      </w:r>
    </w:p>
    <w:p>
      <w:pPr>
        <w:pStyle w:val="ListBullet"/>
      </w:pPr>
      <w:r>
        <w:rPr>
          <w:rFonts w:ascii="Arial" w:hAnsi="Arial"/>
          <w:sz w:val="19"/>
        </w:rPr>
        <w:t>project file opening (.blend, .spp, .ma, .mb, .hip, .hipl, .hipnc, .nk) with OCIO applied;</w:t>
      </w:r>
    </w:p>
    <w:p>
      <w:pPr>
        <w:pStyle w:val="ListBullet"/>
      </w:pPr>
      <w:r>
        <w:rPr>
          <w:rFonts w:ascii="Arial" w:hAnsi="Arial"/>
          <w:sz w:val="19"/>
        </w:rPr>
        <w:t>7 color themes styled after the applications they launch;</w:t>
      </w:r>
    </w:p>
    <w:p>
      <w:pPr>
        <w:pStyle w:val="ListBullet"/>
      </w:pPr>
      <w:r>
        <w:rPr>
          <w:rFonts w:ascii="Arial" w:hAnsi="Arial"/>
          <w:sz w:val="19"/>
        </w:rPr>
        <w:t>drag and drop: an exe becomes a preset, a project file opens in the chosen application;</w:t>
      </w:r>
    </w:p>
    <w:p>
      <w:pPr>
        <w:pStyle w:val="ListBullet"/>
      </w:pPr>
      <w:r>
        <w:rPr>
          <w:rFonts w:ascii="Arial" w:hAnsi="Arial"/>
          <w:sz w:val="19"/>
        </w:rPr>
        <w:t>system tray with quick launch under the default config;</w:t>
      </w:r>
    </w:p>
    <w:p>
      <w:pPr>
        <w:pStyle w:val="ListBullet"/>
      </w:pPr>
      <w:r>
        <w:rPr>
          <w:rFonts w:ascii="Arial" w:hAnsi="Arial"/>
          <w:sz w:val="19"/>
        </w:rPr>
        <w:t>launch log: timestamp, user, application, config, exit code;</w:t>
      </w:r>
    </w:p>
    <w:p>
      <w:pPr>
        <w:pStyle w:val="ListBullet"/>
      </w:pPr>
      <w:r>
        <w:rPr>
          <w:rFonts w:ascii="Arial" w:hAnsi="Arial"/>
          <w:sz w:val="19"/>
        </w:rPr>
        <w:t>bundled ACES 1.2 OCIO config with lowercase acescg / raw aliases.</w:t>
      </w:r>
    </w:p>
    <w:p>
      <w:pPr>
        <w:pStyle w:val="Heading1"/>
      </w:pPr>
      <w:bookmarkStart w:id="100002" w:name="_Toc100002"/>
      <w:r>
        <w:t>2. Installation</w:t>
      </w:r>
      <w:bookmarkEnd w:id="100002"/>
    </w:p>
    <w:p>
      <w:pPr>
        <w:pStyle w:val="ListBullet"/>
      </w:pPr>
      <w:r>
        <w:rPr>
          <w:rFonts w:ascii="Arial" w:hAnsi="Arial"/>
          <w:sz w:val="19"/>
        </w:rPr>
        <w:t>Download the latest release: github.com/abyrvalg379/FLOMASTER → Releases → Latest.</w:t>
      </w:r>
    </w:p>
    <w:p>
      <w:pPr>
        <w:pStyle w:val="ListBullet"/>
      </w:pPr>
      <w:r>
        <w:rPr>
          <w:rFonts w:ascii="Arial" w:hAnsi="Arial"/>
          <w:sz w:val="19"/>
        </w:rPr>
        <w:t>Extract the archive to a folder of your choice (e.g. C:\Program Files\FLOMASTER).</w:t>
      </w:r>
    </w:p>
    <w:p>
      <w:pPr>
        <w:pStyle w:val="ListBullet"/>
      </w:pPr>
      <w:r>
        <w:rPr>
          <w:rFonts w:ascii="Arial" w:hAnsi="Arial"/>
          <w:sz w:val="19"/>
        </w:rPr>
        <w:t>Run FLOMASTER.exe. The build is self-contained: .NET 8 is bundled, nothing else to install.</w:t>
      </w:r>
    </w:p>
    <w:p>
      <w:pPr>
        <w:pStyle w:val="ListBullet"/>
      </w:pPr>
      <w:r>
        <w:rPr>
          <w:rFonts w:ascii="Arial" w:hAnsi="Arial"/>
          <w:sz w:val="19"/>
        </w:rPr>
        <w:t>The window opens in the top-right corner of the screen. User data (settings and the log) is created in %APPDATA%\FLOMASTER\.</w:t>
      </w:r>
    </w:p>
    <w:p>
      <w:pPr>
        <w:pStyle w:val="ListBullet"/>
      </w:pPr>
      <w:r>
        <w:rPr>
          <w:rFonts w:ascii="Arial" w:hAnsi="Arial"/>
          <w:sz w:val="19"/>
        </w:rPr>
        <w:t>Updating: close the launcher (including the tray), replace the files, start it again. Settings and the log live apart from the program and survive updates.</w:t>
      </w:r>
    </w:p>
    <w:p>
      <w:pPr>
        <w:pStyle w:val="Heading1"/>
      </w:pPr>
      <w:bookmarkStart w:id="100003" w:name="_Toc100003"/>
      <w:r>
        <w:t>3. Quick start</w:t>
      </w:r>
      <w:bookmarkEnd w:id="100003"/>
    </w:p>
    <w:p>
      <w:pPr>
        <w:pStyle w:val="ListBullet"/>
      </w:pPr>
      <w:r>
        <w:rPr>
          <w:rFonts w:ascii="Arial" w:hAnsi="Arial"/>
          <w:sz w:val="19"/>
        </w:rPr>
        <w:t>Start FLOMASTER - the auto-scan finds installed applications and their cards appear in the window.</w:t>
      </w:r>
    </w:p>
    <w:p>
      <w:pPr>
        <w:pStyle w:val="ListBullet"/>
      </w:pPr>
      <w:r>
        <w:rPr>
          <w:rFonts w:ascii="Arial" w:hAnsi="Arial"/>
          <w:sz w:val="19"/>
        </w:rPr>
        <w:t>Click Launch on a card - the application starts with the launcher OCIO config.</w:t>
      </w:r>
    </w:p>
    <w:p>
      <w:pPr>
        <w:pStyle w:val="ListBullet"/>
      </w:pPr>
      <w:r>
        <w:rPr>
          <w:rFonts w:ascii="Arial" w:hAnsi="Arial"/>
          <w:sz w:val="19"/>
        </w:rPr>
        <w:t>Check the color spaces in the application (in Blender - the Color Management tab in scene properties).</w:t>
      </w:r>
    </w:p>
    <w:p>
      <w:pPr>
        <w:pStyle w:val="ListBullet"/>
      </w:pPr>
      <w:r>
        <w:rPr>
          <w:rFonts w:ascii="Arial" w:hAnsi="Arial"/>
          <w:sz w:val="19"/>
        </w:rPr>
        <w:t>Drag a project file (.blend, .ma, .hip...) onto a card - it opens in that application under the same config.</w:t>
      </w:r>
    </w:p>
    <w:p>
      <w:pPr>
        <w:pStyle w:val="ListBullet"/>
      </w:pPr>
      <w:r>
        <w:rPr>
          <w:rFonts w:ascii="Arial" w:hAnsi="Arial"/>
          <w:sz w:val="19"/>
        </w:rPr>
        <w:t>Make it yours: theme and scan paths are in Settings, the default tray config is there too.</w:t>
      </w:r>
    </w:p>
    <w:p>
      <w:pPr>
        <w:pStyle w:val="Heading1"/>
      </w:pPr>
      <w:bookmarkStart w:id="100004" w:name="_Toc100004"/>
      <w:r>
        <w:t>4. Presets and auto-scan</w:t>
      </w:r>
      <w:bookmarkEnd w:id="100004"/>
    </w:p>
    <w:p>
      <w:pPr>
        <w:pStyle w:val="Heading2"/>
      </w:pPr>
      <w:bookmarkStart w:id="100005" w:name="_Toc100005"/>
      <w:r>
        <w:t>4.1 Auto-scan</w:t>
      </w:r>
      <w:bookmarkEnd w:id="100005"/>
    </w:p>
    <w:p>
      <w:r>
        <w:rPr>
          <w:rFonts w:ascii="Arial" w:hAnsi="Arial"/>
          <w:sz w:val="19"/>
        </w:rPr>
        <w:t>On start the launcher looks for installed applications in standard locations. Something installed in a non-standard folder (portable builds, custom versions)? Add the folder in Settings → Scan paths and the card appears on the next scan.</w:t>
      </w:r>
    </w:p>
    <w:p>
      <w:pPr>
        <w:pStyle w:val="Heading2"/>
      </w:pPr>
      <w:bookmarkStart w:id="100006" w:name="_Toc100006"/>
      <w:r>
        <w:t>4.2 Custom presets</w:t>
      </w:r>
      <w:bookmarkEnd w:id="100006"/>
    </w:p>
    <w:p>
      <w:r>
        <w:rPr>
          <w:rFonts w:ascii="Arial" w:hAnsi="Arial"/>
          <w:sz w:val="19"/>
        </w:rPr>
        <w:t>A preset is a pair of "name + path to exe". Two ways to create one:</w:t>
      </w:r>
    </w:p>
    <w:p>
      <w:pPr>
        <w:pStyle w:val="ListBullet"/>
      </w:pPr>
      <w:r>
        <w:rPr>
          <w:rFonts w:ascii="Arial" w:hAnsi="Arial"/>
          <w:sz w:val="19"/>
        </w:rPr>
        <w:t>drag the application exe right into the launcher window - you will be asked for a name;</w:t>
      </w:r>
    </w:p>
    <w:p>
      <w:pPr>
        <w:pStyle w:val="ListBullet"/>
      </w:pPr>
      <w:r>
        <w:rPr>
          <w:rFonts w:ascii="Arial" w:hAnsi="Arial"/>
          <w:sz w:val="19"/>
        </w:rPr>
        <w:t>create a preset manually and point it to the exe.</w:t>
      </w:r>
    </w:p>
    <w:p>
      <w:r>
        <w:rPr>
          <w:rFonts w:ascii="Arial" w:hAnsi="Arial"/>
          <w:sz w:val="19"/>
        </w:rPr>
        <w:t>Each preset carries its own launch arguments (the Quick Commands menu on the card) - that is how you keep several versions of one application or special launch keys.</w:t>
      </w:r>
    </w:p>
    <w:p>
      <w:pPr>
        <w:pStyle w:val="Heading1"/>
      </w:pPr>
      <w:bookmarkStart w:id="100007" w:name="_Toc100007"/>
      <w:r>
        <w:t>5. Project files</w:t>
      </w:r>
      <w:bookmarkEnd w:id="100007"/>
    </w:p>
    <w:p>
      <w:r>
        <w:rPr>
          <w:rFonts w:ascii="Arial" w:hAnsi="Arial"/>
          <w:sz w:val="19"/>
        </w:rPr>
        <w:t>Drag a project file onto an application card - it opens there with the OCIO config applied. Supported: .blend, .spp, .ma, .mb, .hip, .hipl, .hipnc, .nk. Recently opened files are available in the Recent list. The Windows context menu entry "Open in FLOMASTER" (right-click on a project file) works the same way.</w:t>
      </w:r>
    </w:p>
    <w:p>
      <w:pPr>
        <w:pStyle w:val="Heading1"/>
      </w:pPr>
      <w:bookmarkStart w:id="100008" w:name="_Toc100008"/>
      <w:r>
        <w:t>6. How OCIO support works</w:t>
      </w:r>
      <w:bookmarkEnd w:id="100008"/>
    </w:p>
    <w:p>
      <w:r>
        <w:rPr>
          <w:rFonts w:ascii="Arial" w:hAnsi="Arial"/>
          <w:sz w:val="19"/>
        </w:rPr>
        <w:t>Most applications read the config path from the OCIO environment variable - the launcher sets it on launch. Unreal Engine ignores the variable: it receives the path as a -ocio="path" argument - the launcher does that for you.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CellMar>
          <w:top w:w="40" w:type="dxa"/>
          <w:left w:w="80" w:type="dxa"/>
          <w:bottom w:w="40" w:type="dxa"/>
          <w:right w:w="80" w:type="dxa"/>
        </w:tblCellMar>
      </w:tblPr>
      <w:tblGrid>
        <w:gridCol w:w="4680"/>
        <w:gridCol w:w="4680"/>
      </w:tblGrid>
      <w:tr>
        <w:trPr>
          <w:cantSplit/>
          <w:tblHeader/>
        </w:trPr>
        <w:tc>
          <w:tcPr>
            <w:tcW w:type="dxa" w:w="5443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top"/>
            <w:shd w:val="clear" w:color="auto" w:fill="E87D0D"/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/>
                <w:color w:val="FFFFFF"/>
                <w:sz w:val="18"/>
              </w:rPr>
              <w:t>Application</w:t>
            </w:r>
          </w:p>
        </w:tc>
        <w:tc>
          <w:tcPr>
            <w:tcW w:type="dxa" w:w="4195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top"/>
            <w:shd w:val="clear" w:color="auto" w:fill="E87D0D"/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/>
                <w:color w:val="FFFFFF"/>
                <w:sz w:val="18"/>
              </w:rPr>
              <w:t>Method</w:t>
            </w:r>
          </w:p>
        </w:tc>
      </w:tr>
      <w:tr>
        <w:trPr>
          <w:cantSplit/>
        </w:trPr>
        <w:tc>
          <w:tcPr>
            <w:tcW w:type="dxa" w:w="5443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top"/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/>
                <w:sz w:val="18"/>
              </w:rPr>
              <w:t>Blender, Maya, Houdini, Nuke, DaVinci Resolve, Substance Painter</w:t>
            </w:r>
          </w:p>
        </w:tc>
        <w:tc>
          <w:tcPr>
            <w:tcW w:type="dxa" w:w="4195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top"/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 w:val="0"/>
                <w:sz w:val="18"/>
              </w:rPr>
              <w:t>OCIO environment variable</w:t>
            </w:r>
          </w:p>
        </w:tc>
      </w:tr>
      <w:tr>
        <w:trPr>
          <w:cantSplit/>
        </w:trPr>
        <w:tc>
          <w:tcPr>
            <w:tcW w:type="dxa" w:w="5443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top"/>
            <w:shd w:val="clear" w:color="auto" w:fill="FDF4EA"/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/>
                <w:sz w:val="18"/>
              </w:rPr>
              <w:t>Unreal Engine</w:t>
            </w:r>
          </w:p>
        </w:tc>
        <w:tc>
          <w:tcPr>
            <w:tcW w:type="dxa" w:w="4195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top"/>
            <w:shd w:val="clear" w:color="auto" w:fill="FDF4EA"/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 w:val="0"/>
                <w:sz w:val="18"/>
              </w:rPr>
              <w:t>-ocio= argument</w:t>
            </w:r>
          </w:p>
        </w:tc>
      </w:tr>
    </w:tbl>
    <w:p>
      <w:pPr>
        <w:spacing w:after="80" w:before="0" w:line="240" w:lineRule="auto"/>
      </w:pPr>
    </w:p>
    <w:p>
      <w:r>
        <w:rPr>
          <w:rFonts w:ascii="Arial" w:hAnsi="Arial"/>
          <w:sz w:val="19"/>
        </w:rPr>
        <w:t>The bundled ACES 1.2 config (the ocio/ folder next to the exe) defines lowercase aliases acescg and raw: interchange ACES names identical across applications and configs. Scripts and presets that set a colorspace by the acescg or raw string survive config changes - long names like "ACES - ACEScg" are unique to one config. The transforms behind an alias and its long name are identical.</w:t>
      </w:r>
    </w:p>
    <w:p>
      <w:r>
        <w:rPr>
          <w:rFonts w:ascii="Arial" w:hAnsi="Arial"/>
          <w:sz w:val="19"/>
        </w:rPr>
        <w:t>Default roles in the bundled config are tuned for a typical texture cycle: 8-bit images open as raw, float images (EXR) - as acescg.</w:t>
      </w:r>
    </w:p>
    <w:p>
      <w:pPr>
        <w:pStyle w:val="Heading1"/>
      </w:pPr>
      <w:bookmarkStart w:id="100009" w:name="_Toc100009"/>
      <w:r>
        <w:t>7. Themes</w:t>
      </w:r>
      <w:bookmarkEnd w:id="100009"/>
    </w:p>
    <w:p>
      <w:r>
        <w:rPr>
          <w:rFonts w:ascii="Arial" w:hAnsi="Arial"/>
          <w:sz w:val="19"/>
        </w:rPr>
        <w:t>Seven color schemes - one per application in the pipeline. Switch the theme in Settings; the entire interface follows: buttons, checkboxes, the scrollbar, dropdown menus and the Launch button hover state.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CellMar>
          <w:top w:w="40" w:type="dxa"/>
          <w:left w:w="80" w:type="dxa"/>
          <w:bottom w:w="40" w:type="dxa"/>
          <w:right w:w="80" w:type="dxa"/>
        </w:tblCellMar>
      </w:tblPr>
      <w:tblGrid>
        <w:gridCol w:w="3120"/>
        <w:gridCol w:w="3120"/>
        <w:gridCol w:w="3120"/>
      </w:tblGrid>
      <w:tr>
        <w:trPr>
          <w:cantSplit/>
          <w:tblHeader/>
        </w:trPr>
        <w:tc>
          <w:tcPr>
            <w:tcW w:type="dxa" w:w="260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top"/>
            <w:shd w:val="clear" w:color="auto" w:fill="E87D0D"/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/>
                <w:color w:val="FFFFFF"/>
                <w:sz w:val="18"/>
              </w:rPr>
              <w:t>Theme</w:t>
            </w:r>
          </w:p>
        </w:tc>
        <w:tc>
          <w:tcPr>
            <w:tcW w:type="dxa" w:w="3175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top"/>
            <w:shd w:val="clear" w:color="auto" w:fill="E87D0D"/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/>
                <w:color w:val="FFFFFF"/>
                <w:sz w:val="18"/>
              </w:rPr>
              <w:t>Accent</w:t>
            </w:r>
          </w:p>
        </w:tc>
        <w:tc>
          <w:tcPr>
            <w:tcW w:type="dxa" w:w="3855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top"/>
            <w:shd w:val="clear" w:color="auto" w:fill="E87D0D"/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/>
                <w:color w:val="FFFFFF"/>
                <w:sz w:val="18"/>
              </w:rPr>
              <w:t>Base</w:t>
            </w:r>
          </w:p>
        </w:tc>
      </w:tr>
      <w:tr>
        <w:trPr>
          <w:cantSplit/>
        </w:trPr>
        <w:tc>
          <w:tcPr>
            <w:tcW w:type="dxa" w:w="260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top"/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/>
                <w:sz w:val="18"/>
              </w:rPr>
              <w:t>Blender</w:t>
            </w:r>
          </w:p>
        </w:tc>
        <w:tc>
          <w:tcPr>
            <w:tcW w:type="dxa" w:w="3175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top"/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 w:val="0"/>
                <w:sz w:val="18"/>
              </w:rPr>
              <w:t>orange</w:t>
            </w:r>
          </w:p>
        </w:tc>
        <w:tc>
          <w:tcPr>
            <w:tcW w:type="dxa" w:w="3855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top"/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 w:val="0"/>
                <w:sz w:val="18"/>
              </w:rPr>
              <w:t>dark graphite</w:t>
            </w:r>
          </w:p>
        </w:tc>
      </w:tr>
      <w:tr>
        <w:trPr>
          <w:cantSplit/>
        </w:trPr>
        <w:tc>
          <w:tcPr>
            <w:tcW w:type="dxa" w:w="260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top"/>
            <w:shd w:val="clear" w:color="auto" w:fill="FDF4EA"/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/>
                <w:sz w:val="18"/>
              </w:rPr>
              <w:t>Maya</w:t>
            </w:r>
          </w:p>
        </w:tc>
        <w:tc>
          <w:tcPr>
            <w:tcW w:type="dxa" w:w="3175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top"/>
            <w:shd w:val="clear" w:color="auto" w:fill="FDF4EA"/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 w:val="0"/>
                <w:sz w:val="18"/>
              </w:rPr>
              <w:t>cyan</w:t>
            </w:r>
          </w:p>
        </w:tc>
        <w:tc>
          <w:tcPr>
            <w:tcW w:type="dxa" w:w="3855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top"/>
            <w:shd w:val="clear" w:color="auto" w:fill="FDF4EA"/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 w:val="0"/>
                <w:sz w:val="18"/>
              </w:rPr>
              <w:t>blue-gray</w:t>
            </w:r>
          </w:p>
        </w:tc>
      </w:tr>
      <w:tr>
        <w:trPr>
          <w:cantSplit/>
        </w:trPr>
        <w:tc>
          <w:tcPr>
            <w:tcW w:type="dxa" w:w="260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top"/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/>
                <w:sz w:val="18"/>
              </w:rPr>
              <w:t>Houdini</w:t>
            </w:r>
          </w:p>
        </w:tc>
        <w:tc>
          <w:tcPr>
            <w:tcW w:type="dxa" w:w="3175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top"/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 w:val="0"/>
                <w:sz w:val="18"/>
              </w:rPr>
              <w:t>red-orange</w:t>
            </w:r>
          </w:p>
        </w:tc>
        <w:tc>
          <w:tcPr>
            <w:tcW w:type="dxa" w:w="3855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top"/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 w:val="0"/>
                <w:sz w:val="18"/>
              </w:rPr>
              <w:t>dark (sampled from the real UI)</w:t>
            </w:r>
          </w:p>
        </w:tc>
      </w:tr>
      <w:tr>
        <w:trPr>
          <w:cantSplit/>
        </w:trPr>
        <w:tc>
          <w:tcPr>
            <w:tcW w:type="dxa" w:w="260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top"/>
            <w:shd w:val="clear" w:color="auto" w:fill="FDF4EA"/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/>
                <w:sz w:val="18"/>
              </w:rPr>
              <w:t>Nuke</w:t>
            </w:r>
          </w:p>
        </w:tc>
        <w:tc>
          <w:tcPr>
            <w:tcW w:type="dxa" w:w="3175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top"/>
            <w:shd w:val="clear" w:color="auto" w:fill="FDF4EA"/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 w:val="0"/>
                <w:sz w:val="18"/>
              </w:rPr>
              <w:t>light gray</w:t>
            </w:r>
          </w:p>
        </w:tc>
        <w:tc>
          <w:tcPr>
            <w:tcW w:type="dxa" w:w="3855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top"/>
            <w:shd w:val="clear" w:color="auto" w:fill="FDF4EA"/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 w:val="0"/>
                <w:sz w:val="18"/>
              </w:rPr>
              <w:t>graphite, monochrome</w:t>
            </w:r>
          </w:p>
        </w:tc>
      </w:tr>
      <w:tr>
        <w:trPr>
          <w:cantSplit/>
        </w:trPr>
        <w:tc>
          <w:tcPr>
            <w:tcW w:type="dxa" w:w="260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top"/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/>
                <w:sz w:val="18"/>
              </w:rPr>
              <w:t>DaVinci</w:t>
            </w:r>
          </w:p>
        </w:tc>
        <w:tc>
          <w:tcPr>
            <w:tcW w:type="dxa" w:w="3175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top"/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 w:val="0"/>
                <w:sz w:val="18"/>
              </w:rPr>
              <w:t>pink-red</w:t>
            </w:r>
          </w:p>
        </w:tc>
        <w:tc>
          <w:tcPr>
            <w:tcW w:type="dxa" w:w="3855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top"/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 w:val="0"/>
                <w:sz w:val="18"/>
              </w:rPr>
              <w:t>purple-navy</w:t>
            </w:r>
          </w:p>
        </w:tc>
      </w:tr>
      <w:tr>
        <w:trPr>
          <w:cantSplit/>
        </w:trPr>
        <w:tc>
          <w:tcPr>
            <w:tcW w:type="dxa" w:w="260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top"/>
            <w:shd w:val="clear" w:color="auto" w:fill="FDF4EA"/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/>
                <w:sz w:val="18"/>
              </w:rPr>
              <w:t>Unreal</w:t>
            </w:r>
          </w:p>
        </w:tc>
        <w:tc>
          <w:tcPr>
            <w:tcW w:type="dxa" w:w="3175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top"/>
            <w:shd w:val="clear" w:color="auto" w:fill="FDF4EA"/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 w:val="0"/>
                <w:sz w:val="18"/>
              </w:rPr>
              <w:t>blue</w:t>
            </w:r>
          </w:p>
        </w:tc>
        <w:tc>
          <w:tcPr>
            <w:tcW w:type="dxa" w:w="3855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top"/>
            <w:shd w:val="clear" w:color="auto" w:fill="FDF4EA"/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 w:val="0"/>
                <w:sz w:val="18"/>
              </w:rPr>
              <w:t>cool graphite</w:t>
            </w:r>
          </w:p>
        </w:tc>
      </w:tr>
      <w:tr>
        <w:trPr>
          <w:cantSplit/>
        </w:trPr>
        <w:tc>
          <w:tcPr>
            <w:tcW w:type="dxa" w:w="260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top"/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/>
                <w:sz w:val="18"/>
              </w:rPr>
              <w:t>Substance</w:t>
            </w:r>
          </w:p>
        </w:tc>
        <w:tc>
          <w:tcPr>
            <w:tcW w:type="dxa" w:w="3175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top"/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 w:val="0"/>
                <w:sz w:val="18"/>
              </w:rPr>
              <w:t>green</w:t>
            </w:r>
          </w:p>
        </w:tc>
        <w:tc>
          <w:tcPr>
            <w:tcW w:type="dxa" w:w="3855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top"/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 w:val="0"/>
                <w:sz w:val="18"/>
              </w:rPr>
              <w:t>black</w:t>
            </w:r>
          </w:p>
        </w:tc>
      </w:tr>
    </w:tbl>
    <w:p>
      <w:pPr>
        <w:spacing w:after="80" w:before="0" w:line="240" w:lineRule="auto"/>
      </w:pPr>
    </w:p>
    <w:p>
      <w:pPr>
        <w:pStyle w:val="Heading1"/>
      </w:pPr>
      <w:bookmarkStart w:id="100010" w:name="_Toc100010"/>
      <w:r>
        <w:t>8. Settings</w:t>
      </w:r>
      <w:bookmarkEnd w:id="100010"/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CellMar>
          <w:top w:w="40" w:type="dxa"/>
          <w:left w:w="80" w:type="dxa"/>
          <w:bottom w:w="40" w:type="dxa"/>
          <w:right w:w="80" w:type="dxa"/>
        </w:tblCellMar>
      </w:tblPr>
      <w:tblGrid>
        <w:gridCol w:w="4680"/>
        <w:gridCol w:w="4680"/>
      </w:tblGrid>
      <w:tr>
        <w:trPr>
          <w:cantSplit/>
          <w:tblHeader/>
        </w:trPr>
        <w:tc>
          <w:tcPr>
            <w:tcW w:type="dxa" w:w="3402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top"/>
            <w:shd w:val="clear" w:color="auto" w:fill="E87D0D"/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/>
                <w:color w:val="FFFFFF"/>
                <w:sz w:val="18"/>
              </w:rPr>
              <w:t>Setting</w:t>
            </w:r>
          </w:p>
        </w:tc>
        <w:tc>
          <w:tcPr>
            <w:tcW w:type="dxa" w:w="6236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top"/>
            <w:shd w:val="clear" w:color="auto" w:fill="E87D0D"/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/>
                <w:color w:val="FFFFFF"/>
                <w:sz w:val="18"/>
              </w:rPr>
              <w:t>What it does</w:t>
            </w:r>
          </w:p>
        </w:tc>
      </w:tr>
      <w:tr>
        <w:trPr>
          <w:cantSplit/>
        </w:trPr>
        <w:tc>
          <w:tcPr>
            <w:tcW w:type="dxa" w:w="3402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top"/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/>
                <w:sz w:val="18"/>
              </w:rPr>
              <w:t>Theme</w:t>
            </w:r>
          </w:p>
        </w:tc>
        <w:tc>
          <w:tcPr>
            <w:tcW w:type="dxa" w:w="6236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top"/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 w:val="0"/>
                <w:sz w:val="18"/>
              </w:rPr>
              <w:t>interface color theme</w:t>
            </w:r>
          </w:p>
        </w:tc>
      </w:tr>
      <w:tr>
        <w:trPr>
          <w:cantSplit/>
        </w:trPr>
        <w:tc>
          <w:tcPr>
            <w:tcW w:type="dxa" w:w="3402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top"/>
            <w:shd w:val="clear" w:color="auto" w:fill="FDF4EA"/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/>
                <w:sz w:val="18"/>
              </w:rPr>
              <w:t>Start with Windows</w:t>
            </w:r>
          </w:p>
        </w:tc>
        <w:tc>
          <w:tcPr>
            <w:tcW w:type="dxa" w:w="6236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top"/>
            <w:shd w:val="clear" w:color="auto" w:fill="FDF4EA"/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 w:val="0"/>
                <w:sz w:val="18"/>
              </w:rPr>
              <w:t>auto-start minimized to tray with Windows</w:t>
            </w:r>
          </w:p>
        </w:tc>
      </w:tr>
      <w:tr>
        <w:trPr>
          <w:cantSplit/>
        </w:trPr>
        <w:tc>
          <w:tcPr>
            <w:tcW w:type="dxa" w:w="3402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top"/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/>
                <w:sz w:val="18"/>
              </w:rPr>
              <w:t>Always on top</w:t>
            </w:r>
          </w:p>
        </w:tc>
        <w:tc>
          <w:tcPr>
            <w:tcW w:type="dxa" w:w="6236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top"/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 w:val="0"/>
                <w:sz w:val="18"/>
              </w:rPr>
              <w:t>window above all others</w:t>
            </w:r>
          </w:p>
        </w:tc>
      </w:tr>
      <w:tr>
        <w:trPr>
          <w:cantSplit/>
        </w:trPr>
        <w:tc>
          <w:tcPr>
            <w:tcW w:type="dxa" w:w="3402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top"/>
            <w:shd w:val="clear" w:color="auto" w:fill="FDF4EA"/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/>
                <w:sz w:val="18"/>
              </w:rPr>
              <w:t>Smooth animation</w:t>
            </w:r>
          </w:p>
        </w:tc>
        <w:tc>
          <w:tcPr>
            <w:tcW w:type="dxa" w:w="6236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top"/>
            <w:shd w:val="clear" w:color="auto" w:fill="FDF4EA"/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 w:val="0"/>
                <w:sz w:val="18"/>
              </w:rPr>
              <w:t>enable/disable panel animation</w:t>
            </w:r>
          </w:p>
        </w:tc>
      </w:tr>
      <w:tr>
        <w:trPr>
          <w:cantSplit/>
        </w:trPr>
        <w:tc>
          <w:tcPr>
            <w:tcW w:type="dxa" w:w="3402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top"/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/>
                <w:sz w:val="18"/>
              </w:rPr>
              <w:t>Default OCIO</w:t>
            </w:r>
          </w:p>
        </w:tc>
        <w:tc>
          <w:tcPr>
            <w:tcW w:type="dxa" w:w="6236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top"/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 w:val="0"/>
                <w:sz w:val="18"/>
              </w:rPr>
              <w:t>default config for tray launches</w:t>
            </w:r>
          </w:p>
        </w:tc>
      </w:tr>
      <w:tr>
        <w:trPr>
          <w:cantSplit/>
        </w:trPr>
        <w:tc>
          <w:tcPr>
            <w:tcW w:type="dxa" w:w="3402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top"/>
            <w:shd w:val="clear" w:color="auto" w:fill="FDF4EA"/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/>
                <w:sz w:val="18"/>
              </w:rPr>
              <w:t>Scan paths</w:t>
            </w:r>
          </w:p>
        </w:tc>
        <w:tc>
          <w:tcPr>
            <w:tcW w:type="dxa" w:w="6236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top"/>
            <w:shd w:val="clear" w:color="auto" w:fill="FDF4EA"/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 w:val="0"/>
                <w:sz w:val="18"/>
              </w:rPr>
              <w:t>extra folders for the auto-scan</w:t>
            </w:r>
          </w:p>
        </w:tc>
      </w:tr>
      <w:tr>
        <w:trPr>
          <w:cantSplit/>
        </w:trPr>
        <w:tc>
          <w:tcPr>
            <w:tcW w:type="dxa" w:w="3402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top"/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/>
                <w:sz w:val="18"/>
              </w:rPr>
              <w:t>Shortcuts</w:t>
            </w:r>
          </w:p>
        </w:tc>
        <w:tc>
          <w:tcPr>
            <w:tcW w:type="dxa" w:w="6236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top"/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 w:val="0"/>
                <w:sz w:val="18"/>
              </w:rPr>
              <w:t>Start Menu and desktop shortcuts</w:t>
            </w:r>
          </w:p>
        </w:tc>
      </w:tr>
    </w:tbl>
    <w:p>
      <w:pPr>
        <w:spacing w:after="80" w:before="0" w:line="240" w:lineRule="auto"/>
      </w:pPr>
    </w:p>
    <w:p>
      <w:pPr>
        <w:pStyle w:val="Heading1"/>
      </w:pPr>
      <w:bookmarkStart w:id="100011" w:name="_Toc100011"/>
      <w:r>
        <w:t>9. Tray and log</w:t>
      </w:r>
      <w:bookmarkEnd w:id="100011"/>
    </w:p>
    <w:p>
      <w:r>
        <w:rPr>
          <w:rFonts w:ascii="Arial" w:hAnsi="Arial"/>
          <w:sz w:val="19"/>
        </w:rPr>
        <w:t>Closing the window minimizes the launcher to the system tray - it keeps running. The tray menu offers quick launch of applications under the default config.</w:t>
      </w:r>
    </w:p>
    <w:p>
      <w:r>
        <w:rPr>
          <w:rFonts w:ascii="Arial" w:hAnsi="Arial"/>
          <w:sz w:val="19"/>
        </w:rPr>
        <w:t>The Log button opens the log window beside the launcher (same height, to the left or right - wherever it fits). Every launch is logged: timestamp, user, application, OCIO config, exit code. A "Set OCIO=..." line marks that the config was actually passed. The log file lives at %APPDATA%\FLOMASTER\flomaster.log.</w:t>
      </w:r>
    </w:p>
    <w:p>
      <w:pPr>
        <w:pStyle w:val="Heading1"/>
      </w:pPr>
      <w:bookmarkStart w:id="100012" w:name="_Toc100012"/>
      <w:r>
        <w:t>10. Files and folders</w:t>
      </w:r>
      <w:bookmarkEnd w:id="100012"/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CellMar>
          <w:top w:w="40" w:type="dxa"/>
          <w:left w:w="80" w:type="dxa"/>
          <w:bottom w:w="40" w:type="dxa"/>
          <w:right w:w="80" w:type="dxa"/>
        </w:tblCellMar>
      </w:tblPr>
      <w:tblGrid>
        <w:gridCol w:w="4680"/>
        <w:gridCol w:w="4680"/>
      </w:tblGrid>
      <w:tr>
        <w:trPr>
          <w:cantSplit/>
          <w:tblHeader/>
        </w:trPr>
        <w:tc>
          <w:tcPr>
            <w:tcW w:type="dxa" w:w="3175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top"/>
            <w:shd w:val="clear" w:color="auto" w:fill="E87D0D"/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/>
                <w:color w:val="FFFFFF"/>
                <w:sz w:val="18"/>
              </w:rPr>
              <w:t>Path</w:t>
            </w:r>
          </w:p>
        </w:tc>
        <w:tc>
          <w:tcPr>
            <w:tcW w:type="dxa" w:w="6463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top"/>
            <w:shd w:val="clear" w:color="auto" w:fill="E87D0D"/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/>
                <w:color w:val="FFFFFF"/>
                <w:sz w:val="18"/>
              </w:rPr>
              <w:t>Contents</w:t>
            </w:r>
          </w:p>
        </w:tc>
      </w:tr>
      <w:tr>
        <w:trPr>
          <w:cantSplit/>
        </w:trPr>
        <w:tc>
          <w:tcPr>
            <w:tcW w:type="dxa" w:w="3175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top"/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/>
                <w:sz w:val="18"/>
              </w:rPr>
              <w:t>installation folder</w:t>
            </w:r>
          </w:p>
        </w:tc>
        <w:tc>
          <w:tcPr>
            <w:tcW w:type="dxa" w:w="6463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top"/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 w:val="0"/>
                <w:sz w:val="18"/>
              </w:rPr>
              <w:t>FLOMASTER.exe, flomaster.ico, ocio/ (ACES 1.2 config + luts/), LICENSE.txt</w:t>
            </w:r>
          </w:p>
        </w:tc>
      </w:tr>
      <w:tr>
        <w:trPr>
          <w:cantSplit/>
        </w:trPr>
        <w:tc>
          <w:tcPr>
            <w:tcW w:type="dxa" w:w="3175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top"/>
            <w:shd w:val="clear" w:color="auto" w:fill="FDF4EA"/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/>
                <w:sz w:val="18"/>
              </w:rPr>
              <w:t>%APPDATA%\FLOMASTER\</w:t>
            </w:r>
          </w:p>
        </w:tc>
        <w:tc>
          <w:tcPr>
            <w:tcW w:type="dxa" w:w="6463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top"/>
            <w:shd w:val="clear" w:color="auto" w:fill="FDF4EA"/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 w:val="0"/>
                <w:sz w:val="18"/>
              </w:rPr>
              <w:t>launcher_config.json (settings), flomaster.log (log)</w:t>
            </w:r>
          </w:p>
        </w:tc>
      </w:tr>
    </w:tbl>
    <w:p>
      <w:pPr>
        <w:spacing w:after="80" w:before="0" w:line="240" w:lineRule="auto"/>
      </w:pPr>
    </w:p>
    <w:p>
      <w:r>
        <w:rPr>
          <w:rFonts w:ascii="Arial" w:hAnsi="Arial"/>
          <w:sz w:val="19"/>
        </w:rPr>
        <w:t>The program and user data are deliberately separated: reinstalling and updating never touch settings, presets or the log.</w:t>
      </w:r>
    </w:p>
    <w:p>
      <w:pPr>
        <w:pStyle w:val="Heading1"/>
      </w:pPr>
      <w:bookmarkStart w:id="100013" w:name="_Toc100013"/>
      <w:r>
        <w:t>11. Workflows</w:t>
      </w:r>
      <w:bookmarkEnd w:id="100013"/>
    </w:p>
    <w:p>
      <w:pPr>
        <w:pStyle w:val="Heading2"/>
      </w:pPr>
      <w:bookmarkStart w:id="100014" w:name="_Toc100014"/>
      <w:r>
        <w:t>One color from the start of the day</w:t>
      </w:r>
      <w:bookmarkEnd w:id="100014"/>
    </w:p>
    <w:p>
      <w:r>
        <w:rPr>
          <w:rFonts w:ascii="Arial" w:hAnsi="Arial"/>
          <w:sz w:val="19"/>
        </w:rPr>
        <w:t>Launcher window → Launch on the application you need. Everything you start that day runs on the same config - files travel between applications without color surprises.</w:t>
      </w:r>
    </w:p>
    <w:p>
      <w:pPr>
        <w:pStyle w:val="Heading2"/>
      </w:pPr>
      <w:bookmarkStart w:id="100015" w:name="_Toc100015"/>
      <w:r>
        <w:t>Textures: what opens and where</w:t>
      </w:r>
      <w:bookmarkEnd w:id="100015"/>
    </w:p>
    <w:p>
      <w:r>
        <w:rPr>
          <w:rFonts w:ascii="Arial" w:hAnsi="Arial"/>
          <w:sz w:val="19"/>
        </w:rPr>
        <w:t>Float images (EXR) open as acescg - the color cycle is correct right away. 8-bit images open as raw: the right default for data maps (normals, masks, roughness) with no manual clicks. Assign a colorspace manually to a color 8-bit map if it opened as raw.</w:t>
      </w:r>
    </w:p>
    <w:p>
      <w:pPr>
        <w:pStyle w:val="Heading2"/>
      </w:pPr>
      <w:bookmarkStart w:id="100016" w:name="_Toc100016"/>
      <w:r>
        <w:t>Open a scene in another application</w:t>
      </w:r>
      <w:bookmarkEnd w:id="100016"/>
    </w:p>
    <w:p>
      <w:r>
        <w:rPr>
          <w:rFonts w:ascii="Arial" w:hAnsi="Arial"/>
          <w:sz w:val="19"/>
        </w:rPr>
        <w:t>Drag the scene file onto the application card - or use Recent to reopen the last file without hunting for it in the file manager.</w:t>
      </w:r>
    </w:p>
    <w:p>
      <w:pPr>
        <w:pStyle w:val="Heading2"/>
      </w:pPr>
      <w:bookmarkStart w:id="100017" w:name="_Toc100017"/>
      <w:r>
        <w:t>Several versions of one application</w:t>
      </w:r>
      <w:bookmarkEnd w:id="100017"/>
    </w:p>
    <w:p>
      <w:r>
        <w:rPr>
          <w:rFonts w:ascii="Arial" w:hAnsi="Arial"/>
          <w:sz w:val="19"/>
        </w:rPr>
        <w:t>Create one preset per version (drag the exe + name) and start the one you need with a click; the version arguments live in the preset Quick Commands.</w:t>
      </w:r>
    </w:p>
    <w:p>
      <w:pPr>
        <w:pStyle w:val="Heading1"/>
      </w:pPr>
      <w:bookmarkStart w:id="100018" w:name="_Toc100018"/>
      <w:r>
        <w:t>12. Troubleshooting</w:t>
      </w:r>
      <w:bookmarkEnd w:id="100018"/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CellMar>
          <w:top w:w="40" w:type="dxa"/>
          <w:left w:w="80" w:type="dxa"/>
          <w:bottom w:w="40" w:type="dxa"/>
          <w:right w:w="80" w:type="dxa"/>
        </w:tblCellMar>
      </w:tblPr>
      <w:tblGrid>
        <w:gridCol w:w="3120"/>
        <w:gridCol w:w="3120"/>
        <w:gridCol w:w="3120"/>
      </w:tblGrid>
      <w:tr>
        <w:trPr>
          <w:cantSplit/>
          <w:tblHeader/>
        </w:trPr>
        <w:tc>
          <w:tcPr>
            <w:tcW w:type="dxa" w:w="260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top"/>
            <w:shd w:val="clear" w:color="auto" w:fill="E87D0D"/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3061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top"/>
            <w:shd w:val="clear" w:color="auto" w:fill="E87D0D"/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/>
                <w:color w:val="FFFFFF"/>
                <w:sz w:val="18"/>
              </w:rPr>
              <w:t>Cause</w:t>
            </w:r>
          </w:p>
        </w:tc>
        <w:tc>
          <w:tcPr>
            <w:tcW w:type="dxa" w:w="3969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top"/>
            <w:shd w:val="clear" w:color="auto" w:fill="E87D0D"/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/>
                <w:color w:val="FFFFFF"/>
                <w:sz w:val="18"/>
              </w:rPr>
              <w:t>What to do</w:t>
            </w:r>
          </w:p>
        </w:tc>
      </w:tr>
      <w:tr>
        <w:trPr>
          <w:cantSplit/>
        </w:trPr>
        <w:tc>
          <w:tcPr>
            <w:tcW w:type="dxa" w:w="260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top"/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/>
                <w:sz w:val="18"/>
              </w:rPr>
              <w:t>Application missing after installation</w:t>
            </w:r>
          </w:p>
        </w:tc>
        <w:tc>
          <w:tcPr>
            <w:tcW w:type="dxa" w:w="3061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top"/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 w:val="0"/>
                <w:sz w:val="18"/>
              </w:rPr>
              <w:t>non-standard install folder</w:t>
            </w:r>
          </w:p>
        </w:tc>
        <w:tc>
          <w:tcPr>
            <w:tcW w:type="dxa" w:w="3969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top"/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 w:val="0"/>
                <w:sz w:val="18"/>
              </w:rPr>
              <w:t>add the folder in Settings → Scan paths or create a preset by dragging the exe</w:t>
            </w:r>
          </w:p>
        </w:tc>
      </w:tr>
      <w:tr>
        <w:trPr>
          <w:cantSplit/>
        </w:trPr>
        <w:tc>
          <w:tcPr>
            <w:tcW w:type="dxa" w:w="260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top"/>
            <w:shd w:val="clear" w:color="auto" w:fill="FDF4EA"/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/>
                <w:sz w:val="18"/>
              </w:rPr>
              <w:t>Unreal started with the wrong color</w:t>
            </w:r>
          </w:p>
        </w:tc>
        <w:tc>
          <w:tcPr>
            <w:tcW w:type="dxa" w:w="3061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top"/>
            <w:shd w:val="clear" w:color="auto" w:fill="FDF4EA"/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 w:val="0"/>
                <w:sz w:val="18"/>
              </w:rPr>
              <w:t>Unreal does not read the OCIO variable</w:t>
            </w:r>
          </w:p>
        </w:tc>
        <w:tc>
          <w:tcPr>
            <w:tcW w:type="dxa" w:w="3969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top"/>
            <w:shd w:val="clear" w:color="auto" w:fill="FDF4EA"/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 w:val="0"/>
                <w:sz w:val="18"/>
              </w:rPr>
              <w:t>keep the -ocio= argument in the preset arguments - that is how the launcher passes the config</w:t>
            </w:r>
          </w:p>
        </w:tc>
      </w:tr>
      <w:tr>
        <w:trPr>
          <w:cantSplit/>
        </w:trPr>
        <w:tc>
          <w:tcPr>
            <w:tcW w:type="dxa" w:w="260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top"/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/>
                <w:sz w:val="18"/>
              </w:rPr>
              <w:t>Error «enum "Non-Color" not found» on import</w:t>
            </w:r>
          </w:p>
        </w:tc>
        <w:tc>
          <w:tcPr>
            <w:tcW w:type="dxa" w:w="3061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top"/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 w:val="0"/>
                <w:sz w:val="18"/>
              </w:rPr>
              <w:t>the bundled config has no colorspace named Non-Color (the raw alias exists)</w:t>
            </w:r>
          </w:p>
        </w:tc>
        <w:tc>
          <w:tcPr>
            <w:tcW w:type="dxa" w:w="3969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top"/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 w:val="0"/>
                <w:sz w:val="18"/>
              </w:rPr>
              <w:t>import outside this OCIO config, or add a colorspace/alias with that name to the config</w:t>
            </w:r>
          </w:p>
        </w:tc>
      </w:tr>
      <w:tr>
        <w:trPr>
          <w:cantSplit/>
        </w:trPr>
        <w:tc>
          <w:tcPr>
            <w:tcW w:type="dxa" w:w="260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top"/>
            <w:shd w:val="clear" w:color="auto" w:fill="FDF4EA"/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/>
                <w:sz w:val="18"/>
              </w:rPr>
              <w:t>A color 8-bit map opened as raw</w:t>
            </w:r>
          </w:p>
        </w:tc>
        <w:tc>
          <w:tcPr>
            <w:tcW w:type="dxa" w:w="3061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top"/>
            <w:shd w:val="clear" w:color="auto" w:fill="FDF4EA"/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 w:val="0"/>
                <w:sz w:val="18"/>
              </w:rPr>
              <w:t>the default_byte role in the config is raw (the default for data maps)</w:t>
            </w:r>
          </w:p>
        </w:tc>
        <w:tc>
          <w:tcPr>
            <w:tcW w:type="dxa" w:w="3969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top"/>
            <w:shd w:val="clear" w:color="auto" w:fill="FDF4EA"/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 w:val="0"/>
                <w:sz w:val="18"/>
              </w:rPr>
              <w:t>assign a colorspace manually to that map: sRGB space for 8-bit color, acescg for float</w:t>
            </w:r>
          </w:p>
        </w:tc>
      </w:tr>
      <w:tr>
        <w:trPr>
          <w:cantSplit/>
        </w:trPr>
        <w:tc>
          <w:tcPr>
            <w:tcW w:type="dxa" w:w="260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top"/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/>
                <w:sz w:val="18"/>
              </w:rPr>
              <w:t>Log window is nowhere to be seen</w:t>
            </w:r>
          </w:p>
        </w:tc>
        <w:tc>
          <w:tcPr>
            <w:tcW w:type="dxa" w:w="3061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top"/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 w:val="0"/>
                <w:sz w:val="18"/>
              </w:rPr>
              <w:t>it opens beside the launcher, at the same height</w:t>
            </w:r>
          </w:p>
        </w:tc>
        <w:tc>
          <w:tcPr>
            <w:tcW w:type="dxa" w:w="3969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top"/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 w:val="0"/>
                <w:sz w:val="18"/>
              </w:rPr>
              <w:t>look to the left/right of the launcher window</w:t>
            </w:r>
          </w:p>
        </w:tc>
      </w:tr>
      <w:tr>
        <w:trPr>
          <w:cantSplit/>
        </w:trPr>
        <w:tc>
          <w:tcPr>
            <w:tcW w:type="dxa" w:w="260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top"/>
            <w:shd w:val="clear" w:color="auto" w:fill="FDF4EA"/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/>
                <w:sz w:val="18"/>
              </w:rPr>
              <w:t>Settings and log "disappeared" after reinstall</w:t>
            </w:r>
          </w:p>
        </w:tc>
        <w:tc>
          <w:tcPr>
            <w:tcW w:type="dxa" w:w="3061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top"/>
            <w:shd w:val="clear" w:color="auto" w:fill="FDF4EA"/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 w:val="0"/>
                <w:sz w:val="18"/>
              </w:rPr>
              <w:t>they do not live in the program folder</w:t>
            </w:r>
          </w:p>
        </w:tc>
        <w:tc>
          <w:tcPr>
            <w:tcW w:type="dxa" w:w="3969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top"/>
            <w:shd w:val="clear" w:color="auto" w:fill="FDF4EA"/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 w:val="0"/>
                <w:sz w:val="18"/>
              </w:rPr>
              <w:t>look in %APPDATA%\FLOMASTER\ - updates never touch them</w:t>
            </w:r>
          </w:p>
        </w:tc>
      </w:tr>
      <w:tr>
        <w:trPr>
          <w:cantSplit/>
        </w:trPr>
        <w:tc>
          <w:tcPr>
            <w:tcW w:type="dxa" w:w="260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top"/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/>
                <w:sz w:val="18"/>
              </w:rPr>
              <w:t>Cannot replace the exe when updating</w:t>
            </w:r>
          </w:p>
        </w:tc>
        <w:tc>
          <w:tcPr>
            <w:tcW w:type="dxa" w:w="3061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top"/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 w:val="0"/>
                <w:sz w:val="18"/>
              </w:rPr>
              <w:t>the launcher is running (including the tray) and the file is locked</w:t>
            </w:r>
          </w:p>
        </w:tc>
        <w:tc>
          <w:tcPr>
            <w:tcW w:type="dxa" w:w="3969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top"/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 w:val="0"/>
                <w:sz w:val="18"/>
              </w:rPr>
              <w:t>close FLOMASTER completely, then replace the files</w:t>
            </w:r>
          </w:p>
        </w:tc>
      </w:tr>
    </w:tbl>
    <w:sectPr w:rsidR="00FC693F" w:rsidRPr="0006063C" w:rsidSect="00034616">
      <w:footerReference w:type="default" r:id="rId9"/>
      <w:pgSz w:w="12240" w:h="15840"/>
      <w:pgMar w:top="1296" w:right="1440" w:bottom="1296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/>
        <w:color w:val="555555"/>
        <w:sz w:val="18"/>
      </w:rPr>
      <w:fldChar w:fldCharType="begin"/>
      <w:instrText xml:space="preserve">PAGE \* arabic \* MERGEFORMAT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12" w:lineRule="auto" w:after="80" w:before="0"/>
    </w:pPr>
    <w:rPr>
      <w:rFonts w:ascii="Arial" w:hAnsi="Arial" w:cs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100" w:line="276" w:lineRule="auto"/>
      <w:outlineLvl w:val="0"/>
    </w:pPr>
    <w:rPr>
      <w:rFonts w:asciiTheme="majorHAnsi" w:eastAsiaTheme="majorEastAsia" w:hAnsiTheme="majorHAnsi" w:cstheme="majorBidi" w:ascii="Arial" w:hAnsi="Arial"/>
      <w:b/>
      <w:bCs/>
      <w:color w:val="E87D0D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00" w:line="276" w:lineRule="auto"/>
      <w:outlineLvl w:val="1"/>
    </w:pPr>
    <w:rPr>
      <w:rFonts w:asciiTheme="majorHAnsi" w:eastAsiaTheme="majorEastAsia" w:hAnsiTheme="majorHAnsi" w:cstheme="majorBidi" w:ascii="Arial" w:hAnsi="Arial"/>
      <w:b/>
      <w:bCs/>
      <w:color w:val="F2A24B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xmlns:w="http://schemas.openxmlformats.org/wordprocessingml/2006/main" w:type="paragraph" w:styleId="9">
    <w:name w:val="toc 1"/>
    <w:basedOn w:val="Normal"/>
    <w:uiPriority w:val="39"/>
    <w:pPr>
      <w:tabs>
        <w:tab w:val="right" w:leader="dot" w:pos="9026"/>
      </w:tabs>
      <w:spacing w:before="120" w:after="60"/>
    </w:pPr>
    <w:rPr>
      <w:b/>
      <w:bCs/>
    </w:rPr>
  </w:style>
  <w:style xmlns:w="http://schemas.openxmlformats.org/wordprocessingml/2006/main" w:type="paragraph" w:styleId="11">
    <w:name w:val="toc 2"/>
    <w:basedOn w:val="Normal"/>
    <w:uiPriority w:val="39"/>
    <w:pPr>
      <w:tabs>
        <w:tab w:val="right" w:leader="dot" w:pos="9026"/>
      </w:tabs>
      <w:ind w:left="360"/>
      <w:spacing w:before="60" w:after="40"/>
    </w:pPr>
  </w:style>
  <w:style xmlns:w="http://schemas.openxmlformats.org/wordprocessingml/2006/main" w:type="paragraph" w:styleId="12">
    <w:name w:val="toc 3"/>
    <w:basedOn w:val="Normal"/>
    <w:uiPriority w:val="39"/>
    <w:pPr>
      <w:tabs>
        <w:tab w:val="right" w:leader="dot" w:pos="9026"/>
      </w:tabs>
      <w:ind w:left="720"/>
      <w:spacing w:before="40" w:after="20"/>
    </w:pPr>
  </w:style>
  <w:style xmlns:w="http://schemas.openxmlformats.org/wordprocessingml/2006/main" w:type="character" w:styleId="Hyperlink">
    <w:name w:val="Hyperlink"/>
    <w:uiPriority w:val="99"/>
    <w:rPr>
      <w:color w:val="0563C1"/>
      <w:u w:val="single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