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V1.8.5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bookmarkStart w:id="100000" w:name="_Toc100000"/>
      <w:r>
        <w:rPr>
          <w:rFonts w:ascii="Century Gothic" w:hAnsi="Century Gothic"/>
          <w:b/>
          <w:color w:val="000000"/>
          <w:sz w:val="30"/>
          <w:spacing w:val="20"/>
        </w:rPr>
        <w:t>CONTENTS</w:t>
      </w:r>
      <w:bookmarkEnd w:id="100000"/>
    </w:p>
    <w:p>
      <w:pPr>
        <w:pStyle w:val="9"/>
        <w:tabs>
          <w:tab w:val="right" w:leader="dot" w:pos="9026"/>
        </w:tabs>
        <w:spacing w:before="120" w:after="60"/>
      </w:pPr>
      <w:r>
        <w:t>1. About STUKACH</w:t>
      </w:r>
      <w:r>
        <w:tab/>
      </w:r>
      <w:r>
        <w:t>3</w:t>
      </w:r>
    </w:p>
    <w:p>
      <w:pPr>
        <w:pStyle w:val="9"/>
        <w:tabs>
          <w:tab w:val="right" w:leader="dot" w:pos="9026"/>
        </w:tabs>
        <w:spacing w:before="120" w:after="60"/>
      </w:pPr>
      <w:r>
        <w:t>2. Installation</w:t>
      </w:r>
      <w:r>
        <w:tab/>
      </w:r>
      <w:r>
        <w:t>4</w:t>
      </w:r>
    </w:p>
    <w:p>
      <w:pPr>
        <w:pStyle w:val="9"/>
        <w:tabs>
          <w:tab w:val="right" w:leader="dot" w:pos="9026"/>
        </w:tabs>
        <w:spacing w:before="120" w:after="60"/>
      </w:pPr>
      <w:r>
        <w:t>3. Quick start (Blender)</w:t>
      </w:r>
      <w:r>
        <w:tab/>
      </w:r>
      <w:r>
        <w:t>5</w:t>
      </w:r>
    </w:p>
    <w:p>
      <w:pPr>
        <w:pStyle w:val="9"/>
        <w:tabs>
          <w:tab w:val="right" w:leader="dot" w:pos="9026"/>
        </w:tabs>
        <w:spacing w:before="120" w:after="60"/>
      </w:pPr>
      <w:r>
        <w:t>4. Blender version interface</w:t>
      </w:r>
      <w:r>
        <w:tab/>
      </w:r>
      <w:r>
        <w:t>5</w:t>
      </w:r>
    </w:p>
    <w:p>
      <w:pPr>
        <w:pStyle w:val="9"/>
        <w:tabs>
          <w:tab w:val="right" w:leader="dot" w:pos="9026"/>
        </w:tabs>
        <w:spacing w:before="120" w:after="60"/>
      </w:pPr>
      <w:r>
        <w:t>5. Checkers (Blender)</w:t>
      </w:r>
      <w:r>
        <w:tab/>
      </w:r>
      <w:r>
        <w:t>8</w:t>
      </w:r>
    </w:p>
    <w:p>
      <w:pPr>
        <w:pStyle w:val="9"/>
        <w:tabs>
          <w:tab w:val="right" w:leader="dot" w:pos="9026"/>
        </w:tabs>
        <w:spacing w:before="120" w:after="60"/>
      </w:pPr>
      <w:r>
        <w:t>6. The hierarchy validator</w:t>
      </w:r>
      <w:r>
        <w:tab/>
      </w:r>
      <w:r>
        <w:t>13</w:t>
      </w:r>
    </w:p>
    <w:p>
      <w:pPr>
        <w:pStyle w:val="9"/>
        <w:tabs>
          <w:tab w:val="right" w:leader="dot" w:pos="9026"/>
        </w:tabs>
        <w:spacing w:before="120" w:after="60"/>
      </w:pPr>
      <w:r>
        <w:t>7. Viewport overlays</w:t>
      </w:r>
      <w:r>
        <w:tab/>
      </w:r>
      <w:r>
        <w:t>15</w:t>
      </w:r>
    </w:p>
    <w:p>
      <w:pPr>
        <w:pStyle w:val="9"/>
        <w:tabs>
          <w:tab w:val="right" w:leader="dot" w:pos="9026"/>
        </w:tabs>
        <w:spacing w:before="120" w:after="60"/>
      </w:pPr>
      <w:r>
        <w:t>8. Modes and tools</w:t>
      </w:r>
      <w:r>
        <w:tab/>
      </w:r>
      <w:r>
        <w:t>15</w:t>
      </w:r>
    </w:p>
    <w:p>
      <w:pPr>
        <w:pStyle w:val="9"/>
        <w:tabs>
          <w:tab w:val="right" w:leader="dot" w:pos="9026"/>
        </w:tabs>
        <w:spacing w:before="120" w:after="60"/>
      </w:pPr>
      <w:r>
        <w:t>9. Preferences</w:t>
      </w:r>
      <w:r>
        <w:tab/>
      </w:r>
      <w:r>
        <w:t>16</w:t>
      </w:r>
    </w:p>
    <w:p>
      <w:pPr>
        <w:pStyle w:val="9"/>
        <w:tabs>
          <w:tab w:val="right" w:leader="dot" w:pos="9026"/>
        </w:tabs>
        <w:spacing w:before="120" w:after="60"/>
      </w:pPr>
      <w:r>
        <w:t>10. How to use</w:t>
      </w:r>
      <w:r>
        <w:tab/>
      </w:r>
      <w:r>
        <w:t>17</w:t>
      </w:r>
    </w:p>
    <w:p>
      <w:pPr>
        <w:pStyle w:val="9"/>
        <w:tabs>
          <w:tab w:val="right" w:leader="dot" w:pos="9026"/>
        </w:tabs>
        <w:spacing w:before="120" w:after="60"/>
      </w:pPr>
      <w:r>
        <w:t>11. The Maya version</w:t>
      </w:r>
      <w:r>
        <w:tab/>
      </w:r>
      <w:r>
        <w:t>18</w:t>
      </w:r>
    </w:p>
    <w:p>
      <w:pPr>
        <w:pStyle w:val="9"/>
        <w:tabs>
          <w:tab w:val="right" w:leader="dot" w:pos="9026"/>
        </w:tabs>
        <w:spacing w:before="120" w:after="60"/>
      </w:pPr>
      <w:r>
        <w:t>12. Troubleshooting</w:t>
      </w:r>
      <w:r>
        <w:tab/>
      </w:r>
      <w:r>
        <w:t>19</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bookmarkStart w:id="100001" w:name="_Toc100001"/>
      <w:r>
        <w:rPr>
          <w:rFonts w:ascii="Century Gothic" w:hAnsi="Century Gothic"/>
          <w:b/>
          <w:color w:val="000000"/>
          <w:sz w:val="30"/>
        </w:rPr>
        <w:t xml:space="preserve">1. </w:t>
      </w:r>
      <w:r>
        <w:rPr>
          <w:rFonts w:ascii="Century Gothic" w:hAnsi="Century Gothic"/>
          <w:b/>
          <w:color w:val="000000"/>
          <w:sz w:val="30"/>
          <w:spacing w:val="20"/>
        </w:rPr>
        <w:t>ABOUT STUKACH</w:t>
      </w:r>
      <w:bookmarkEnd w:id="100001"/>
    </w:p>
    <w:p>
      <w:pPr>
        <w:pStyle w:val="Heading2"/>
      </w:pPr>
      <w:bookmarkStart w:id="100002" w:name="_Toc100002"/>
      <w:r>
        <w:t>1.1 What STUKACH does</w:t>
      </w:r>
      <w:bookmarkEnd w:id="100002"/>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- 10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bookmarkStart w:id="100003" w:name="_Toc100003"/>
      <w:r>
        <w:t>1.2 Philosophy: three severity levels</w:t>
      </w:r>
      <w:bookmarkEnd w:id="100003"/>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bookmarkStart w:id="100004" w:name="_Toc100004"/>
      <w:r>
        <w:t>1.3 Two modes: Artist and Coordinator</w:t>
      </w:r>
      <w:bookmarkEnd w:id="100004"/>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bookmarkStart w:id="100005" w:name="_Toc100005"/>
      <w:r>
        <w:t>1.4 Two versions</w:t>
      </w:r>
      <w:bookmarkEnd w:id="100005"/>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v1.8.5</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4.2+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10-rule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bookmarkStart w:id="100006" w:name="_Toc100006"/>
      <w:r>
        <w:rPr>
          <w:rFonts w:ascii="Century Gothic" w:hAnsi="Century Gothic"/>
          <w:b/>
          <w:color w:val="000000"/>
          <w:sz w:val="30"/>
        </w:rPr>
        <w:t xml:space="preserve">2. </w:t>
      </w:r>
      <w:r>
        <w:rPr>
          <w:rFonts w:ascii="Century Gothic" w:hAnsi="Century Gothic"/>
          <w:b/>
          <w:color w:val="000000"/>
          <w:sz w:val="30"/>
          <w:spacing w:val="20"/>
        </w:rPr>
        <w:t>INSTALLATION</w:t>
      </w:r>
      <w:bookmarkEnd w:id="100006"/>
    </w:p>
    <w:p>
      <w:pPr>
        <w:pStyle w:val="Heading2"/>
      </w:pPr>
      <w:bookmarkStart w:id="100007" w:name="_Toc100007"/>
      <w:r>
        <w:t>2.1 Blender 4.2+</w:t>
      </w:r>
      <w:bookmarkEnd w:id="100007"/>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bookmarkStart w:id="100008" w:name="_Toc100008"/>
      <w:r>
        <w:t>2.2 Maya 2025 (Windows x64)</w:t>
      </w:r>
      <w:bookmarkEnd w:id="100008"/>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bookmarkStart w:id="100009" w:name="_Toc100009"/>
      <w:r>
        <w:rPr>
          <w:rFonts w:ascii="Century Gothic" w:hAnsi="Century Gothic"/>
          <w:b/>
          <w:color w:val="000000"/>
          <w:sz w:val="30"/>
        </w:rPr>
        <w:t xml:space="preserve">3. </w:t>
      </w:r>
      <w:r>
        <w:rPr>
          <w:rFonts w:ascii="Century Gothic" w:hAnsi="Century Gothic"/>
          <w:b/>
          <w:color w:val="000000"/>
          <w:sz w:val="30"/>
          <w:spacing w:val="20"/>
        </w:rPr>
        <w:t>QUICK START (BLENDER)</w:t>
      </w:r>
      <w:bookmarkEnd w:id="100009"/>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bookmarkStart w:id="100010" w:name="_Toc100010"/>
      <w:r>
        <w:rPr>
          <w:rFonts w:ascii="Century Gothic" w:hAnsi="Century Gothic"/>
          <w:b/>
          <w:color w:val="000000"/>
          <w:sz w:val="30"/>
        </w:rPr>
        <w:t xml:space="preserve">4. </w:t>
      </w:r>
      <w:r>
        <w:rPr>
          <w:rFonts w:ascii="Century Gothic" w:hAnsi="Century Gothic"/>
          <w:b/>
          <w:color w:val="000000"/>
          <w:sz w:val="30"/>
          <w:spacing w:val="20"/>
        </w:rPr>
        <w:t>BLENDER VERSION INTERFACE</w:t>
      </w:r>
      <w:bookmarkEnd w:id="100010"/>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bookmarkStart w:id="100011" w:name="_Toc100011"/>
      <w:r>
        <w:t>4.1 Run and modes</w:t>
      </w:r>
      <w:bookmarkEnd w:id="100011"/>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bookmarkStart w:id="100012" w:name="_Toc100012"/>
      <w:r>
        <w:t>4.2 Score and navigation</w:t>
      </w:r>
      <w:bookmarkEnd w:id="10001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bookmarkStart w:id="100013" w:name="_Toc100013"/>
      <w:r>
        <w:t>4.3 Validation scope</w:t>
      </w:r>
      <w:bookmarkEnd w:id="100013"/>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bookmarkStart w:id="100014" w:name="_Toc100014"/>
      <w:r>
        <w:t>4.4 The Pipeline Checks block</w:t>
      </w:r>
      <w:bookmarkEnd w:id="100014"/>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bookmarkStart w:id="100015" w:name="_Toc100015"/>
      <w:r>
        <w:t>4.5 The hierarchy block</w:t>
      </w:r>
      <w:bookmarkEnd w:id="100015"/>
    </w:p>
    <w:p>
      <w:r>
        <w:rPr>
          <w:rFonts w:ascii="Arial" w:hAnsi="Arial"/>
          <w:i w:val="0"/>
          <w:color w:val="1A1A1A"/>
          <w:sz w:val="19"/>
        </w:rPr>
        <w:t>Sits right after the NAMING category. Scan runs the scene structure check against pipeline conventions (see section 6): asset roots, functional layers, partitions, group suffixes. One display mode - problems only, grouped by asset root: a section per root, rule rows inside ("Missing group suffix ×5") with name samples, expanding to objects; the Fix button sits on the rule row. A clean root is a single line with a checkmark. Skeleton - the asset skeleton generator, a button in the block header. A collapsed block shows its status in the header row (Clean / 3E · 2W / Stale). In Live mode the scan reruns itself whenever the scene structure changes (the main scenario - accepting an asset after an FBX import).</w:t>
      </w:r>
    </w:p>
    <w:p>
      <w:pPr>
        <w:pStyle w:val="Heading2"/>
      </w:pPr>
      <w:bookmarkStart w:id="100016" w:name="_Toc100016"/>
      <w:r>
        <w:t>4.6 The Objects list</w:t>
      </w:r>
      <w:bookmarkEnd w:id="100016"/>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bookmarkStart w:id="100017" w:name="_Toc100017"/>
      <w:r>
        <w:t>4.7 Asset Status and export</w:t>
      </w:r>
      <w:bookmarkEnd w:id="100017"/>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bookmarkStart w:id="100018" w:name="_Toc100018"/>
      <w:r>
        <w:t>4.8 The Coordinator panel</w:t>
      </w:r>
      <w:bookmarkEnd w:id="100018"/>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bookmarkStart w:id="100019" w:name="_Toc100019"/>
      <w:r>
        <w:rPr>
          <w:rFonts w:ascii="Century Gothic" w:hAnsi="Century Gothic"/>
          <w:b/>
          <w:color w:val="000000"/>
          <w:sz w:val="30"/>
        </w:rPr>
        <w:t xml:space="preserve">5. </w:t>
      </w:r>
      <w:r>
        <w:rPr>
          <w:rFonts w:ascii="Century Gothic" w:hAnsi="Century Gothic"/>
          <w:b/>
          <w:color w:val="000000"/>
          <w:sz w:val="30"/>
          <w:spacing w:val="20"/>
        </w:rPr>
        <w:t>CHECKERS (BLENDER)</w:t>
      </w:r>
      <w:bookmarkEnd w:id="100019"/>
    </w:p>
    <w:p>
      <w:r>
        <w:rPr>
          <w:rFonts w:ascii="Arial" w:hAnsi="Arial"/>
          <w:i w:val="0"/>
          <w:color w:val="1A1A1A"/>
          <w:sz w:val="19"/>
        </w:rPr>
        <w:t>42 checks in 7 categories + Scene Units. The set and severity match the v1.8.5 code; thresholds of some checks are configurable in Preferences (the UV tab, the Checks tab - the Hard Edges chamfer width). Update checking is described in section 9.1.</w:t>
      </w:r>
    </w:p>
    <w:p>
      <w:pPr>
        <w:pStyle w:val="Heading2"/>
      </w:pPr>
      <w:bookmarkStart w:id="100020" w:name="_Toc100020"/>
      <w:r>
        <w:t>5.1 Scene Units (scene)</w:t>
      </w:r>
      <w:bookmarkEnd w:id="100020"/>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bookmarkStart w:id="100021" w:name="_Toc100021"/>
      <w:r>
        <w:t>5.2 TOPOLOGY (14)</w:t>
      </w:r>
      <w:bookmarkEnd w:id="100021"/>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Not allowed in the pipeline: they triangulate unpredictably in the renderer. One-click fix: triangulation</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Smooth-shaded edges (dihedral angle of 30 degrees or more) between substantial faces,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 Skipped: custom-normal meshes, chamfer strips (threshold in Preferences - Checks), flat-shaded pairs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bookmarkStart w:id="100022" w:name="_Toc100022"/>
      <w:r>
        <w:t>5.3 TRANSFORMS (6)</w:t>
      </w:r>
      <w:bookmarkEnd w:id="100022"/>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bookmarkStart w:id="100023" w:name="_Toc100023"/>
      <w:r>
        <w:t>5.4 SYMMETRY (3)</w:t>
      </w:r>
      <w:bookmarkEnd w:id="100023"/>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bookmarkStart w:id="100024" w:name="_Toc100024"/>
      <w:r>
        <w:t>5.5 UV (9)</w:t>
      </w:r>
      <w:bookmarkEnd w:id="100024"/>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bookmarkStart w:id="100025" w:name="_Toc100025"/>
      <w:r>
        <w:t>5.6 NAMING (6)</w:t>
      </w:r>
      <w:bookmarkEnd w:id="100025"/>
    </w:p>
    <w:p>
      <w:r>
        <w:rPr>
          <w:rFonts w:ascii="Arial" w:hAnsi="Arial"/>
          <w:i w:val="0"/>
          <w:color w:val="1A1A1A"/>
          <w:sz w:val="19"/>
        </w:rPr>
        <w:t>Naming is validated by the contract - a single name shape assembled from the policy: [prefix] core [position] [_a] [_01] suffix. Slots are configured in Preferences - Naming (prefixes, suffixes, positions; see section 9); the variant is a single a-z letter, the number is two digits. The expected pattern is shown right in the Naming block; a mismatch produces a single finding quoting it. Hygiene stays separate: ASCII, lowercase, no .001, no default DCC names, no duplicates. The scene audit runs together with Validate; findings live in the Naming block and object cards do not repeat them. The checkboxes collapse into three group toggles: Object Naming / Mesh Data / Materials.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Cyrillic and any non-ASCII characters, name-contract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matching neither the object name nor one of the suffixes (_mesh / _geo / _grp)</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bookmarkStart w:id="100026" w:name="_Toc100026"/>
      <w:r>
        <w:t>5.7 MATERIALS (3)</w:t>
      </w:r>
      <w:bookmarkEnd w:id="100026"/>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bookmarkStart w:id="100027" w:name="_Toc100027"/>
      <w:r>
        <w:t>5.8 CLEANUP (1)</w:t>
      </w:r>
      <w:bookmarkEnd w:id="100027"/>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bookmarkStart w:id="100028" w:name="_Toc100028"/>
      <w:r>
        <w:rPr>
          <w:rFonts w:ascii="Century Gothic" w:hAnsi="Century Gothic"/>
          <w:b/>
          <w:color w:val="000000"/>
          <w:sz w:val="30"/>
        </w:rPr>
        <w:t xml:space="preserve">6. </w:t>
      </w:r>
      <w:r>
        <w:rPr>
          <w:rFonts w:ascii="Century Gothic" w:hAnsi="Century Gothic"/>
          <w:b/>
          <w:color w:val="000000"/>
          <w:sz w:val="30"/>
          <w:spacing w:val="20"/>
        </w:rPr>
        <w:t>THE HIERARCHY VALIDATOR</w:t>
      </w:r>
      <w:bookmarkEnd w:id="100028"/>
    </w:p>
    <w:p>
      <w:pPr>
        <w:pStyle w:val="Heading2"/>
      </w:pPr>
      <w:bookmarkStart w:id="100029" w:name="_Toc100029"/>
      <w:r>
        <w:t>6.1 Asset structure conventions</w:t>
      </w:r>
      <w:bookmarkEnd w:id="100029"/>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the root group name equals the asset name (taken from the .blend filename);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object naming (case, characters, .001, default DCC names) is the NAMING category's job (§5.6) - the hierarchy does not duplicate it; lights and cameras are not part of the asset structure and are not validated; a static asset may be grouped right at the root.</w:t>
      </w:r>
    </w:p>
    <w:p>
      <w:pPr>
        <w:pStyle w:val="Heading2"/>
      </w:pPr>
      <w:bookmarkStart w:id="100030" w:name="_Toc100030"/>
      <w:r>
        <w:t>6.2 Rules (10)</w:t>
      </w:r>
      <w:bookmarkEnd w:id="10003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Root name ≠ asset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The scene has a single root, but its name does not equal the asset name (from the .blend filename) - one of them was renamed</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name (without the _geo suffix) matching none of the legal forms of its group: &lt;base&gt;, &lt;base&gt;_NN (two digits), &lt;base&gt;_a (a single letter), &lt;base&gt;_a_NN, the _l / _r symmetry</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bookmarkStart w:id="100031" w:name="_Toc100031"/>
      <w:r>
        <w:t>6.3 Scanning</w:t>
      </w:r>
      <w:bookmarkEnd w:id="100031"/>
    </w:p>
    <w:p>
      <w:pPr>
        <w:pStyle w:val="ListBullet"/>
      </w:pPr>
      <w:r>
        <w:rPr>
          <w:rFonts w:ascii="Arial" w:hAnsi="Arial"/>
          <w:i w:val="0"/>
          <w:color w:val="1A1A1A"/>
          <w:sz w:val="19"/>
        </w:rPr>
        <w:t>Scan (in the block header; an icon-only re-scan once a result exists). The result is sections per asset root with their own E/W counters; a clean root is a single line with a checkmark. Inside a root the findings collapse into rule rows (×N + name samples) that expand to objects (up to 10 rows). Orphans get their own "Not connected to any root" section; scene-level findings (no/multiple roots) sit on top of the list.</w:t>
      </w:r>
    </w:p>
    <w:p>
      <w:pPr>
        <w:pStyle w:val="ListBullet"/>
      </w:pPr>
      <w:r>
        <w:rPr>
          <w:rFonts w:ascii="Arial" w:hAnsi="Arial"/>
          <w:i w:val="0"/>
          <w:color w:val="1A1A1A"/>
          <w:sz w:val="19"/>
        </w:rPr>
        <w:t>Live auto-scan: with Live enabled the scan reruns itself after structure changes (an FBX import, reparenting, renames). "Stale - re-scan" in the header means the result is outdated.</w:t>
      </w:r>
    </w:p>
    <w:p>
      <w:pPr>
        <w:pStyle w:val="ListBullet"/>
      </w:pPr>
      <w:r>
        <w:rPr>
          <w:rFonts w:ascii="Arial" w:hAnsi="Arial"/>
          <w:i w:val="0"/>
          <w:color w:val="1A1A1A"/>
          <w:sz w:val="19"/>
        </w:rPr>
        <w:t>An X on a finding - ignore the rule on that node; "N ignored - clear" in the status resets the ignores. Ignores are respected by the panel, the asset status, the reports and Next Issue.</w:t>
      </w:r>
    </w:p>
    <w:p>
      <w:pPr>
        <w:pStyle w:val="Heading2"/>
      </w:pPr>
      <w:bookmarkStart w:id="100032" w:name="_Toc100032"/>
      <w:r>
        <w:t>6.4 Fixes</w:t>
      </w:r>
      <w:bookmarkEnd w:id="100032"/>
    </w:p>
    <w:p>
      <w:r>
        <w:rPr>
          <w:rFonts w:ascii="Arial" w:hAnsi="Arial"/>
          <w:i w:val="0"/>
          <w:color w:val="1A1A1A"/>
          <w:sz w:val="19"/>
        </w:rPr>
        <w:t>The Fix button sits on the rule row - visible only where there is something to fix:</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04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WHERE</w:t>
            </w:r>
          </w:p>
        </w:tc>
        <w:tc>
          <w:tcPr>
            <w:tcW w:type="dxa" w:w="5386"/>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04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3061"/>
            <w:vAlign w:val="top"/>
            <w:tcBorders>
              <w:bottom w:val="single" w:sz="4" w:space="4" w:color="E0E0E0"/>
            </w:tcBorders>
          </w:tcPr>
          <w:p>
            <w:pPr>
              <w:keepNext/>
              <w:spacing w:before="40" w:after="40" w:line="264" w:lineRule="auto"/>
            </w:pPr>
            <w:r>
              <w:rPr>
                <w:rFonts w:ascii="Arial" w:hAnsi="Arial"/>
                <w:b w:val="0"/>
                <w:color w:val="1A1A1A"/>
                <w:sz w:val="18"/>
              </w:rPr>
              <w:t>Missing group suffix row</w:t>
            </w:r>
          </w:p>
        </w:tc>
        <w:tc>
          <w:tcPr>
            <w:tcW w:type="dxa" w:w="5386"/>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041"/>
            <w:vAlign w:val="top"/>
            <w:tcBorders>
              <w:bottom w:val="single" w:sz="4" w:space="4" w:color="E0E0E0"/>
            </w:tcBorders>
          </w:tcPr>
          <w:p>
            <w:pPr>
              <w:keepNext/>
              <w:spacing w:before="40" w:after="40" w:line="264" w:lineRule="auto"/>
            </w:pPr>
            <w:r>
              <w:rPr>
                <w:rFonts w:ascii="Arial" w:hAnsi="Arial"/>
                <w:b/>
                <w:color w:val="1A1A1A"/>
                <w:sz w:val="18"/>
              </w:rPr>
              <w:t>Fix (Renumber)</w:t>
            </w:r>
          </w:p>
        </w:tc>
        <w:tc>
          <w:tcPr>
            <w:tcW w:type="dxa" w:w="3061"/>
            <w:vAlign w:val="top"/>
            <w:tcBorders>
              <w:bottom w:val="single" w:sz="4" w:space="4" w:color="E0E0E0"/>
            </w:tcBorders>
          </w:tcPr>
          <w:p>
            <w:pPr>
              <w:keepNext/>
              <w:spacing w:before="40" w:after="40" w:line="264" w:lineRule="auto"/>
            </w:pPr>
            <w:r>
              <w:rPr>
                <w:rFonts w:ascii="Arial" w:hAnsi="Arial"/>
                <w:b w:val="0"/>
                <w:color w:val="1A1A1A"/>
                <w:sz w:val="18"/>
              </w:rPr>
              <w:t>Name mismatch in group row</w:t>
            </w:r>
          </w:p>
        </w:tc>
        <w:tc>
          <w:tcPr>
            <w:tcW w:type="dxa" w:w="5386"/>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keeping the mesh suffix (_geo). Legal names (window_a_01, wing_front_l) are untouched; the rename is two-pass - collision-free</w:t>
            </w:r>
          </w:p>
        </w:tc>
      </w:tr>
      <w:tr>
        <w:trPr>
          <w:cantSplit/>
        </w:trPr>
        <w:tc>
          <w:tcPr>
            <w:tcW w:type="dxa" w:w="204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3061"/>
            <w:vAlign w:val="top"/>
            <w:tcBorders>
              <w:bottom w:val="single" w:sz="4" w:space="4" w:color="E0E0E0"/>
            </w:tcBorders>
          </w:tcPr>
          <w:p>
            <w:pPr>
              <w:keepNext/>
              <w:spacing w:before="40" w:after="40" w:line="264" w:lineRule="auto"/>
            </w:pPr>
            <w:r>
              <w:rPr>
                <w:rFonts w:ascii="Arial" w:hAnsi="Arial"/>
                <w:b w:val="0"/>
                <w:color w:val="1A1A1A"/>
                <w:sz w:val="18"/>
              </w:rPr>
              <w:t>No asset root row</w:t>
            </w:r>
          </w:p>
        </w:tc>
        <w:tc>
          <w:tcPr>
            <w:tcW w:type="dxa" w:w="5386"/>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041"/>
            <w:vAlign w:val="top"/>
            <w:tcBorders>
              <w:bottom w:val="single" w:sz="4" w:space="4" w:color="E0E0E0"/>
            </w:tcBorders>
          </w:tcPr>
          <w:p>
            <w:pPr>
              <w:keepNext/>
              <w:spacing w:before="40" w:after="40" w:line="264" w:lineRule="auto"/>
            </w:pPr>
            <w:r>
              <w:rPr>
                <w:rFonts w:ascii="Arial" w:hAnsi="Arial"/>
                <w:b/>
                <w:color w:val="1A1A1A"/>
                <w:sz w:val="18"/>
              </w:rPr>
              <w:t>Connect</w:t>
            </w:r>
          </w:p>
        </w:tc>
        <w:tc>
          <w:tcPr>
            <w:tcW w:type="dxa" w:w="3061"/>
            <w:vAlign w:val="top"/>
            <w:tcBorders>
              <w:bottom w:val="single" w:sz="4" w:space="4" w:color="E0E0E0"/>
            </w:tcBorders>
          </w:tcPr>
          <w:p>
            <w:pPr>
              <w:keepNext/>
              <w:spacing w:before="40" w:after="40" w:line="264" w:lineRule="auto"/>
            </w:pPr>
            <w:r>
              <w:rPr>
                <w:rFonts w:ascii="Arial" w:hAnsi="Arial"/>
                <w:b w:val="0"/>
                <w:color w:val="1A1A1A"/>
                <w:sz w:val="18"/>
              </w:rPr>
              <w:t>the orphans section</w:t>
            </w:r>
          </w:p>
        </w:tc>
        <w:tc>
          <w:tcPr>
            <w:tcW w:type="dxa" w:w="5386"/>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041"/>
            <w:vAlign w:val="top"/>
            <w:tcBorders>
              <w:bottom w:val="single" w:sz="8" w:space="4" w:color="000000"/>
            </w:tcBorders>
          </w:tcPr>
          <w:p>
            <w:pPr>
              <w:spacing w:before="40" w:after="40" w:line="264" w:lineRule="auto"/>
            </w:pPr>
            <w:r>
              <w:rPr>
                <w:rFonts w:ascii="Arial" w:hAnsi="Arial"/>
                <w:b/>
                <w:color w:val="1A1A1A"/>
                <w:sz w:val="18"/>
              </w:rPr>
              <w:t>Skeleton</w:t>
            </w:r>
          </w:p>
        </w:tc>
        <w:tc>
          <w:tcPr>
            <w:tcW w:type="dxa" w:w="3061"/>
            <w:vAlign w:val="top"/>
            <w:tcBorders>
              <w:bottom w:val="single" w:sz="8" w:space="4" w:color="000000"/>
            </w:tcBorders>
          </w:tcPr>
          <w:p>
            <w:pPr>
              <w:spacing w:before="40" w:after="40" w:line="264" w:lineRule="auto"/>
            </w:pPr>
            <w:r>
              <w:rPr>
                <w:rFonts w:ascii="Arial" w:hAnsi="Arial"/>
                <w:b w:val="0"/>
                <w:color w:val="1A1A1A"/>
                <w:sz w:val="18"/>
              </w:rPr>
              <w:t>the block header</w:t>
            </w:r>
          </w:p>
        </w:tc>
        <w:tc>
          <w:tcPr>
            <w:tcW w:type="dxa" w:w="5386"/>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 In Coordinator Mode with Coordinator Lock the fixes and Skeleton are hidden - the coordinator only validates.</w:t>
      </w:r>
    </w:p>
    <w:p>
      <w:pPr>
        <w:pStyle w:val="Heading2"/>
      </w:pPr>
      <w:bookmarkStart w:id="100033" w:name="_Toc100033"/>
      <w:r>
        <w:t>6.5 The coordinator gate</w:t>
      </w:r>
      <w:bookmarkEnd w:id="100033"/>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bookmarkStart w:id="100034" w:name="_Toc100034"/>
      <w:r>
        <w:rPr>
          <w:rFonts w:ascii="Century Gothic" w:hAnsi="Century Gothic"/>
          <w:b/>
          <w:color w:val="000000"/>
          <w:sz w:val="30"/>
        </w:rPr>
        <w:t xml:space="preserve">7. </w:t>
      </w:r>
      <w:r>
        <w:rPr>
          <w:rFonts w:ascii="Century Gothic" w:hAnsi="Century Gothic"/>
          <w:b/>
          <w:color w:val="000000"/>
          <w:sz w:val="30"/>
          <w:spacing w:val="20"/>
        </w:rPr>
        <w:t>VIEWPORT OVERLAYS</w:t>
      </w:r>
      <w:bookmarkEnd w:id="100034"/>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bookmarkStart w:id="100035" w:name="_Toc100035"/>
      <w:r>
        <w:rPr>
          <w:rFonts w:ascii="Century Gothic" w:hAnsi="Century Gothic"/>
          <w:b/>
          <w:color w:val="000000"/>
          <w:sz w:val="30"/>
        </w:rPr>
        <w:t xml:space="preserve">8. </w:t>
      </w:r>
      <w:r>
        <w:rPr>
          <w:rFonts w:ascii="Century Gothic" w:hAnsi="Century Gothic"/>
          <w:b/>
          <w:color w:val="000000"/>
          <w:sz w:val="30"/>
          <w:spacing w:val="20"/>
        </w:rPr>
        <w:t>MODES AND TOOLS</w:t>
      </w:r>
      <w:bookmarkEnd w:id="100035"/>
    </w:p>
    <w:p>
      <w:pPr>
        <w:pStyle w:val="Heading2"/>
      </w:pPr>
      <w:bookmarkStart w:id="100036" w:name="_Toc100036"/>
      <w:r>
        <w:t>8.1 Live</w:t>
      </w:r>
      <w:bookmarkEnd w:id="100036"/>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bookmarkStart w:id="100037" w:name="_Toc100037"/>
      <w:r>
        <w:t>8.2 Presets</w:t>
      </w:r>
      <w:bookmarkEnd w:id="100037"/>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bookmarkStart w:id="100038" w:name="_Toc100038"/>
      <w:r>
        <w:t>8.3 Reports</w:t>
      </w:r>
      <w:bookmarkEnd w:id="100038"/>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bookmarkStart w:id="100039" w:name="_Toc100039"/>
      <w:r>
        <w:t>8.4 Fixes</w:t>
      </w:r>
      <w:bookmarkEnd w:id="100039"/>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bookmarkStart w:id="100040" w:name="_Toc100040"/>
      <w:r>
        <w:t>8.5 Checkpoint</w:t>
      </w:r>
      <w:bookmarkEnd w:id="100040"/>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bookmarkStart w:id="100041" w:name="_Toc100041"/>
      <w:r>
        <w:t>8.6 Pre-flight</w:t>
      </w:r>
      <w:bookmarkEnd w:id="100041"/>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bookmarkStart w:id="100042" w:name="_Toc100042"/>
      <w:r>
        <w:t>8.7 Logs and diagnostics</w:t>
      </w:r>
      <w:bookmarkEnd w:id="100042"/>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bookmarkStart w:id="100043" w:name="_Toc100043"/>
      <w:r>
        <w:rPr>
          <w:rFonts w:ascii="Century Gothic" w:hAnsi="Century Gothic"/>
          <w:b/>
          <w:color w:val="000000"/>
          <w:sz w:val="30"/>
        </w:rPr>
        <w:t xml:space="preserve">9. </w:t>
      </w:r>
      <w:r>
        <w:rPr>
          <w:rFonts w:ascii="Century Gothic" w:hAnsi="Century Gothic"/>
          <w:b/>
          <w:color w:val="000000"/>
          <w:sz w:val="30"/>
          <w:spacing w:val="20"/>
        </w:rPr>
        <w:t>PREFERENCES</w:t>
      </w:r>
      <w:bookmarkEnd w:id="100043"/>
    </w:p>
    <w:p>
      <w:r>
        <w:rPr>
          <w:rFonts w:ascii="Arial" w:hAnsi="Arial"/>
          <w:i w:val="0"/>
          <w:color w:val="1A1A1A"/>
          <w:sz w:val="19"/>
        </w:rPr>
        <w:t>Preferences - Add-ons - STUKACH. Tabs: Interface, Overlay, UV, Naming, Checks,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Contract Positions: extra position tokens (extending the 8 built-ins _l/_r/_front/_back/_top/_bottom/_left/_right); Mesh Data: the datablock suffix list (_mesh, _geo, _grp by default; the first entry is the Fix button's target); Hierarchy: the group suffix (_grp) and the functional whitelist (extends the 24 built-in layers). The panel itself has no naming fields - configuration lives here and in presets only.</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Hard Edges: the chamfer width threshold. An edge hugging a strip thinner than this percentage of the object size is a chamfer and is not flagged.</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2"/>
      </w:pPr>
      <w:bookmarkStart w:id="100044" w:name="_Toc100044"/>
      <w:r>
        <w:t>9.1 Updates</w:t>
      </w:r>
      <w:bookmarkEnd w:id="100044"/>
    </w:p>
    <w:p>
      <w:r>
        <w:rPr>
          <w:rFonts w:ascii="Arial" w:hAnsi="Arial"/>
          <w:i w:val="0"/>
          <w:color w:val="1A1A1A"/>
          <w:sz w:val="19"/>
        </w:rPr>
        <w:t>The Updates block: the Check for updates button compares the installed version with the latest GitHub release (one anonymous request, the UI never blocks).</w:t>
      </w:r>
    </w:p>
    <w:p>
      <w:pPr>
        <w:pStyle w:val="ListBullet"/>
      </w:pPr>
      <w:r>
        <w:rPr>
          <w:rFonts w:ascii="Arial" w:hAnsi="Arial"/>
          <w:i w:val="0"/>
          <w:color w:val="1A1A1A"/>
          <w:sz w:val="19"/>
        </w:rPr>
        <w:t>The Check for updates daily toggle (on by default) - a silent auto-check once a day; when there is nothing new, nothing appears anywhere.</w:t>
      </w:r>
    </w:p>
    <w:p>
      <w:pPr>
        <w:pStyle w:val="ListBullet"/>
      </w:pPr>
      <w:r>
        <w:rPr>
          <w:rFonts w:ascii="Arial" w:hAnsi="Arial"/>
          <w:i w:val="0"/>
          <w:color w:val="1A1A1A"/>
          <w:sz w:val="19"/>
        </w:rPr>
        <w:t>When an update exists: the Update available: X.Y.Z line in the Preferences becomes a link to the release page, and a badge appears at the top of the STUKACH panel.</w:t>
      </w:r>
    </w:p>
    <w:p>
      <w:pPr>
        <w:pStyle w:val="ListBullet"/>
      </w:pPr>
      <w:r>
        <w:rPr>
          <w:rFonts w:ascii="Arial" w:hAnsi="Arial"/>
          <w:i w:val="0"/>
          <w:color w:val="1A1A1A"/>
          <w:sz w:val="19"/>
        </w:rPr>
        <w:t>Install the update the usual way: download the zip from the release page and install it via Install from Disk (section 2); the badge goes away afterwards.</w:t>
      </w:r>
    </w:p>
    <w:p>
      <w:pPr>
        <w:pStyle w:val="Heading1"/>
        <w:pBdr>
          <w:left w:val="single" w:sz="24" w:space="8" w:color="C82823"/>
        </w:pBdr>
      </w:pPr>
      <w:bookmarkStart w:id="100045" w:name="_Toc100045"/>
      <w:r>
        <w:rPr>
          <w:rFonts w:ascii="Century Gothic" w:hAnsi="Century Gothic"/>
          <w:b/>
          <w:color w:val="000000"/>
          <w:sz w:val="30"/>
        </w:rPr>
        <w:t xml:space="preserve">10. </w:t>
      </w:r>
      <w:r>
        <w:rPr>
          <w:rFonts w:ascii="Century Gothic" w:hAnsi="Century Gothic"/>
          <w:b/>
          <w:color w:val="000000"/>
          <w:sz w:val="30"/>
          <w:spacing w:val="20"/>
        </w:rPr>
        <w:t>HOW TO USE</w:t>
      </w:r>
      <w:bookmarkEnd w:id="100045"/>
    </w:p>
    <w:p>
      <w:pPr>
        <w:pStyle w:val="Heading2"/>
      </w:pPr>
      <w:bookmarkStart w:id="100046" w:name="_Toc100046"/>
      <w:r>
        <w:t>10.1 For the artist</w:t>
      </w:r>
      <w:bookmarkEnd w:id="100046"/>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bookmarkStart w:id="100047" w:name="_Toc100047"/>
      <w:r>
        <w:t>10.2 For the coordinator</w:t>
      </w:r>
      <w:bookmarkEnd w:id="100047"/>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bookmarkStart w:id="100048" w:name="_Toc100048"/>
      <w:r>
        <w:rPr>
          <w:rFonts w:ascii="Century Gothic" w:hAnsi="Century Gothic"/>
          <w:b/>
          <w:color w:val="000000"/>
          <w:sz w:val="30"/>
        </w:rPr>
        <w:t xml:space="preserve">11. </w:t>
      </w:r>
      <w:r>
        <w:rPr>
          <w:rFonts w:ascii="Century Gothic" w:hAnsi="Century Gothic"/>
          <w:b/>
          <w:color w:val="000000"/>
          <w:sz w:val="30"/>
          <w:spacing w:val="20"/>
        </w:rPr>
        <w:t>THE MAYA VERSION</w:t>
      </w:r>
      <w:bookmarkEnd w:id="100048"/>
    </w:p>
    <w:p>
      <w:pPr>
        <w:pStyle w:val="Heading2"/>
      </w:pPr>
      <w:bookmarkStart w:id="100049" w:name="_Toc100049"/>
      <w:r>
        <w:t>11.1 The panel</w:t>
      </w:r>
      <w:bookmarkEnd w:id="100049"/>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bookmarkStart w:id="100050" w:name="_Toc100050"/>
      <w:r>
        <w:t>11.2 Checks: 43 + two scene checks</w:t>
      </w:r>
      <w:bookmarkEnd w:id="10005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bookmarkStart w:id="100051" w:name="_Toc100051"/>
      <w:r>
        <w:t>11.3 Speed: the snapshot and progressive validation</w:t>
      </w:r>
      <w:bookmarkEnd w:id="100051"/>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bookmarkStart w:id="100052" w:name="_Toc100052"/>
      <w:r>
        <w:t>11.4 The overlay</w:t>
      </w:r>
      <w:bookmarkEnd w:id="100052"/>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bookmarkStart w:id="100053" w:name="_Toc100053"/>
      <w:r>
        <w:t>11.5 Locator hierarchy</w:t>
      </w:r>
      <w:bookmarkEnd w:id="100053"/>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bookmarkStart w:id="100054" w:name="_Toc100054"/>
      <w:r>
        <w:t>11.6 Maya version notes</w:t>
      </w:r>
      <w:bookmarkEnd w:id="100054"/>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bookmarkStart w:id="100055" w:name="_Toc100055"/>
      <w:r>
        <w:rPr>
          <w:rFonts w:ascii="Century Gothic" w:hAnsi="Century Gothic"/>
          <w:b/>
          <w:color w:val="000000"/>
          <w:sz w:val="30"/>
        </w:rPr>
        <w:t xml:space="preserve">12. </w:t>
      </w:r>
      <w:r>
        <w:rPr>
          <w:rFonts w:ascii="Century Gothic" w:hAnsi="Century Gothic"/>
          <w:b/>
          <w:color w:val="000000"/>
          <w:sz w:val="30"/>
          <w:spacing w:val="20"/>
        </w:rPr>
        <w:t>TROUBLESHOOTING</w:t>
      </w:r>
      <w:bookmarkEnd w:id="100055"/>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(v1.7.5):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