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73024" w14:textId="77777777" w:rsidR="003337E4" w:rsidRPr="003337E4" w:rsidRDefault="003337E4" w:rsidP="003337E4">
      <w:pPr>
        <w:widowControl/>
        <w:spacing w:line="340" w:lineRule="exact"/>
        <w:ind w:firstLineChars="0" w:firstLine="0"/>
        <w:jc w:val="left"/>
        <w:rPr>
          <w:rFonts w:ascii="宋体" w:hAnsi="宋体"/>
          <w:b/>
          <w:bCs/>
          <w:kern w:val="0"/>
          <w:u w:val="single"/>
        </w:rPr>
      </w:pPr>
      <w:r w:rsidRPr="003337E4">
        <w:rPr>
          <w:rFonts w:ascii="宋体" w:hAnsi="宋体" w:hint="eastAsia"/>
          <w:b/>
          <w:bCs/>
          <w:kern w:val="0"/>
        </w:rPr>
        <w:t>学校编码：</w:t>
      </w:r>
      <w:r w:rsidRPr="003337E4">
        <w:rPr>
          <w:rFonts w:ascii="宋体" w:hAnsi="宋体"/>
          <w:b/>
          <w:bCs/>
          <w:kern w:val="0"/>
        </w:rPr>
        <w:t>10384</w:t>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hint="eastAsia"/>
          <w:b/>
          <w:bCs/>
          <w:kern w:val="0"/>
        </w:rPr>
        <w:t>分类号</w:t>
      </w:r>
      <w:r w:rsidRPr="003337E4">
        <w:rPr>
          <w:rFonts w:ascii="宋体" w:hAnsi="宋体"/>
          <w:b/>
          <w:bCs/>
          <w:kern w:val="0"/>
          <w:u w:val="single"/>
        </w:rPr>
        <w:t xml:space="preserve">    </w:t>
      </w:r>
      <w:r w:rsidRPr="003337E4">
        <w:rPr>
          <w:rFonts w:ascii="宋体" w:hAnsi="宋体" w:hint="eastAsia"/>
          <w:b/>
          <w:bCs/>
          <w:kern w:val="0"/>
          <w:u w:val="single"/>
        </w:rPr>
        <w:t xml:space="preserve"> </w:t>
      </w:r>
      <w:r w:rsidRPr="003337E4">
        <w:rPr>
          <w:rFonts w:ascii="宋体" w:hAnsi="宋体" w:hint="eastAsia"/>
          <w:b/>
          <w:bCs/>
          <w:kern w:val="0"/>
        </w:rPr>
        <w:t>密级</w:t>
      </w:r>
      <w:r w:rsidRPr="003337E4">
        <w:rPr>
          <w:rFonts w:ascii="宋体" w:hAnsi="宋体"/>
          <w:b/>
          <w:bCs/>
          <w:kern w:val="0"/>
          <w:u w:val="single"/>
        </w:rPr>
        <w:t xml:space="preserve">     </w:t>
      </w:r>
    </w:p>
    <w:p w14:paraId="1E4EB357" w14:textId="77777777" w:rsidR="003337E4" w:rsidRPr="003337E4" w:rsidRDefault="003337E4" w:rsidP="003337E4">
      <w:pPr>
        <w:widowControl/>
        <w:spacing w:line="340" w:lineRule="exact"/>
        <w:ind w:firstLineChars="0" w:firstLine="0"/>
        <w:jc w:val="left"/>
        <w:rPr>
          <w:rFonts w:ascii="宋体" w:hAnsi="宋体"/>
          <w:b/>
          <w:bCs/>
          <w:kern w:val="0"/>
          <w:u w:val="single"/>
        </w:rPr>
      </w:pPr>
      <w:r w:rsidRPr="003337E4">
        <w:rPr>
          <w:rFonts w:ascii="宋体" w:hAnsi="宋体" w:hint="eastAsia"/>
          <w:b/>
          <w:bCs/>
          <w:kern w:val="0"/>
        </w:rPr>
        <w:t>学号：</w:t>
      </w:r>
      <w:r w:rsidRPr="003337E4">
        <w:rPr>
          <w:rFonts w:ascii="宋体" w:hAnsi="宋体"/>
          <w:b/>
          <w:bCs/>
          <w:kern w:val="0"/>
        </w:rPr>
        <w:t>32120151151399</w:t>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Pr="003337E4">
        <w:rPr>
          <w:rFonts w:ascii="宋体" w:hAnsi="宋体"/>
          <w:b/>
          <w:bCs/>
          <w:kern w:val="0"/>
        </w:rPr>
        <w:tab/>
      </w:r>
      <w:r w:rsidR="00C26E1B" w:rsidRPr="003337E4">
        <w:rPr>
          <w:rFonts w:ascii="宋体" w:hAnsi="宋体"/>
          <w:b/>
          <w:bCs/>
          <w:kern w:val="0"/>
        </w:rPr>
        <w:tab/>
        <w:t xml:space="preserve"> </w:t>
      </w:r>
      <w:r w:rsidR="00C26E1B">
        <w:rPr>
          <w:rFonts w:ascii="宋体" w:hAnsi="宋体"/>
          <w:b/>
          <w:bCs/>
          <w:kern w:val="0"/>
        </w:rPr>
        <w:t xml:space="preserve"> </w:t>
      </w:r>
      <w:r w:rsidR="00C26E1B" w:rsidRPr="003337E4">
        <w:rPr>
          <w:rFonts w:ascii="宋体" w:hAnsi="宋体"/>
          <w:b/>
          <w:bCs/>
          <w:kern w:val="0"/>
        </w:rPr>
        <w:t>UDC</w:t>
      </w:r>
      <w:r w:rsidRPr="003337E4">
        <w:rPr>
          <w:rFonts w:ascii="宋体" w:hAnsi="宋体"/>
          <w:b/>
          <w:bCs/>
          <w:kern w:val="0"/>
          <w:u w:val="single"/>
        </w:rPr>
        <w:t xml:space="preserve"> </w:t>
      </w:r>
      <w:r w:rsidRPr="003337E4">
        <w:rPr>
          <w:rFonts w:ascii="宋体" w:hAnsi="宋体" w:hint="eastAsia"/>
          <w:b/>
          <w:bCs/>
          <w:kern w:val="0"/>
          <w:u w:val="single"/>
        </w:rPr>
        <w:t xml:space="preserve"> </w:t>
      </w:r>
      <w:r w:rsidRPr="003337E4">
        <w:rPr>
          <w:rFonts w:ascii="宋体" w:hAnsi="宋体"/>
          <w:b/>
          <w:bCs/>
          <w:kern w:val="0"/>
          <w:u w:val="single"/>
        </w:rPr>
        <w:t xml:space="preserve">   </w:t>
      </w:r>
    </w:p>
    <w:p w14:paraId="4C42D76A" w14:textId="77777777" w:rsidR="003337E4" w:rsidRPr="003337E4" w:rsidRDefault="003337E4" w:rsidP="00D86EFB">
      <w:pPr>
        <w:widowControl/>
        <w:snapToGrid w:val="0"/>
        <w:spacing w:line="340" w:lineRule="exact"/>
        <w:ind w:firstLineChars="0" w:firstLine="0"/>
        <w:jc w:val="left"/>
        <w:rPr>
          <w:rFonts w:ascii="宋体" w:hAnsi="宋体"/>
          <w:b/>
          <w:bCs/>
          <w:kern w:val="0"/>
          <w:sz w:val="21"/>
          <w:szCs w:val="21"/>
        </w:rPr>
      </w:pPr>
    </w:p>
    <w:p w14:paraId="3B4EC9EF" w14:textId="77777777" w:rsidR="003337E4" w:rsidRPr="003337E4" w:rsidRDefault="003337E4" w:rsidP="00D86EFB">
      <w:pPr>
        <w:widowControl/>
        <w:snapToGrid w:val="0"/>
        <w:spacing w:line="340" w:lineRule="exact"/>
        <w:ind w:firstLineChars="0" w:firstLine="0"/>
        <w:jc w:val="left"/>
        <w:rPr>
          <w:rFonts w:ascii="宋体" w:hAnsi="宋体"/>
          <w:b/>
          <w:bCs/>
          <w:kern w:val="0"/>
          <w:sz w:val="21"/>
          <w:szCs w:val="21"/>
        </w:rPr>
      </w:pPr>
    </w:p>
    <w:p w14:paraId="58A5BA27" w14:textId="77777777" w:rsidR="003337E4" w:rsidRPr="003337E4" w:rsidRDefault="003337E4" w:rsidP="00D86EFB">
      <w:pPr>
        <w:widowControl/>
        <w:snapToGrid w:val="0"/>
        <w:spacing w:line="340" w:lineRule="exact"/>
        <w:ind w:firstLineChars="0" w:firstLine="0"/>
        <w:jc w:val="left"/>
        <w:rPr>
          <w:rFonts w:ascii="宋体" w:hAnsi="宋体"/>
          <w:b/>
          <w:bCs/>
          <w:kern w:val="0"/>
          <w:sz w:val="21"/>
          <w:szCs w:val="21"/>
        </w:rPr>
      </w:pPr>
    </w:p>
    <w:p w14:paraId="68E34C52" w14:textId="77777777" w:rsidR="003337E4" w:rsidRPr="003337E4" w:rsidRDefault="003337E4" w:rsidP="00D86EFB">
      <w:pPr>
        <w:widowControl/>
        <w:snapToGrid w:val="0"/>
        <w:spacing w:line="340" w:lineRule="exact"/>
        <w:ind w:firstLineChars="0" w:firstLine="0"/>
        <w:jc w:val="left"/>
        <w:rPr>
          <w:rFonts w:ascii="宋体" w:hAnsi="宋体"/>
          <w:b/>
          <w:bCs/>
          <w:kern w:val="0"/>
          <w:sz w:val="21"/>
          <w:szCs w:val="21"/>
        </w:rPr>
      </w:pPr>
      <w:r w:rsidRPr="003337E4">
        <w:rPr>
          <w:rFonts w:ascii="宋体" w:hAnsi="宋体"/>
          <w:noProof/>
          <w:kern w:val="0"/>
        </w:rPr>
        <w:drawing>
          <wp:anchor distT="0" distB="0" distL="114300" distR="114300" simplePos="0" relativeHeight="251678720" behindDoc="0" locked="0" layoutInCell="1" allowOverlap="1" wp14:anchorId="3260C782" wp14:editId="45D29174">
            <wp:simplePos x="0" y="0"/>
            <wp:positionH relativeFrom="column">
              <wp:posOffset>1522730</wp:posOffset>
            </wp:positionH>
            <wp:positionV relativeFrom="paragraph">
              <wp:posOffset>200025</wp:posOffset>
            </wp:positionV>
            <wp:extent cx="2235200" cy="635000"/>
            <wp:effectExtent l="0" t="0" r="0" b="0"/>
            <wp:wrapNone/>
            <wp:docPr id="17" name="图片 17" descr="厦门大学字样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厦门大学字样图标"/>
                    <pic:cNvPicPr>
                      <a:picLocks noChangeAspect="1" noChangeArrowheads="1"/>
                    </pic:cNvPicPr>
                  </pic:nvPicPr>
                  <pic:blipFill>
                    <a:blip r:embed="rId8">
                      <a:extLst>
                        <a:ext uri="{28A0092B-C50C-407E-A947-70E740481C1C}">
                          <a14:useLocalDpi xmlns:a14="http://schemas.microsoft.com/office/drawing/2010/main" val="0"/>
                        </a:ext>
                      </a:extLst>
                    </a:blip>
                    <a:srcRect r="11998" b="32030"/>
                    <a:stretch>
                      <a:fillRect/>
                    </a:stretch>
                  </pic:blipFill>
                  <pic:spPr bwMode="auto">
                    <a:xfrm>
                      <a:off x="0" y="0"/>
                      <a:ext cx="22352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3E40A" w14:textId="77777777" w:rsidR="003337E4" w:rsidRPr="003337E4" w:rsidRDefault="003337E4" w:rsidP="00D86EFB">
      <w:pPr>
        <w:widowControl/>
        <w:snapToGrid w:val="0"/>
        <w:spacing w:line="340" w:lineRule="exact"/>
        <w:ind w:firstLineChars="0" w:firstLine="0"/>
        <w:jc w:val="left"/>
        <w:rPr>
          <w:rFonts w:ascii="宋体" w:hAnsi="宋体"/>
          <w:b/>
          <w:bCs/>
          <w:kern w:val="0"/>
          <w:sz w:val="21"/>
          <w:szCs w:val="21"/>
        </w:rPr>
      </w:pPr>
    </w:p>
    <w:p w14:paraId="11805650" w14:textId="77777777" w:rsidR="003337E4" w:rsidRPr="003337E4" w:rsidRDefault="003337E4" w:rsidP="003337E4">
      <w:pPr>
        <w:adjustRightInd w:val="0"/>
        <w:snapToGrid w:val="0"/>
        <w:spacing w:line="340" w:lineRule="exact"/>
        <w:ind w:firstLineChars="0" w:firstLine="0"/>
        <w:jc w:val="center"/>
        <w:rPr>
          <w:b/>
          <w:bCs/>
          <w:sz w:val="21"/>
          <w:szCs w:val="21"/>
        </w:rPr>
      </w:pPr>
    </w:p>
    <w:p w14:paraId="037BE626" w14:textId="77777777" w:rsidR="003337E4" w:rsidRPr="003337E4" w:rsidRDefault="003337E4" w:rsidP="003337E4">
      <w:pPr>
        <w:adjustRightInd w:val="0"/>
        <w:snapToGrid w:val="0"/>
        <w:spacing w:line="340" w:lineRule="exact"/>
        <w:ind w:firstLineChars="0" w:firstLine="0"/>
        <w:jc w:val="center"/>
        <w:rPr>
          <w:rFonts w:ascii="宋体" w:hAnsi="宋体"/>
          <w:b/>
          <w:bCs/>
          <w:sz w:val="21"/>
          <w:szCs w:val="21"/>
          <w:u w:val="single"/>
        </w:rPr>
      </w:pPr>
    </w:p>
    <w:p w14:paraId="4339044A" w14:textId="77777777" w:rsidR="003337E4" w:rsidRPr="003337E4" w:rsidRDefault="003337E4" w:rsidP="00D86EFB">
      <w:pPr>
        <w:adjustRightInd w:val="0"/>
        <w:snapToGrid w:val="0"/>
        <w:spacing w:line="340" w:lineRule="exact"/>
        <w:ind w:firstLineChars="0" w:firstLine="0"/>
        <w:jc w:val="center"/>
        <w:rPr>
          <w:rFonts w:ascii="宋体" w:hAnsi="宋体"/>
          <w:b/>
          <w:bCs/>
          <w:sz w:val="21"/>
          <w:szCs w:val="21"/>
          <w:u w:val="single"/>
        </w:rPr>
      </w:pPr>
    </w:p>
    <w:p w14:paraId="7D666578" w14:textId="77777777" w:rsidR="003337E4" w:rsidRPr="003337E4" w:rsidRDefault="003337E4" w:rsidP="00D86EFB">
      <w:pPr>
        <w:adjustRightInd w:val="0"/>
        <w:snapToGrid w:val="0"/>
        <w:spacing w:line="340" w:lineRule="exact"/>
        <w:ind w:firstLineChars="0" w:firstLine="0"/>
        <w:jc w:val="center"/>
        <w:rPr>
          <w:rFonts w:ascii="宋体" w:hAnsi="宋体"/>
          <w:b/>
          <w:bCs/>
          <w:sz w:val="21"/>
          <w:szCs w:val="21"/>
          <w:u w:val="single"/>
        </w:rPr>
      </w:pPr>
    </w:p>
    <w:p w14:paraId="5C4F9D96" w14:textId="77777777" w:rsidR="003337E4" w:rsidRPr="003337E4" w:rsidRDefault="003337E4" w:rsidP="00D86EFB">
      <w:pPr>
        <w:adjustRightInd w:val="0"/>
        <w:snapToGrid w:val="0"/>
        <w:spacing w:line="240" w:lineRule="auto"/>
        <w:ind w:firstLineChars="0" w:firstLine="0"/>
        <w:jc w:val="center"/>
        <w:rPr>
          <w:sz w:val="36"/>
          <w:szCs w:val="36"/>
        </w:rPr>
      </w:pPr>
      <w:r>
        <w:rPr>
          <w:rFonts w:ascii="宋体" w:hAnsi="宋体" w:hint="eastAsia"/>
          <w:b/>
          <w:bCs/>
          <w:sz w:val="36"/>
          <w:szCs w:val="36"/>
        </w:rPr>
        <w:t xml:space="preserve">硕 </w:t>
      </w:r>
      <w:r>
        <w:rPr>
          <w:rFonts w:ascii="宋体" w:hAnsi="宋体"/>
          <w:b/>
          <w:bCs/>
          <w:sz w:val="36"/>
          <w:szCs w:val="36"/>
        </w:rPr>
        <w:t xml:space="preserve"> </w:t>
      </w:r>
      <w:r>
        <w:rPr>
          <w:rFonts w:ascii="宋体" w:hAnsi="宋体" w:hint="eastAsia"/>
          <w:b/>
          <w:bCs/>
          <w:sz w:val="36"/>
          <w:szCs w:val="36"/>
        </w:rPr>
        <w:t xml:space="preserve">士 </w:t>
      </w:r>
      <w:r>
        <w:rPr>
          <w:rFonts w:ascii="宋体" w:hAnsi="宋体"/>
          <w:b/>
          <w:bCs/>
          <w:sz w:val="36"/>
          <w:szCs w:val="36"/>
        </w:rPr>
        <w:t xml:space="preserve"> </w:t>
      </w:r>
      <w:r w:rsidRPr="003337E4">
        <w:rPr>
          <w:rFonts w:ascii="宋体" w:hAnsi="宋体" w:hint="eastAsia"/>
          <w:b/>
          <w:bCs/>
          <w:sz w:val="36"/>
          <w:szCs w:val="36"/>
        </w:rPr>
        <w:t>学</w:t>
      </w:r>
      <w:r w:rsidRPr="003337E4">
        <w:rPr>
          <w:rFonts w:ascii="宋体" w:hAnsi="宋体"/>
          <w:b/>
          <w:bCs/>
          <w:sz w:val="36"/>
          <w:szCs w:val="36"/>
        </w:rPr>
        <w:t xml:space="preserve">  位  论  文</w:t>
      </w:r>
    </w:p>
    <w:p w14:paraId="755D5A08" w14:textId="77777777" w:rsidR="003337E4" w:rsidRPr="003337E4" w:rsidRDefault="003337E4" w:rsidP="00D86EFB">
      <w:pPr>
        <w:snapToGrid w:val="0"/>
        <w:spacing w:line="340" w:lineRule="exact"/>
        <w:ind w:firstLineChars="0" w:firstLine="0"/>
        <w:jc w:val="center"/>
        <w:rPr>
          <w:sz w:val="21"/>
          <w:szCs w:val="21"/>
        </w:rPr>
      </w:pPr>
    </w:p>
    <w:p w14:paraId="1953DD3E" w14:textId="77777777" w:rsidR="003337E4" w:rsidRPr="003337E4" w:rsidRDefault="003337E4" w:rsidP="00D86EFB">
      <w:pPr>
        <w:snapToGrid w:val="0"/>
        <w:spacing w:line="240" w:lineRule="auto"/>
        <w:ind w:firstLineChars="0" w:firstLine="0"/>
        <w:jc w:val="center"/>
        <w:rPr>
          <w:rFonts w:eastAsia="黑体"/>
          <w:b/>
          <w:sz w:val="36"/>
          <w:szCs w:val="36"/>
        </w:rPr>
      </w:pPr>
    </w:p>
    <w:p w14:paraId="415B6293" w14:textId="77777777" w:rsidR="003337E4" w:rsidRDefault="003337E4" w:rsidP="00D86EFB">
      <w:pPr>
        <w:snapToGrid w:val="0"/>
        <w:ind w:firstLineChars="0" w:firstLine="0"/>
        <w:jc w:val="center"/>
        <w:rPr>
          <w:rFonts w:eastAsia="黑体"/>
          <w:b/>
          <w:sz w:val="44"/>
          <w:szCs w:val="44"/>
        </w:rPr>
      </w:pPr>
      <w:bookmarkStart w:id="0" w:name="_Hlk502834535"/>
      <w:r w:rsidRPr="00A830CB">
        <w:rPr>
          <w:rFonts w:eastAsia="黑体" w:hint="eastAsia"/>
          <w:b/>
          <w:sz w:val="44"/>
          <w:szCs w:val="44"/>
        </w:rPr>
        <w:t>证券分析师的市场择时行为研究</w:t>
      </w:r>
      <w:bookmarkEnd w:id="0"/>
    </w:p>
    <w:p w14:paraId="69E16D14" w14:textId="25A437E1" w:rsidR="00A830CB" w:rsidRPr="00A830CB" w:rsidRDefault="00A830CB" w:rsidP="00D86EFB">
      <w:pPr>
        <w:ind w:firstLineChars="0" w:firstLine="0"/>
        <w:jc w:val="center"/>
        <w:rPr>
          <w:rFonts w:eastAsia="黑体"/>
          <w:b/>
          <w:sz w:val="32"/>
          <w:szCs w:val="32"/>
        </w:rPr>
      </w:pPr>
      <w:r>
        <w:rPr>
          <w:rFonts w:eastAsia="黑体"/>
          <w:b/>
          <w:sz w:val="32"/>
          <w:szCs w:val="32"/>
        </w:rPr>
        <w:t xml:space="preserve">A </w:t>
      </w:r>
      <w:r w:rsidRPr="00A830CB">
        <w:rPr>
          <w:rFonts w:eastAsia="黑体"/>
          <w:b/>
          <w:sz w:val="32"/>
          <w:szCs w:val="32"/>
        </w:rPr>
        <w:t xml:space="preserve">Study on </w:t>
      </w:r>
      <w:r>
        <w:rPr>
          <w:rFonts w:eastAsia="黑体"/>
          <w:b/>
          <w:sz w:val="32"/>
          <w:szCs w:val="32"/>
        </w:rPr>
        <w:t>Forecast T</w:t>
      </w:r>
      <w:r w:rsidRPr="00A830CB">
        <w:rPr>
          <w:rFonts w:eastAsia="黑体"/>
          <w:b/>
          <w:sz w:val="32"/>
          <w:szCs w:val="32"/>
        </w:rPr>
        <w:t xml:space="preserve">iming </w:t>
      </w:r>
      <w:r>
        <w:rPr>
          <w:rFonts w:eastAsia="黑体"/>
          <w:b/>
          <w:sz w:val="32"/>
          <w:szCs w:val="32"/>
        </w:rPr>
        <w:t>B</w:t>
      </w:r>
      <w:r w:rsidRPr="00A830CB">
        <w:rPr>
          <w:rFonts w:eastAsia="黑体"/>
          <w:b/>
          <w:sz w:val="32"/>
          <w:szCs w:val="32"/>
        </w:rPr>
        <w:t>ehavior of Securit</w:t>
      </w:r>
      <w:r>
        <w:rPr>
          <w:rFonts w:eastAsia="黑体"/>
          <w:b/>
          <w:sz w:val="32"/>
          <w:szCs w:val="32"/>
        </w:rPr>
        <w:t>y</w:t>
      </w:r>
      <w:r w:rsidRPr="00A830CB">
        <w:rPr>
          <w:rFonts w:eastAsia="黑体"/>
          <w:b/>
          <w:sz w:val="32"/>
          <w:szCs w:val="32"/>
        </w:rPr>
        <w:t xml:space="preserve"> </w:t>
      </w:r>
      <w:r>
        <w:rPr>
          <w:rFonts w:eastAsia="黑体"/>
          <w:b/>
          <w:sz w:val="32"/>
          <w:szCs w:val="32"/>
        </w:rPr>
        <w:t>A</w:t>
      </w:r>
      <w:r w:rsidRPr="00A830CB">
        <w:rPr>
          <w:rFonts w:eastAsia="黑体"/>
          <w:b/>
          <w:sz w:val="32"/>
          <w:szCs w:val="32"/>
        </w:rPr>
        <w:t>nalyst</w:t>
      </w:r>
      <w:r w:rsidR="00211ECF">
        <w:rPr>
          <w:rFonts w:eastAsia="黑体"/>
          <w:b/>
          <w:sz w:val="32"/>
          <w:szCs w:val="32"/>
        </w:rPr>
        <w:t>s</w:t>
      </w:r>
    </w:p>
    <w:p w14:paraId="082283A4" w14:textId="77777777" w:rsidR="003337E4" w:rsidRDefault="003337E4" w:rsidP="00D86EFB">
      <w:pPr>
        <w:widowControl/>
        <w:spacing w:line="240" w:lineRule="auto"/>
        <w:ind w:firstLineChars="0" w:firstLine="0"/>
        <w:jc w:val="center"/>
        <w:rPr>
          <w:rFonts w:ascii="宋体" w:hAnsi="宋体"/>
          <w:bCs/>
          <w:kern w:val="0"/>
          <w:sz w:val="21"/>
          <w:szCs w:val="21"/>
        </w:rPr>
      </w:pPr>
    </w:p>
    <w:p w14:paraId="2F20E938" w14:textId="77777777" w:rsidR="003337E4" w:rsidRPr="003337E4" w:rsidRDefault="003337E4" w:rsidP="00D86EFB">
      <w:pPr>
        <w:spacing w:line="340" w:lineRule="exact"/>
        <w:ind w:firstLineChars="0" w:firstLine="0"/>
        <w:jc w:val="center"/>
        <w:rPr>
          <w:rFonts w:eastAsia="楷体_GB2312"/>
          <w:b/>
          <w:bCs/>
          <w:sz w:val="21"/>
          <w:szCs w:val="21"/>
        </w:rPr>
      </w:pPr>
    </w:p>
    <w:p w14:paraId="1C9FDD7E" w14:textId="77777777" w:rsidR="003337E4" w:rsidRPr="003337E4" w:rsidRDefault="00A830CB" w:rsidP="00D86EFB">
      <w:pPr>
        <w:spacing w:line="240" w:lineRule="auto"/>
        <w:ind w:firstLineChars="0" w:firstLine="0"/>
        <w:jc w:val="center"/>
        <w:rPr>
          <w:rFonts w:ascii="KaiTi" w:eastAsia="KaiTi" w:hAnsi="KaiTi"/>
          <w:sz w:val="36"/>
          <w:szCs w:val="36"/>
        </w:rPr>
      </w:pPr>
      <w:r w:rsidRPr="00A830CB">
        <w:rPr>
          <w:rFonts w:ascii="KaiTi" w:eastAsia="KaiTi" w:hAnsi="KaiTi" w:hint="eastAsia"/>
          <w:sz w:val="36"/>
          <w:szCs w:val="36"/>
        </w:rPr>
        <w:t>陈 代 君</w:t>
      </w:r>
    </w:p>
    <w:p w14:paraId="3C00DD93" w14:textId="77777777" w:rsidR="00D86EFB" w:rsidRDefault="00D86EFB" w:rsidP="00D86EFB">
      <w:pPr>
        <w:snapToGrid w:val="0"/>
        <w:spacing w:line="400" w:lineRule="exact"/>
        <w:ind w:firstLineChars="0" w:firstLine="0"/>
        <w:jc w:val="center"/>
        <w:rPr>
          <w:rFonts w:ascii="KaiTi" w:eastAsia="KaiTi" w:hAnsi="KaiTi"/>
          <w:sz w:val="28"/>
          <w:szCs w:val="28"/>
        </w:rPr>
      </w:pPr>
    </w:p>
    <w:p w14:paraId="08413017" w14:textId="77777777" w:rsidR="003337E4" w:rsidRPr="003337E4" w:rsidRDefault="003337E4" w:rsidP="00D86EFB">
      <w:pPr>
        <w:snapToGrid w:val="0"/>
        <w:spacing w:line="340" w:lineRule="exact"/>
        <w:ind w:firstLineChars="0" w:firstLine="0"/>
        <w:jc w:val="center"/>
        <w:rPr>
          <w:rFonts w:ascii="楷体_GB2312" w:eastAsia="楷体_GB2312"/>
          <w:b/>
          <w:bCs/>
          <w:sz w:val="21"/>
          <w:szCs w:val="21"/>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20"/>
        <w:gridCol w:w="360"/>
        <w:gridCol w:w="2040"/>
      </w:tblGrid>
      <w:tr w:rsidR="006F11AC" w14:paraId="51485C19" w14:textId="77777777" w:rsidTr="00D86EFB">
        <w:trPr>
          <w:jc w:val="center"/>
        </w:trPr>
        <w:tc>
          <w:tcPr>
            <w:tcW w:w="1920" w:type="dxa"/>
          </w:tcPr>
          <w:p w14:paraId="47DE941C"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指导教师姓名</w:t>
            </w:r>
          </w:p>
        </w:tc>
        <w:tc>
          <w:tcPr>
            <w:tcW w:w="360" w:type="dxa"/>
          </w:tcPr>
          <w:p w14:paraId="40E4C107"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w:t>
            </w:r>
          </w:p>
        </w:tc>
        <w:tc>
          <w:tcPr>
            <w:tcW w:w="2040" w:type="dxa"/>
          </w:tcPr>
          <w:p w14:paraId="22CDEEA1" w14:textId="77777777" w:rsidR="006F11AC" w:rsidRDefault="00D86EFB"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刘杨树</w:t>
            </w:r>
            <w:r w:rsidR="009B5C6A">
              <w:rPr>
                <w:rFonts w:ascii="KaiTi" w:eastAsia="KaiTi" w:hAnsi="KaiTi" w:hint="eastAsia"/>
                <w:sz w:val="28"/>
                <w:szCs w:val="28"/>
              </w:rPr>
              <w:t>副</w:t>
            </w:r>
            <w:r>
              <w:rPr>
                <w:rFonts w:ascii="KaiTi" w:eastAsia="KaiTi" w:hAnsi="KaiTi" w:hint="eastAsia"/>
                <w:sz w:val="28"/>
                <w:szCs w:val="28"/>
              </w:rPr>
              <w:t>教授</w:t>
            </w:r>
          </w:p>
        </w:tc>
      </w:tr>
      <w:tr w:rsidR="006F11AC" w14:paraId="3886A9A6" w14:textId="77777777" w:rsidTr="00D86EFB">
        <w:trPr>
          <w:jc w:val="center"/>
        </w:trPr>
        <w:tc>
          <w:tcPr>
            <w:tcW w:w="1920" w:type="dxa"/>
          </w:tcPr>
          <w:p w14:paraId="6001FB1B"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专业名称</w:t>
            </w:r>
          </w:p>
        </w:tc>
        <w:tc>
          <w:tcPr>
            <w:tcW w:w="360" w:type="dxa"/>
          </w:tcPr>
          <w:p w14:paraId="470B1459"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w:t>
            </w:r>
          </w:p>
        </w:tc>
        <w:tc>
          <w:tcPr>
            <w:tcW w:w="2040" w:type="dxa"/>
          </w:tcPr>
          <w:p w14:paraId="0F18767F" w14:textId="77777777" w:rsidR="006F11AC" w:rsidRDefault="00D86EFB"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财务学</w:t>
            </w:r>
          </w:p>
        </w:tc>
      </w:tr>
      <w:tr w:rsidR="006F11AC" w14:paraId="3299EBFD" w14:textId="77777777" w:rsidTr="00D86EFB">
        <w:trPr>
          <w:jc w:val="center"/>
        </w:trPr>
        <w:tc>
          <w:tcPr>
            <w:tcW w:w="1920" w:type="dxa"/>
          </w:tcPr>
          <w:p w14:paraId="21271209"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论文提交日期</w:t>
            </w:r>
          </w:p>
        </w:tc>
        <w:tc>
          <w:tcPr>
            <w:tcW w:w="360" w:type="dxa"/>
          </w:tcPr>
          <w:p w14:paraId="72EB96BE"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w:t>
            </w:r>
          </w:p>
        </w:tc>
        <w:tc>
          <w:tcPr>
            <w:tcW w:w="2040" w:type="dxa"/>
          </w:tcPr>
          <w:p w14:paraId="5302EF0F" w14:textId="77777777" w:rsidR="006F11AC" w:rsidRDefault="00D86EFB"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 xml:space="preserve">2018 年 </w:t>
            </w:r>
            <w:r>
              <w:rPr>
                <w:rFonts w:ascii="KaiTi" w:eastAsia="KaiTi" w:hAnsi="KaiTi"/>
                <w:sz w:val="28"/>
                <w:szCs w:val="28"/>
              </w:rPr>
              <w:t xml:space="preserve">  </w:t>
            </w:r>
            <w:r>
              <w:rPr>
                <w:rFonts w:ascii="KaiTi" w:eastAsia="KaiTi" w:hAnsi="KaiTi" w:hint="eastAsia"/>
                <w:sz w:val="28"/>
                <w:szCs w:val="28"/>
              </w:rPr>
              <w:t>月</w:t>
            </w:r>
          </w:p>
        </w:tc>
      </w:tr>
      <w:tr w:rsidR="006F11AC" w14:paraId="61CC9FA2" w14:textId="77777777" w:rsidTr="00D86EFB">
        <w:trPr>
          <w:jc w:val="center"/>
        </w:trPr>
        <w:tc>
          <w:tcPr>
            <w:tcW w:w="1920" w:type="dxa"/>
          </w:tcPr>
          <w:p w14:paraId="55FF2512"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论文答辩时间</w:t>
            </w:r>
          </w:p>
        </w:tc>
        <w:tc>
          <w:tcPr>
            <w:tcW w:w="360" w:type="dxa"/>
          </w:tcPr>
          <w:p w14:paraId="383E0D6A"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w:t>
            </w:r>
          </w:p>
        </w:tc>
        <w:tc>
          <w:tcPr>
            <w:tcW w:w="2040" w:type="dxa"/>
          </w:tcPr>
          <w:p w14:paraId="3F95683C" w14:textId="77777777" w:rsidR="006F11AC" w:rsidRDefault="00D86EFB"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2018</w:t>
            </w:r>
            <w:r>
              <w:rPr>
                <w:rFonts w:ascii="KaiTi" w:eastAsia="KaiTi" w:hAnsi="KaiTi"/>
                <w:sz w:val="28"/>
                <w:szCs w:val="28"/>
              </w:rPr>
              <w:t xml:space="preserve"> </w:t>
            </w:r>
            <w:r>
              <w:rPr>
                <w:rFonts w:ascii="KaiTi" w:eastAsia="KaiTi" w:hAnsi="KaiTi" w:hint="eastAsia"/>
                <w:sz w:val="28"/>
                <w:szCs w:val="28"/>
              </w:rPr>
              <w:t xml:space="preserve">年 </w:t>
            </w:r>
            <w:r>
              <w:rPr>
                <w:rFonts w:ascii="KaiTi" w:eastAsia="KaiTi" w:hAnsi="KaiTi"/>
                <w:sz w:val="28"/>
                <w:szCs w:val="28"/>
              </w:rPr>
              <w:t xml:space="preserve">  </w:t>
            </w:r>
            <w:r>
              <w:rPr>
                <w:rFonts w:ascii="KaiTi" w:eastAsia="KaiTi" w:hAnsi="KaiTi" w:hint="eastAsia"/>
                <w:sz w:val="28"/>
                <w:szCs w:val="28"/>
              </w:rPr>
              <w:t>月</w:t>
            </w:r>
          </w:p>
        </w:tc>
      </w:tr>
      <w:tr w:rsidR="006F11AC" w14:paraId="5A7D4ED9" w14:textId="77777777" w:rsidTr="00D86EFB">
        <w:trPr>
          <w:jc w:val="center"/>
        </w:trPr>
        <w:tc>
          <w:tcPr>
            <w:tcW w:w="1920" w:type="dxa"/>
          </w:tcPr>
          <w:p w14:paraId="021501E4"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学位授予日期</w:t>
            </w:r>
          </w:p>
        </w:tc>
        <w:tc>
          <w:tcPr>
            <w:tcW w:w="360" w:type="dxa"/>
          </w:tcPr>
          <w:p w14:paraId="7AF63ADA" w14:textId="77777777" w:rsidR="006F11AC" w:rsidRDefault="006F11AC"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w:t>
            </w:r>
          </w:p>
        </w:tc>
        <w:tc>
          <w:tcPr>
            <w:tcW w:w="2040" w:type="dxa"/>
          </w:tcPr>
          <w:p w14:paraId="533CB1C9" w14:textId="77777777" w:rsidR="006F11AC" w:rsidRDefault="00D86EFB" w:rsidP="00D86EFB">
            <w:pPr>
              <w:snapToGrid w:val="0"/>
              <w:spacing w:line="400" w:lineRule="exact"/>
              <w:ind w:firstLineChars="0" w:firstLine="0"/>
              <w:jc w:val="distribute"/>
              <w:rPr>
                <w:rFonts w:ascii="KaiTi" w:eastAsia="KaiTi" w:hAnsi="KaiTi"/>
                <w:sz w:val="28"/>
                <w:szCs w:val="28"/>
              </w:rPr>
            </w:pPr>
            <w:r>
              <w:rPr>
                <w:rFonts w:ascii="KaiTi" w:eastAsia="KaiTi" w:hAnsi="KaiTi" w:hint="eastAsia"/>
                <w:sz w:val="28"/>
                <w:szCs w:val="28"/>
              </w:rPr>
              <w:t>2018</w:t>
            </w:r>
            <w:r>
              <w:rPr>
                <w:rFonts w:ascii="KaiTi" w:eastAsia="KaiTi" w:hAnsi="KaiTi"/>
                <w:sz w:val="28"/>
                <w:szCs w:val="28"/>
              </w:rPr>
              <w:t xml:space="preserve"> </w:t>
            </w:r>
            <w:r>
              <w:rPr>
                <w:rFonts w:ascii="KaiTi" w:eastAsia="KaiTi" w:hAnsi="KaiTi" w:hint="eastAsia"/>
                <w:sz w:val="28"/>
                <w:szCs w:val="28"/>
              </w:rPr>
              <w:t xml:space="preserve">年 </w:t>
            </w:r>
            <w:r>
              <w:rPr>
                <w:rFonts w:ascii="KaiTi" w:eastAsia="KaiTi" w:hAnsi="KaiTi"/>
                <w:sz w:val="28"/>
                <w:szCs w:val="28"/>
              </w:rPr>
              <w:t xml:space="preserve">  </w:t>
            </w:r>
            <w:r>
              <w:rPr>
                <w:rFonts w:ascii="KaiTi" w:eastAsia="KaiTi" w:hAnsi="KaiTi" w:hint="eastAsia"/>
                <w:sz w:val="28"/>
                <w:szCs w:val="28"/>
              </w:rPr>
              <w:t>月</w:t>
            </w:r>
          </w:p>
        </w:tc>
      </w:tr>
    </w:tbl>
    <w:p w14:paraId="1446CB14" w14:textId="77777777" w:rsidR="003337E4" w:rsidRDefault="003337E4" w:rsidP="00D86EFB">
      <w:pPr>
        <w:widowControl/>
        <w:snapToGrid w:val="0"/>
        <w:spacing w:line="340" w:lineRule="exact"/>
        <w:ind w:firstLineChars="0" w:firstLine="0"/>
        <w:jc w:val="center"/>
        <w:rPr>
          <w:rFonts w:ascii="KaiTi" w:eastAsia="KaiTi" w:hAnsi="KaiTi"/>
          <w:sz w:val="28"/>
          <w:szCs w:val="28"/>
        </w:rPr>
      </w:pPr>
    </w:p>
    <w:p w14:paraId="7AE9757C" w14:textId="77777777" w:rsidR="006F11AC" w:rsidRDefault="006F11AC" w:rsidP="00D86EFB">
      <w:pPr>
        <w:widowControl/>
        <w:snapToGrid w:val="0"/>
        <w:spacing w:line="340" w:lineRule="exact"/>
        <w:ind w:firstLineChars="0" w:firstLine="0"/>
        <w:jc w:val="center"/>
        <w:rPr>
          <w:rFonts w:ascii="宋体" w:hAnsi="宋体"/>
          <w:b/>
          <w:bCs/>
          <w:kern w:val="0"/>
          <w:sz w:val="21"/>
          <w:szCs w:val="21"/>
        </w:rPr>
      </w:pPr>
    </w:p>
    <w:p w14:paraId="694D113A" w14:textId="77777777" w:rsidR="00C26E1B" w:rsidRPr="003337E4" w:rsidRDefault="00C26E1B" w:rsidP="00D86EFB">
      <w:pPr>
        <w:widowControl/>
        <w:snapToGrid w:val="0"/>
        <w:spacing w:line="340" w:lineRule="exact"/>
        <w:ind w:firstLineChars="0" w:firstLine="0"/>
        <w:jc w:val="center"/>
        <w:rPr>
          <w:rFonts w:ascii="宋体" w:hAnsi="宋体"/>
          <w:b/>
          <w:bCs/>
          <w:kern w:val="0"/>
          <w:sz w:val="21"/>
          <w:szCs w:val="21"/>
        </w:rPr>
      </w:pPr>
    </w:p>
    <w:p w14:paraId="4C9ACF96" w14:textId="77777777" w:rsidR="003337E4" w:rsidRPr="003337E4" w:rsidRDefault="003337E4" w:rsidP="00C26E1B">
      <w:pPr>
        <w:widowControl/>
        <w:snapToGrid w:val="0"/>
        <w:spacing w:line="240" w:lineRule="auto"/>
        <w:ind w:firstLineChars="1542" w:firstLine="4318"/>
        <w:rPr>
          <w:rFonts w:ascii="宋体" w:hAnsi="宋体"/>
          <w:kern w:val="0"/>
          <w:sz w:val="28"/>
          <w:szCs w:val="28"/>
          <w:u w:val="single"/>
        </w:rPr>
      </w:pPr>
      <w:r w:rsidRPr="003337E4">
        <w:rPr>
          <w:rFonts w:ascii="宋体" w:hAnsi="宋体" w:hint="eastAsia"/>
          <w:kern w:val="0"/>
          <w:sz w:val="28"/>
          <w:szCs w:val="28"/>
        </w:rPr>
        <w:t>答辩委员会主席：</w:t>
      </w:r>
      <w:r w:rsidR="006F11AC" w:rsidRPr="006F11AC">
        <w:rPr>
          <w:rFonts w:ascii="宋体" w:hAnsi="宋体" w:hint="eastAsia"/>
          <w:kern w:val="0"/>
          <w:sz w:val="28"/>
          <w:szCs w:val="28"/>
          <w:u w:val="single"/>
        </w:rPr>
        <w:t xml:space="preserve">　　　</w:t>
      </w:r>
      <w:r w:rsidR="00D86EFB">
        <w:rPr>
          <w:rFonts w:ascii="宋体" w:hAnsi="宋体" w:hint="eastAsia"/>
          <w:kern w:val="0"/>
          <w:sz w:val="28"/>
          <w:szCs w:val="28"/>
          <w:u w:val="single"/>
        </w:rPr>
        <w:t xml:space="preserve">　</w:t>
      </w:r>
      <w:r w:rsidR="006F11AC" w:rsidRPr="006F11AC">
        <w:rPr>
          <w:rFonts w:ascii="宋体" w:hAnsi="宋体" w:hint="eastAsia"/>
          <w:kern w:val="0"/>
          <w:sz w:val="28"/>
          <w:szCs w:val="28"/>
          <w:u w:val="single"/>
        </w:rPr>
        <w:t xml:space="preserve">　　</w:t>
      </w:r>
    </w:p>
    <w:p w14:paraId="6A1A8E72" w14:textId="77777777" w:rsidR="003337E4" w:rsidRPr="003337E4" w:rsidRDefault="003337E4" w:rsidP="00C26E1B">
      <w:pPr>
        <w:widowControl/>
        <w:snapToGrid w:val="0"/>
        <w:spacing w:line="240" w:lineRule="auto"/>
        <w:ind w:firstLineChars="1542" w:firstLine="4318"/>
        <w:rPr>
          <w:rFonts w:ascii="宋体" w:hAnsi="宋体"/>
          <w:kern w:val="0"/>
          <w:sz w:val="28"/>
          <w:szCs w:val="28"/>
          <w:u w:val="single"/>
        </w:rPr>
      </w:pPr>
      <w:r w:rsidRPr="003337E4">
        <w:rPr>
          <w:rFonts w:ascii="宋体" w:hAnsi="宋体" w:hint="eastAsia"/>
          <w:kern w:val="0"/>
          <w:sz w:val="28"/>
          <w:szCs w:val="28"/>
        </w:rPr>
        <w:t>评</w:t>
      </w:r>
      <w:r w:rsidR="006F11AC">
        <w:rPr>
          <w:rFonts w:ascii="宋体" w:hAnsi="宋体" w:hint="eastAsia"/>
          <w:kern w:val="0"/>
          <w:sz w:val="28"/>
          <w:szCs w:val="28"/>
        </w:rPr>
        <w:t xml:space="preserve">　　</w:t>
      </w:r>
      <w:r w:rsidRPr="003337E4">
        <w:rPr>
          <w:rFonts w:ascii="宋体" w:hAnsi="宋体" w:hint="eastAsia"/>
          <w:kern w:val="0"/>
          <w:sz w:val="28"/>
          <w:szCs w:val="28"/>
        </w:rPr>
        <w:t>阅</w:t>
      </w:r>
      <w:r w:rsidR="006F11AC">
        <w:rPr>
          <w:rFonts w:ascii="宋体" w:hAnsi="宋体" w:hint="eastAsia"/>
          <w:kern w:val="0"/>
          <w:sz w:val="28"/>
          <w:szCs w:val="28"/>
        </w:rPr>
        <w:t xml:space="preserve">　　</w:t>
      </w:r>
      <w:r w:rsidRPr="003337E4">
        <w:rPr>
          <w:rFonts w:ascii="宋体" w:hAnsi="宋体" w:hint="eastAsia"/>
          <w:kern w:val="0"/>
          <w:sz w:val="28"/>
          <w:szCs w:val="28"/>
        </w:rPr>
        <w:t>人：</w:t>
      </w:r>
      <w:r w:rsidR="006F11AC" w:rsidRPr="006F11AC">
        <w:rPr>
          <w:rFonts w:ascii="宋体" w:hAnsi="宋体" w:hint="eastAsia"/>
          <w:kern w:val="0"/>
          <w:sz w:val="28"/>
          <w:szCs w:val="28"/>
          <w:u w:val="single"/>
        </w:rPr>
        <w:t xml:space="preserve">　　　</w:t>
      </w:r>
      <w:r w:rsidR="00D86EFB">
        <w:rPr>
          <w:rFonts w:ascii="宋体" w:hAnsi="宋体" w:hint="eastAsia"/>
          <w:kern w:val="0"/>
          <w:sz w:val="28"/>
          <w:szCs w:val="28"/>
          <w:u w:val="single"/>
        </w:rPr>
        <w:t xml:space="preserve">　</w:t>
      </w:r>
      <w:r w:rsidR="006F11AC" w:rsidRPr="006F11AC">
        <w:rPr>
          <w:rFonts w:ascii="宋体" w:hAnsi="宋体" w:hint="eastAsia"/>
          <w:kern w:val="0"/>
          <w:sz w:val="28"/>
          <w:szCs w:val="28"/>
          <w:u w:val="single"/>
        </w:rPr>
        <w:t xml:space="preserve">　　</w:t>
      </w:r>
    </w:p>
    <w:p w14:paraId="17D7AD44" w14:textId="77777777" w:rsidR="003337E4" w:rsidRPr="003337E4" w:rsidRDefault="003337E4" w:rsidP="00C26E1B">
      <w:pPr>
        <w:widowControl/>
        <w:snapToGrid w:val="0"/>
        <w:spacing w:line="340" w:lineRule="exact"/>
        <w:ind w:firstLineChars="2057" w:firstLine="4320"/>
        <w:rPr>
          <w:rFonts w:ascii="宋体" w:hAnsi="宋体"/>
          <w:kern w:val="0"/>
          <w:sz w:val="21"/>
          <w:szCs w:val="21"/>
          <w:u w:val="single"/>
        </w:rPr>
      </w:pPr>
    </w:p>
    <w:p w14:paraId="481EDB3A" w14:textId="77777777" w:rsidR="003337E4" w:rsidRPr="003337E4" w:rsidRDefault="003337E4" w:rsidP="003337E4">
      <w:pPr>
        <w:widowControl/>
        <w:snapToGrid w:val="0"/>
        <w:spacing w:beforeLines="100" w:before="312" w:line="340" w:lineRule="exact"/>
        <w:ind w:firstLineChars="0" w:firstLine="0"/>
        <w:jc w:val="center"/>
        <w:rPr>
          <w:rFonts w:ascii="宋体" w:hAnsi="宋体"/>
          <w:kern w:val="0"/>
          <w:sz w:val="28"/>
          <w:szCs w:val="28"/>
        </w:rPr>
      </w:pPr>
      <w:r w:rsidRPr="003337E4">
        <w:rPr>
          <w:rFonts w:ascii="宋体" w:hAnsi="宋体" w:hint="eastAsia"/>
          <w:kern w:val="0"/>
          <w:sz w:val="28"/>
          <w:szCs w:val="28"/>
        </w:rPr>
        <w:t>20</w:t>
      </w:r>
      <w:r w:rsidR="006F11AC">
        <w:rPr>
          <w:rFonts w:ascii="宋体" w:hAnsi="宋体" w:hint="eastAsia"/>
          <w:kern w:val="0"/>
          <w:sz w:val="28"/>
          <w:szCs w:val="28"/>
        </w:rPr>
        <w:t>18</w:t>
      </w:r>
      <w:r w:rsidRPr="003337E4">
        <w:rPr>
          <w:rFonts w:ascii="宋体" w:hAnsi="宋体" w:hint="eastAsia"/>
          <w:kern w:val="0"/>
          <w:sz w:val="28"/>
          <w:szCs w:val="28"/>
        </w:rPr>
        <w:t>年</w:t>
      </w:r>
      <w:r w:rsidR="006F11AC">
        <w:rPr>
          <w:rFonts w:ascii="宋体" w:hAnsi="宋体" w:hint="eastAsia"/>
          <w:kern w:val="0"/>
          <w:sz w:val="28"/>
          <w:szCs w:val="28"/>
        </w:rPr>
        <w:t xml:space="preserve">　</w:t>
      </w:r>
      <w:r w:rsidRPr="003337E4">
        <w:rPr>
          <w:rFonts w:ascii="宋体" w:hAnsi="宋体" w:hint="eastAsia"/>
          <w:kern w:val="0"/>
          <w:sz w:val="28"/>
          <w:szCs w:val="28"/>
        </w:rPr>
        <w:t>月</w:t>
      </w:r>
    </w:p>
    <w:p w14:paraId="62CD0B85" w14:textId="77777777" w:rsidR="003906E7" w:rsidRDefault="003906E7" w:rsidP="00D86EFB">
      <w:pPr>
        <w:ind w:firstLineChars="0" w:firstLine="0"/>
      </w:pPr>
    </w:p>
    <w:p w14:paraId="6F3FEA25" w14:textId="77777777" w:rsidR="00C26E1B" w:rsidRDefault="00C26E1B" w:rsidP="00D86EFB">
      <w:pPr>
        <w:ind w:firstLineChars="0" w:firstLine="0"/>
        <w:sectPr w:rsidR="00C26E1B">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02067ED0" w14:textId="77777777" w:rsidR="00423815" w:rsidRPr="00423815" w:rsidRDefault="00423815" w:rsidP="00AF1241">
      <w:pPr>
        <w:spacing w:line="240" w:lineRule="auto"/>
        <w:ind w:firstLineChars="0" w:firstLine="0"/>
        <w:jc w:val="center"/>
        <w:rPr>
          <w:rFonts w:ascii="黑体" w:eastAsia="黑体" w:hAnsi="黑体"/>
          <w:b/>
          <w:sz w:val="36"/>
          <w:szCs w:val="36"/>
        </w:rPr>
      </w:pPr>
      <w:r w:rsidRPr="00423815">
        <w:rPr>
          <w:rFonts w:ascii="黑体" w:eastAsia="黑体" w:hAnsi="黑体" w:hint="eastAsia"/>
          <w:b/>
          <w:sz w:val="36"/>
          <w:szCs w:val="36"/>
        </w:rPr>
        <w:lastRenderedPageBreak/>
        <w:t>厦门大学学位论文原创性声明</w:t>
      </w:r>
    </w:p>
    <w:p w14:paraId="4E3B9E4B" w14:textId="77777777" w:rsidR="00423815" w:rsidRPr="00423815" w:rsidRDefault="00423815" w:rsidP="008B3606">
      <w:pPr>
        <w:ind w:firstLine="560"/>
        <w:rPr>
          <w:rFonts w:ascii="仿宋_GB2312" w:eastAsia="仿宋_GB2312" w:hAnsi="Verdana"/>
          <w:sz w:val="28"/>
          <w:szCs w:val="28"/>
        </w:rPr>
      </w:pPr>
    </w:p>
    <w:p w14:paraId="60348DF2" w14:textId="77777777" w:rsidR="00423815" w:rsidRPr="00423815" w:rsidRDefault="00423815" w:rsidP="008B3606">
      <w:pPr>
        <w:ind w:firstLine="560"/>
        <w:rPr>
          <w:rFonts w:ascii="宋体" w:hAnsi="宋体"/>
          <w:sz w:val="28"/>
          <w:szCs w:val="28"/>
        </w:rPr>
      </w:pPr>
      <w:r w:rsidRPr="00423815">
        <w:rPr>
          <w:rFonts w:ascii="宋体" w:hAnsi="宋体" w:hint="eastAsia"/>
          <w:sz w:val="28"/>
          <w:szCs w:val="28"/>
        </w:rPr>
        <w:t>本人呈交的学位论文是本人在导师指导下,独立完成的研究成果。本人在论文写作中参考其他个人或集体已经发表的研究成果，均在文中以适当方式明确标明，并符合法律规范和《厦门大学研究生学术活动规范（试行）》。</w:t>
      </w:r>
    </w:p>
    <w:p w14:paraId="5B366091" w14:textId="77777777" w:rsidR="008B3606" w:rsidRDefault="00423815" w:rsidP="008B3606">
      <w:pPr>
        <w:ind w:firstLine="420"/>
        <w:rPr>
          <w:rFonts w:ascii="宋体" w:hAnsi="宋体"/>
          <w:sz w:val="28"/>
          <w:szCs w:val="28"/>
        </w:rPr>
      </w:pPr>
      <w:r w:rsidRPr="00423815">
        <w:rPr>
          <w:rFonts w:hint="eastAsia"/>
          <w:noProof/>
          <w:sz w:val="21"/>
        </w:rPr>
        <mc:AlternateContent>
          <mc:Choice Requires="wps">
            <w:drawing>
              <wp:anchor distT="0" distB="0" distL="114300" distR="114300" simplePos="0" relativeHeight="251659264" behindDoc="0" locked="0" layoutInCell="1" allowOverlap="1" wp14:anchorId="3A22F711" wp14:editId="6A6D1E8A">
                <wp:simplePos x="0" y="0"/>
                <wp:positionH relativeFrom="column">
                  <wp:posOffset>6515100</wp:posOffset>
                </wp:positionH>
                <wp:positionV relativeFrom="paragraph">
                  <wp:posOffset>297180</wp:posOffset>
                </wp:positionV>
                <wp:extent cx="1257300" cy="0"/>
                <wp:effectExtent l="9525" t="11430" r="9525" b="76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49739" id="Line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23.4pt" to="6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tL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"/>
            </w:pict>
          </mc:Fallback>
        </mc:AlternateContent>
      </w:r>
      <w:r w:rsidRPr="00423815">
        <w:rPr>
          <w:rFonts w:ascii="宋体" w:hAnsi="宋体" w:hint="eastAsia"/>
          <w:sz w:val="28"/>
          <w:szCs w:val="28"/>
        </w:rPr>
        <w:t>另外，该学位论文为（                            ）课题（组）的研究成果，获得（               ）课题（组）经费或实验室的资助，在（               ）实验室完成。（请在以上括号内填写课题或课题组负责人或实验室名称，未有此项声明内容的，可以不作特别声明。）</w:t>
      </w:r>
    </w:p>
    <w:p w14:paraId="50238AD8" w14:textId="77777777" w:rsidR="00423815" w:rsidRPr="00423815" w:rsidRDefault="00423815" w:rsidP="008B3606">
      <w:pPr>
        <w:ind w:firstLine="560"/>
        <w:rPr>
          <w:rFonts w:ascii="宋体" w:hAnsi="宋体"/>
          <w:sz w:val="28"/>
          <w:szCs w:val="28"/>
        </w:rPr>
      </w:pPr>
      <w:r w:rsidRPr="00423815">
        <w:rPr>
          <w:rFonts w:ascii="宋体" w:hAnsi="宋体" w:hint="eastAsia"/>
          <w:sz w:val="28"/>
          <w:szCs w:val="28"/>
        </w:rPr>
        <w:t>本人声明该学位论文不存在剽窃、抄袭等学术不端行为，并愿意承担因学术不端行为所带来的一切后果和法律责任。</w:t>
      </w:r>
    </w:p>
    <w:p w14:paraId="7E925715" w14:textId="77777777" w:rsidR="00423815" w:rsidRPr="00423815" w:rsidRDefault="00423815" w:rsidP="008B3606">
      <w:pPr>
        <w:spacing w:line="240" w:lineRule="auto"/>
        <w:ind w:firstLineChars="0"/>
        <w:rPr>
          <w:rFonts w:ascii="宋体" w:hAnsi="宋体"/>
          <w:sz w:val="28"/>
          <w:szCs w:val="28"/>
        </w:rPr>
      </w:pPr>
    </w:p>
    <w:p w14:paraId="4F23BFEE" w14:textId="77777777" w:rsidR="00423815" w:rsidRPr="00423815" w:rsidRDefault="00423815" w:rsidP="00423815">
      <w:pPr>
        <w:spacing w:line="240" w:lineRule="auto"/>
        <w:ind w:firstLineChars="1542" w:firstLine="4318"/>
        <w:rPr>
          <w:rFonts w:ascii="宋体" w:hAnsi="宋体"/>
          <w:sz w:val="28"/>
          <w:szCs w:val="28"/>
        </w:rPr>
      </w:pPr>
      <w:r w:rsidRPr="00423815">
        <w:rPr>
          <w:rFonts w:ascii="宋体" w:hAnsi="宋体" w:hint="eastAsia"/>
          <w:sz w:val="28"/>
          <w:szCs w:val="28"/>
        </w:rPr>
        <w:t>声明人  （签名）：</w:t>
      </w:r>
    </w:p>
    <w:p w14:paraId="2986FEAE" w14:textId="77777777" w:rsidR="00423815" w:rsidRPr="00423815" w:rsidRDefault="00423815" w:rsidP="00423815">
      <w:pPr>
        <w:spacing w:line="240" w:lineRule="auto"/>
        <w:ind w:firstLineChars="1542" w:firstLine="4318"/>
        <w:rPr>
          <w:rFonts w:ascii="宋体" w:hAnsi="宋体"/>
          <w:sz w:val="28"/>
          <w:szCs w:val="28"/>
        </w:rPr>
      </w:pPr>
      <w:r w:rsidRPr="00423815">
        <w:rPr>
          <w:rFonts w:ascii="宋体" w:hAnsi="宋体" w:hint="eastAsia"/>
          <w:sz w:val="28"/>
          <w:szCs w:val="28"/>
        </w:rPr>
        <w:t>指导教师（签名）：</w:t>
      </w:r>
    </w:p>
    <w:p w14:paraId="3AE51E4C" w14:textId="77777777" w:rsidR="00423815" w:rsidRPr="00423815" w:rsidRDefault="00423815" w:rsidP="008B3606">
      <w:pPr>
        <w:spacing w:line="240" w:lineRule="auto"/>
        <w:ind w:firstLineChars="171" w:firstLine="479"/>
        <w:rPr>
          <w:rFonts w:ascii="宋体" w:hAnsi="宋体"/>
          <w:sz w:val="28"/>
          <w:szCs w:val="28"/>
        </w:rPr>
      </w:pPr>
    </w:p>
    <w:p w14:paraId="02C80F39" w14:textId="77777777" w:rsidR="00423815" w:rsidRPr="00423815" w:rsidRDefault="00423815" w:rsidP="00C26E1B">
      <w:pPr>
        <w:spacing w:line="240" w:lineRule="auto"/>
        <w:ind w:firstLineChars="0" w:firstLine="560"/>
        <w:jc w:val="right"/>
        <w:rPr>
          <w:rFonts w:ascii="仿宋_GB2312" w:eastAsia="仿宋_GB2312" w:hAnsi="Verdana"/>
          <w:b/>
          <w:sz w:val="28"/>
          <w:szCs w:val="28"/>
        </w:rPr>
      </w:pPr>
      <w:r w:rsidRPr="00423815">
        <w:rPr>
          <w:rFonts w:ascii="宋体" w:hAnsi="宋体" w:hint="eastAsia"/>
          <w:sz w:val="28"/>
          <w:szCs w:val="28"/>
        </w:rPr>
        <w:t>年   月   日</w:t>
      </w:r>
    </w:p>
    <w:p w14:paraId="4FFCA75E" w14:textId="77777777" w:rsidR="00423815" w:rsidRDefault="00423815" w:rsidP="00423815"/>
    <w:p w14:paraId="2AAD9AB1" w14:textId="77777777" w:rsidR="003906E7" w:rsidRDefault="003906E7" w:rsidP="003906E7"/>
    <w:p w14:paraId="6114451A" w14:textId="77777777" w:rsidR="003906E7" w:rsidRDefault="003906E7" w:rsidP="003906E7">
      <w:pPr>
        <w:sectPr w:rsidR="003906E7">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61ABD740" w14:textId="77777777" w:rsidR="00C26E1B" w:rsidRPr="00C26E1B" w:rsidRDefault="00C26E1B" w:rsidP="00AF1241">
      <w:pPr>
        <w:spacing w:line="240" w:lineRule="auto"/>
        <w:ind w:firstLineChars="0" w:firstLine="0"/>
        <w:jc w:val="center"/>
        <w:rPr>
          <w:rFonts w:ascii="黑体" w:eastAsia="黑体" w:hAnsi="黑体"/>
          <w:b/>
          <w:sz w:val="36"/>
          <w:szCs w:val="36"/>
        </w:rPr>
      </w:pPr>
      <w:r w:rsidRPr="00C26E1B">
        <w:rPr>
          <w:rFonts w:ascii="黑体" w:eastAsia="黑体" w:hAnsi="黑体" w:hint="eastAsia"/>
          <w:b/>
          <w:sz w:val="36"/>
          <w:szCs w:val="36"/>
        </w:rPr>
        <w:lastRenderedPageBreak/>
        <w:t>厦门大学学位论文著作权使用声明</w:t>
      </w:r>
    </w:p>
    <w:p w14:paraId="186DA62B" w14:textId="77777777" w:rsidR="00C26E1B" w:rsidRPr="00C26E1B" w:rsidRDefault="00C26E1B" w:rsidP="00C26E1B">
      <w:pPr>
        <w:ind w:firstLine="560"/>
        <w:rPr>
          <w:rFonts w:ascii="仿宋_GB2312" w:eastAsia="仿宋_GB2312" w:hAnsi="Verdana"/>
          <w:sz w:val="28"/>
          <w:szCs w:val="28"/>
        </w:rPr>
      </w:pPr>
    </w:p>
    <w:p w14:paraId="418C7306" w14:textId="77777777" w:rsidR="00C26E1B" w:rsidRPr="00C26E1B" w:rsidRDefault="00C26E1B" w:rsidP="00C26E1B">
      <w:pPr>
        <w:ind w:firstLine="560"/>
        <w:rPr>
          <w:rFonts w:ascii="宋体" w:hAnsi="宋体"/>
          <w:sz w:val="28"/>
          <w:szCs w:val="28"/>
        </w:rPr>
      </w:pPr>
      <w:r w:rsidRPr="00C26E1B">
        <w:rPr>
          <w:rFonts w:ascii="宋体" w:hAnsi="宋体" w:hint="eastAsia"/>
          <w:sz w:val="28"/>
          <w:szCs w:val="28"/>
        </w:rPr>
        <w:t>本人同意厦门大学根据《中华人民共和国学位条例暂行实施办法》等规定保留和使用此学位论文，并向主管部门或其指定机构送交学位论文（包括纸质版和电子版），允许学位论文进入厦门大学图书馆及其数据库被查阅、借阅。本人同意厦门大学将学位论文加入全国博士、硕士学位论文共建单位数据库进行检索，将学位论文的标题和摘要汇编出版，采用影印、缩印或者其它方式合理复制学位论文。</w:t>
      </w:r>
    </w:p>
    <w:p w14:paraId="442577E2" w14:textId="77777777" w:rsidR="00C26E1B" w:rsidRPr="00C26E1B" w:rsidRDefault="00C26E1B" w:rsidP="00C26E1B">
      <w:pPr>
        <w:ind w:firstLine="560"/>
        <w:rPr>
          <w:rFonts w:ascii="宋体" w:hAnsi="宋体"/>
          <w:sz w:val="28"/>
          <w:szCs w:val="28"/>
        </w:rPr>
      </w:pPr>
      <w:r w:rsidRPr="00C26E1B">
        <w:rPr>
          <w:rFonts w:ascii="宋体" w:hAnsi="宋体" w:hint="eastAsia"/>
          <w:sz w:val="28"/>
          <w:szCs w:val="28"/>
        </w:rPr>
        <w:t>本学位论文属于：</w:t>
      </w:r>
    </w:p>
    <w:p w14:paraId="6C74F69C" w14:textId="77777777" w:rsidR="00C26E1B" w:rsidRPr="00C26E1B" w:rsidRDefault="00C26E1B" w:rsidP="008B3606">
      <w:pPr>
        <w:ind w:firstLine="560"/>
        <w:rPr>
          <w:rFonts w:ascii="宋体" w:hAnsi="宋体"/>
          <w:sz w:val="28"/>
          <w:szCs w:val="28"/>
        </w:rPr>
      </w:pPr>
      <w:r w:rsidRPr="00C26E1B">
        <w:rPr>
          <w:rFonts w:ascii="宋体" w:hAnsi="宋体" w:hint="eastAsia"/>
          <w:sz w:val="28"/>
          <w:szCs w:val="28"/>
        </w:rPr>
        <w:t>（     ）1.经厦门大学保密委员会审查核定的保密学位论文，于　　年　月　日解密，解密后适用上述授权。</w:t>
      </w:r>
    </w:p>
    <w:p w14:paraId="5E25B2E2" w14:textId="77777777" w:rsidR="00C26E1B" w:rsidRPr="00C26E1B" w:rsidRDefault="00C26E1B" w:rsidP="008B3606">
      <w:pPr>
        <w:ind w:firstLine="560"/>
        <w:rPr>
          <w:rFonts w:ascii="宋体" w:hAnsi="宋体"/>
          <w:sz w:val="28"/>
          <w:szCs w:val="28"/>
        </w:rPr>
      </w:pPr>
      <w:r w:rsidRPr="00C26E1B">
        <w:rPr>
          <w:rFonts w:ascii="宋体" w:hAnsi="宋体" w:hint="eastAsia"/>
          <w:sz w:val="28"/>
          <w:szCs w:val="28"/>
        </w:rPr>
        <w:t>（     ）2.不保密，适用上述授权。</w:t>
      </w:r>
    </w:p>
    <w:p w14:paraId="674C7DD0" w14:textId="77777777" w:rsidR="00C26E1B" w:rsidRPr="00C26E1B" w:rsidRDefault="00C26E1B" w:rsidP="00C26E1B">
      <w:pPr>
        <w:ind w:firstLine="560"/>
        <w:rPr>
          <w:rFonts w:ascii="宋体" w:hAnsi="宋体"/>
          <w:sz w:val="28"/>
          <w:szCs w:val="28"/>
        </w:rPr>
      </w:pPr>
      <w:r w:rsidRPr="00C26E1B">
        <w:rPr>
          <w:rFonts w:ascii="宋体" w:hAnsi="宋体" w:hint="eastAsia"/>
          <w:sz w:val="28"/>
          <w:szCs w:val="28"/>
        </w:rPr>
        <w:t>（请在以上相应括号内打“√”或填上相应内容。保密学位论文应是已经厦门大学保密委员会审定过的学位论文，未经厦门大学保密委员会审定的学位论文均为公开学位论文。此声明栏不填写的，默认为公开学位论文，均适用上述授权。）</w:t>
      </w:r>
    </w:p>
    <w:p w14:paraId="7C837C1C" w14:textId="77777777" w:rsidR="00C26E1B" w:rsidRPr="00C26E1B" w:rsidRDefault="00C26E1B" w:rsidP="00C26E1B">
      <w:pPr>
        <w:ind w:firstLineChars="0" w:firstLine="435"/>
        <w:rPr>
          <w:rFonts w:ascii="宋体" w:hAnsi="宋体"/>
          <w:sz w:val="28"/>
          <w:szCs w:val="28"/>
        </w:rPr>
      </w:pPr>
    </w:p>
    <w:p w14:paraId="5B3D3F6C" w14:textId="77777777" w:rsidR="00C26E1B" w:rsidRPr="00C26E1B" w:rsidRDefault="00C26E1B" w:rsidP="00C26E1B">
      <w:pPr>
        <w:ind w:firstLineChars="0" w:firstLine="435"/>
        <w:rPr>
          <w:rFonts w:ascii="宋体" w:hAnsi="宋体"/>
          <w:sz w:val="28"/>
          <w:szCs w:val="28"/>
        </w:rPr>
      </w:pPr>
    </w:p>
    <w:p w14:paraId="57B6F8CF" w14:textId="77777777" w:rsidR="00C26E1B" w:rsidRPr="00C26E1B" w:rsidRDefault="00C26E1B" w:rsidP="008B3606">
      <w:pPr>
        <w:ind w:firstLineChars="0" w:firstLine="4680"/>
        <w:rPr>
          <w:rFonts w:ascii="宋体" w:hAnsi="宋体"/>
          <w:sz w:val="28"/>
          <w:szCs w:val="28"/>
        </w:rPr>
      </w:pPr>
      <w:r w:rsidRPr="00C26E1B">
        <w:rPr>
          <w:rFonts w:ascii="宋体" w:hAnsi="宋体" w:hint="eastAsia"/>
          <w:sz w:val="28"/>
          <w:szCs w:val="28"/>
        </w:rPr>
        <w:t>声明人（签名）：</w:t>
      </w:r>
    </w:p>
    <w:p w14:paraId="21741097" w14:textId="77777777" w:rsidR="00C26E1B" w:rsidRPr="00C26E1B" w:rsidRDefault="00C26E1B" w:rsidP="00C26E1B">
      <w:pPr>
        <w:ind w:firstLineChars="1750" w:firstLine="4900"/>
        <w:jc w:val="right"/>
        <w:rPr>
          <w:rFonts w:ascii="宋体" w:hAnsi="宋体"/>
          <w:sz w:val="28"/>
          <w:szCs w:val="28"/>
        </w:rPr>
      </w:pPr>
      <w:r w:rsidRPr="00C26E1B">
        <w:rPr>
          <w:rFonts w:ascii="宋体" w:hAnsi="宋体" w:hint="eastAsia"/>
          <w:sz w:val="28"/>
          <w:szCs w:val="28"/>
        </w:rPr>
        <w:t>年   月   日</w:t>
      </w:r>
    </w:p>
    <w:p w14:paraId="7CAD4033" w14:textId="77777777" w:rsidR="003906E7" w:rsidRDefault="003906E7" w:rsidP="003906E7"/>
    <w:p w14:paraId="1D84F272" w14:textId="77777777" w:rsidR="00C26E1B" w:rsidRDefault="00C26E1B" w:rsidP="003906E7"/>
    <w:p w14:paraId="1055B418" w14:textId="77777777" w:rsidR="003906E7" w:rsidRDefault="003906E7" w:rsidP="00244D8A">
      <w:pPr>
        <w:keepNext/>
        <w:keepLines/>
        <w:spacing w:before="360" w:after="360"/>
        <w:ind w:firstLineChars="0"/>
        <w:jc w:val="center"/>
        <w:outlineLvl w:val="0"/>
        <w:rPr>
          <w:rFonts w:ascii="黑体" w:eastAsia="黑体" w:hAnsi="黑体"/>
          <w:b/>
          <w:bCs/>
          <w:kern w:val="44"/>
          <w:sz w:val="30"/>
          <w:szCs w:val="30"/>
        </w:rPr>
        <w:sectPr w:rsidR="003906E7">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42EAA46E" w14:textId="77777777" w:rsidR="003906E7" w:rsidRDefault="003906E7" w:rsidP="003A6455">
      <w:pPr>
        <w:keepNext/>
        <w:keepLines/>
        <w:spacing w:before="360" w:after="360"/>
        <w:ind w:firstLineChars="0" w:firstLine="0"/>
        <w:jc w:val="center"/>
        <w:rPr>
          <w:rFonts w:ascii="黑体" w:eastAsia="黑体" w:hAnsi="黑体"/>
          <w:b/>
          <w:bCs/>
          <w:kern w:val="44"/>
          <w:sz w:val="30"/>
          <w:szCs w:val="30"/>
        </w:rPr>
      </w:pPr>
      <w:r>
        <w:rPr>
          <w:rFonts w:ascii="黑体" w:eastAsia="黑体" w:hAnsi="黑体" w:hint="eastAsia"/>
          <w:b/>
          <w:bCs/>
          <w:kern w:val="44"/>
          <w:sz w:val="30"/>
          <w:szCs w:val="30"/>
        </w:rPr>
        <w:lastRenderedPageBreak/>
        <w:t>摘</w:t>
      </w:r>
      <w:r w:rsidR="00DA7E34">
        <w:rPr>
          <w:rFonts w:ascii="黑体" w:eastAsia="黑体" w:hAnsi="黑体" w:hint="eastAsia"/>
          <w:b/>
          <w:bCs/>
          <w:kern w:val="44"/>
          <w:sz w:val="30"/>
          <w:szCs w:val="30"/>
        </w:rPr>
        <w:t xml:space="preserve">　　</w:t>
      </w:r>
      <w:r>
        <w:rPr>
          <w:rFonts w:ascii="黑体" w:eastAsia="黑体" w:hAnsi="黑体" w:hint="eastAsia"/>
          <w:b/>
          <w:bCs/>
          <w:kern w:val="44"/>
          <w:sz w:val="30"/>
          <w:szCs w:val="30"/>
        </w:rPr>
        <w:t>要</w:t>
      </w:r>
    </w:p>
    <w:p w14:paraId="3EB2F424" w14:textId="10D98C2C" w:rsidR="00BD15B6" w:rsidRDefault="000A28DD" w:rsidP="00B3677C">
      <w:r>
        <w:rPr>
          <w:rFonts w:hint="eastAsia"/>
        </w:rPr>
        <w:t>随着</w:t>
      </w:r>
      <w:r w:rsidR="00B3677C">
        <w:rPr>
          <w:rFonts w:hint="eastAsia"/>
        </w:rPr>
        <w:t>我国</w:t>
      </w:r>
      <w:r>
        <w:rPr>
          <w:rFonts w:hint="eastAsia"/>
        </w:rPr>
        <w:t>资本市场的发展以及</w:t>
      </w:r>
      <w:r w:rsidR="00B3677C">
        <w:rPr>
          <w:rFonts w:hint="eastAsia"/>
        </w:rPr>
        <w:t>对证券研究报告需求</w:t>
      </w:r>
      <w:r w:rsidR="008D4CD4">
        <w:rPr>
          <w:rFonts w:hint="eastAsia"/>
        </w:rPr>
        <w:t>的不断增大，一方面</w:t>
      </w:r>
      <w:r w:rsidR="0068347D">
        <w:rPr>
          <w:rFonts w:hint="eastAsia"/>
        </w:rPr>
        <w:t>证券分析师对资本市场的影响</w:t>
      </w:r>
      <w:r w:rsidR="00B3677C">
        <w:rPr>
          <w:rFonts w:hint="eastAsia"/>
        </w:rPr>
        <w:t>日益增强</w:t>
      </w:r>
      <w:r w:rsidR="008D4CD4">
        <w:rPr>
          <w:rFonts w:hint="eastAsia"/>
        </w:rPr>
        <w:t>，另一方面证券分析师之间的竞争也越来越激烈</w:t>
      </w:r>
      <w:r w:rsidR="00B3677C">
        <w:rPr>
          <w:rFonts w:hint="eastAsia"/>
        </w:rPr>
        <w:t>。</w:t>
      </w:r>
      <w:r w:rsidR="008D4CD4">
        <w:rPr>
          <w:rFonts w:hint="eastAsia"/>
        </w:rPr>
        <w:t>国内关于分析师的</w:t>
      </w:r>
      <w:r w:rsidR="00B3677C">
        <w:rPr>
          <w:rFonts w:hint="eastAsia"/>
        </w:rPr>
        <w:t>研究明显增加，</w:t>
      </w:r>
      <w:r w:rsidR="008D4CD4">
        <w:rPr>
          <w:rFonts w:hint="eastAsia"/>
        </w:rPr>
        <w:t>大部分学者</w:t>
      </w:r>
      <w:r w:rsidR="00B3677C">
        <w:rPr>
          <w:rFonts w:hint="eastAsia"/>
        </w:rPr>
        <w:t>探讨证券分析师的信息处理能力、行为模式等，并已经取得了不少成果。</w:t>
      </w:r>
    </w:p>
    <w:p w14:paraId="724CDD4B" w14:textId="25C5C864" w:rsidR="00B3677C" w:rsidRDefault="00ED169B" w:rsidP="00B3677C">
      <w:r>
        <w:rPr>
          <w:rFonts w:hint="eastAsia"/>
        </w:rPr>
        <w:t>然而关于</w:t>
      </w:r>
      <w:r w:rsidR="00B3677C">
        <w:rPr>
          <w:rFonts w:hint="eastAsia"/>
        </w:rPr>
        <w:t>证券分析师</w:t>
      </w:r>
      <w:r>
        <w:rPr>
          <w:rFonts w:hint="eastAsia"/>
        </w:rPr>
        <w:t>择时</w:t>
      </w:r>
      <w:r w:rsidR="00B3677C">
        <w:rPr>
          <w:rFonts w:hint="eastAsia"/>
        </w:rPr>
        <w:t>发布</w:t>
      </w:r>
      <w:r>
        <w:rPr>
          <w:rFonts w:hint="eastAsia"/>
        </w:rPr>
        <w:t>分析</w:t>
      </w:r>
      <w:r w:rsidR="00B3677C">
        <w:rPr>
          <w:rFonts w:hint="eastAsia"/>
        </w:rPr>
        <w:t>报告</w:t>
      </w:r>
      <w:r>
        <w:rPr>
          <w:rFonts w:hint="eastAsia"/>
        </w:rPr>
        <w:t>的研究还较少</w:t>
      </w:r>
      <w:r w:rsidR="00BD15B6">
        <w:rPr>
          <w:rFonts w:hint="eastAsia"/>
        </w:rPr>
        <w:t>。</w:t>
      </w:r>
      <w:r>
        <w:rPr>
          <w:rFonts w:hint="eastAsia"/>
        </w:rPr>
        <w:t>首先，从分析报告中</w:t>
      </w:r>
      <w:r w:rsidR="000D3579">
        <w:rPr>
          <w:rFonts w:hint="eastAsia"/>
        </w:rPr>
        <w:t>所包含</w:t>
      </w:r>
      <w:r>
        <w:rPr>
          <w:rFonts w:hint="eastAsia"/>
        </w:rPr>
        <w:t>的信息出发：一方面，</w:t>
      </w:r>
      <w:r w:rsidR="00B3677C">
        <w:rPr>
          <w:rFonts w:hint="eastAsia"/>
        </w:rPr>
        <w:t>随着时间的推移，市场上可能产生更多的公开信息，削弱证券分析师的信息处理作用；另一方面，过早的发布报告则意味着要放弃未来可能加以利用的新信息，影响报告的预测质量。</w:t>
      </w:r>
      <w:r>
        <w:rPr>
          <w:rFonts w:hint="eastAsia"/>
        </w:rPr>
        <w:t>其次，从分析报告</w:t>
      </w:r>
      <w:r w:rsidR="000D3579">
        <w:rPr>
          <w:rFonts w:hint="eastAsia"/>
        </w:rPr>
        <w:t>对于市场上投资者的吸引力出发，在公司吸引大量注意时发布分析报告和在公司默默无闻时发布分析报告的效果也不同。</w:t>
      </w:r>
      <w:r w:rsidR="00B3677C">
        <w:rPr>
          <w:rFonts w:hint="eastAsia"/>
        </w:rPr>
        <w:t>基于此，</w:t>
      </w:r>
      <w:r w:rsidR="000D3579">
        <w:rPr>
          <w:rFonts w:hint="eastAsia"/>
        </w:rPr>
        <w:t>分析</w:t>
      </w:r>
      <w:r w:rsidR="00B3677C">
        <w:rPr>
          <w:rFonts w:hint="eastAsia"/>
        </w:rPr>
        <w:t>报告的发布时</w:t>
      </w:r>
      <w:r w:rsidR="000D3579">
        <w:rPr>
          <w:rFonts w:hint="eastAsia"/>
        </w:rPr>
        <w:t>点</w:t>
      </w:r>
      <w:r w:rsidR="00B3677C">
        <w:rPr>
          <w:rFonts w:hint="eastAsia"/>
        </w:rPr>
        <w:t>应当是证券分析师在工作中需要慎重考虑的一个因素。</w:t>
      </w:r>
    </w:p>
    <w:p w14:paraId="09D28CBF" w14:textId="0258DA92" w:rsidR="00BD15B6" w:rsidRDefault="00B3677C" w:rsidP="00B3677C">
      <w:r>
        <w:rPr>
          <w:rFonts w:hint="eastAsia"/>
        </w:rPr>
        <w:t>围绕这一主题，本文在借鉴国内外相关研究的基础上，利用中国</w:t>
      </w:r>
      <w:r>
        <w:rPr>
          <w:rFonts w:hint="eastAsia"/>
        </w:rPr>
        <w:t>A</w:t>
      </w:r>
      <w:r>
        <w:rPr>
          <w:rFonts w:hint="eastAsia"/>
        </w:rPr>
        <w:t>股市场的数据进行实证分析，回答</w:t>
      </w:r>
      <w:r w:rsidR="00BD15B6">
        <w:rPr>
          <w:rFonts w:hint="eastAsia"/>
        </w:rPr>
        <w:t>了</w:t>
      </w:r>
      <w:r>
        <w:rPr>
          <w:rFonts w:hint="eastAsia"/>
        </w:rPr>
        <w:t>两个主要的问题：证券分析师是否就研究报告的发布进行择时？如果证券分析师的确存在择时行为，</w:t>
      </w:r>
      <w:r w:rsidR="004471AB">
        <w:rPr>
          <w:rFonts w:hint="eastAsia"/>
        </w:rPr>
        <w:t>什么</w:t>
      </w:r>
      <w:r>
        <w:rPr>
          <w:rFonts w:hint="eastAsia"/>
        </w:rPr>
        <w:t>因素影响着分析师群体的择时决策？</w:t>
      </w:r>
      <w:r w:rsidR="00BD15B6">
        <w:rPr>
          <w:rFonts w:hint="eastAsia"/>
        </w:rPr>
        <w:t>文章利用</w:t>
      </w:r>
      <w:r w:rsidR="00BD15B6">
        <w:rPr>
          <w:rFonts w:hint="eastAsia"/>
        </w:rPr>
        <w:t>2</w:t>
      </w:r>
      <w:r w:rsidR="004471AB">
        <w:t>0</w:t>
      </w:r>
      <w:r w:rsidR="004471AB">
        <w:rPr>
          <w:rFonts w:hint="eastAsia"/>
        </w:rPr>
        <w:t>09</w:t>
      </w:r>
      <w:r w:rsidR="00BD15B6">
        <w:rPr>
          <w:rFonts w:hint="eastAsia"/>
        </w:rPr>
        <w:t>至</w:t>
      </w:r>
      <w:r w:rsidR="00BD15B6">
        <w:rPr>
          <w:rFonts w:hint="eastAsia"/>
        </w:rPr>
        <w:t>201</w:t>
      </w:r>
      <w:r w:rsidR="004471AB">
        <w:rPr>
          <w:rFonts w:hint="eastAsia"/>
        </w:rPr>
        <w:t>7</w:t>
      </w:r>
      <w:r w:rsidR="00BD15B6">
        <w:rPr>
          <w:rFonts w:hint="eastAsia"/>
        </w:rPr>
        <w:t>年中国证券分析师的</w:t>
      </w:r>
      <w:r w:rsidR="004471AB">
        <w:rPr>
          <w:rFonts w:hint="eastAsia"/>
        </w:rPr>
        <w:t>公司深度研究报告样本</w:t>
      </w:r>
      <w:r w:rsidR="00BD15B6">
        <w:rPr>
          <w:rFonts w:hint="eastAsia"/>
        </w:rPr>
        <w:t>，通过检验分析师评级报告发布</w:t>
      </w:r>
      <w:r w:rsidR="004471AB">
        <w:rPr>
          <w:rFonts w:hint="eastAsia"/>
        </w:rPr>
        <w:t>时的投资者情绪</w:t>
      </w:r>
      <w:r w:rsidR="00BD15B6">
        <w:rPr>
          <w:rFonts w:hint="eastAsia"/>
        </w:rPr>
        <w:t>，以及进一步的多元回归分析，发现分析师在发布</w:t>
      </w:r>
      <w:r w:rsidR="004471AB">
        <w:rPr>
          <w:rFonts w:hint="eastAsia"/>
        </w:rPr>
        <w:t>深度研究报告时</w:t>
      </w:r>
      <w:r w:rsidR="00BD15B6">
        <w:rPr>
          <w:rFonts w:hint="eastAsia"/>
        </w:rPr>
        <w:t>存在</w:t>
      </w:r>
      <w:r w:rsidR="004471AB">
        <w:rPr>
          <w:rFonts w:hint="eastAsia"/>
        </w:rPr>
        <w:t>一定</w:t>
      </w:r>
      <w:r w:rsidR="00BD15B6">
        <w:rPr>
          <w:rFonts w:hint="eastAsia"/>
        </w:rPr>
        <w:t>程度的择时行为，且这一行为</w:t>
      </w:r>
      <w:r w:rsidR="004471AB">
        <w:rPr>
          <w:rFonts w:hint="eastAsia"/>
        </w:rPr>
        <w:t>主要是受分析师</w:t>
      </w:r>
      <w:r w:rsidR="003C249F">
        <w:rPr>
          <w:rFonts w:hint="eastAsia"/>
        </w:rPr>
        <w:t>的</w:t>
      </w:r>
      <w:r w:rsidR="004471AB">
        <w:rPr>
          <w:rFonts w:hint="eastAsia"/>
        </w:rPr>
        <w:t>信息提供能力，即报告信息含量</w:t>
      </w:r>
      <w:r w:rsidR="00112A9B">
        <w:rPr>
          <w:rFonts w:hint="eastAsia"/>
        </w:rPr>
        <w:t>的影响。此外，</w:t>
      </w:r>
      <w:r w:rsidR="004471AB">
        <w:rPr>
          <w:rFonts w:hint="eastAsia"/>
        </w:rPr>
        <w:t>市场</w:t>
      </w:r>
      <w:r w:rsidR="003C249F">
        <w:rPr>
          <w:rFonts w:hint="eastAsia"/>
        </w:rPr>
        <w:t>能够识别</w:t>
      </w:r>
      <w:r w:rsidR="00D3146E">
        <w:rPr>
          <w:rFonts w:hint="eastAsia"/>
        </w:rPr>
        <w:t>分析师的择时行为</w:t>
      </w:r>
      <w:r w:rsidR="003C249F">
        <w:rPr>
          <w:rFonts w:hint="eastAsia"/>
        </w:rPr>
        <w:t>，表现为在报告发布后超额收益率的迅速消失</w:t>
      </w:r>
      <w:r w:rsidR="00112A9B">
        <w:rPr>
          <w:rFonts w:hint="eastAsia"/>
        </w:rPr>
        <w:t>。</w:t>
      </w:r>
    </w:p>
    <w:p w14:paraId="6D6E30A9" w14:textId="77777777" w:rsidR="00DA7E34" w:rsidRDefault="00BD15B6" w:rsidP="00B3677C">
      <w:r>
        <w:rPr>
          <w:rFonts w:hint="eastAsia"/>
        </w:rPr>
        <w:t>本文在以往相关研究的基础上，</w:t>
      </w:r>
      <w:r w:rsidR="00B3677C">
        <w:rPr>
          <w:rFonts w:hint="eastAsia"/>
        </w:rPr>
        <w:t>丰富</w:t>
      </w:r>
      <w:r>
        <w:rPr>
          <w:rFonts w:hint="eastAsia"/>
        </w:rPr>
        <w:t>了</w:t>
      </w:r>
      <w:r w:rsidR="00B3677C">
        <w:rPr>
          <w:rFonts w:hint="eastAsia"/>
        </w:rPr>
        <w:t>分析师盈余预测和股票评级的相关文献，并为分析师报告的使用者</w:t>
      </w:r>
      <w:r>
        <w:rPr>
          <w:rFonts w:hint="eastAsia"/>
        </w:rPr>
        <w:t>和</w:t>
      </w:r>
      <w:r w:rsidR="00B3677C">
        <w:rPr>
          <w:rFonts w:hint="eastAsia"/>
        </w:rPr>
        <w:t>证券市场监管者提供</w:t>
      </w:r>
      <w:r>
        <w:rPr>
          <w:rFonts w:hint="eastAsia"/>
        </w:rPr>
        <w:t>了</w:t>
      </w:r>
      <w:r w:rsidR="00B3677C">
        <w:rPr>
          <w:rFonts w:hint="eastAsia"/>
        </w:rPr>
        <w:t>一定的理论依据。</w:t>
      </w:r>
    </w:p>
    <w:p w14:paraId="374DA2DB" w14:textId="77777777" w:rsidR="00BD15B6" w:rsidRPr="00BD15B6" w:rsidRDefault="00BD15B6" w:rsidP="00B3677C"/>
    <w:p w14:paraId="386D6EEB" w14:textId="77777777" w:rsidR="00AF1241" w:rsidRDefault="00AF1241" w:rsidP="00DA7E34">
      <w:r>
        <w:rPr>
          <w:rFonts w:hint="eastAsia"/>
        </w:rPr>
        <w:t>关键词：证券分析师；择时行为</w:t>
      </w:r>
    </w:p>
    <w:p w14:paraId="59451286" w14:textId="77777777" w:rsidR="003906E7" w:rsidRDefault="003906E7" w:rsidP="003906E7"/>
    <w:p w14:paraId="49E480C3" w14:textId="77777777" w:rsidR="003906E7" w:rsidRDefault="003906E7" w:rsidP="003906E7">
      <w:pPr>
        <w:sectPr w:rsidR="003906E7" w:rsidSect="00C26E1B">
          <w:headerReference w:type="default" r:id="rId15"/>
          <w:footerReference w:type="default" r:id="rId16"/>
          <w:footnotePr>
            <w:numFmt w:val="decimalEnclosedCircleChinese"/>
            <w:numRestart w:val="eachPage"/>
          </w:footnotePr>
          <w:endnotePr>
            <w:numFmt w:val="decimal"/>
          </w:endnotePr>
          <w:pgSz w:w="11906" w:h="16838"/>
          <w:pgMar w:top="1440" w:right="1800" w:bottom="1440" w:left="1800" w:header="851" w:footer="992" w:gutter="0"/>
          <w:pgNumType w:fmt="upperRoman" w:start="1"/>
          <w:cols w:space="425"/>
          <w:docGrid w:type="lines" w:linePitch="312"/>
        </w:sectPr>
      </w:pPr>
    </w:p>
    <w:p w14:paraId="5E2C89C3" w14:textId="77777777" w:rsidR="003906E7" w:rsidRDefault="003906E7" w:rsidP="003A6455">
      <w:pPr>
        <w:keepNext/>
        <w:keepLines/>
        <w:spacing w:before="360" w:after="360"/>
        <w:ind w:firstLineChars="0" w:firstLine="0"/>
        <w:jc w:val="center"/>
        <w:rPr>
          <w:rFonts w:ascii="黑体" w:eastAsia="黑体" w:hAnsi="黑体"/>
          <w:b/>
          <w:bCs/>
          <w:kern w:val="44"/>
          <w:sz w:val="30"/>
          <w:szCs w:val="30"/>
        </w:rPr>
      </w:pPr>
      <w:r>
        <w:rPr>
          <w:rFonts w:ascii="黑体" w:eastAsia="黑体" w:hAnsi="黑体" w:hint="eastAsia"/>
          <w:b/>
          <w:bCs/>
          <w:kern w:val="44"/>
          <w:sz w:val="30"/>
          <w:szCs w:val="30"/>
        </w:rPr>
        <w:lastRenderedPageBreak/>
        <w:t>Abstract</w:t>
      </w:r>
    </w:p>
    <w:p w14:paraId="6DADDE45" w14:textId="6050811F" w:rsidR="002C074A" w:rsidRDefault="002C074A" w:rsidP="002C074A">
      <w:r>
        <w:t xml:space="preserve">With the development of China's capital market and the expansion of institutional investors, the demand for </w:t>
      </w:r>
      <w:r w:rsidR="00152434">
        <w:t>security</w:t>
      </w:r>
      <w:r>
        <w:t xml:space="preserve"> research report is also increasing, </w:t>
      </w:r>
      <w:r>
        <w:rPr>
          <w:rFonts w:hint="eastAsia"/>
        </w:rPr>
        <w:t>as</w:t>
      </w:r>
      <w:r>
        <w:t xml:space="preserve"> well as the impact of </w:t>
      </w:r>
      <w:r w:rsidR="00152434">
        <w:t>security</w:t>
      </w:r>
      <w:r>
        <w:t xml:space="preserve"> analysts on the capital market. In this context, many </w:t>
      </w:r>
      <w:r w:rsidRPr="002C074A">
        <w:t xml:space="preserve">academic </w:t>
      </w:r>
      <w:r w:rsidR="00F53B30" w:rsidRPr="002C074A">
        <w:t>research</w:t>
      </w:r>
      <w:r w:rsidR="00F53B30">
        <w:t>ers</w:t>
      </w:r>
      <w:r w:rsidRPr="002C074A">
        <w:t xml:space="preserve"> </w:t>
      </w:r>
      <w:r>
        <w:t>are</w:t>
      </w:r>
      <w:r w:rsidRPr="002C074A">
        <w:t xml:space="preserve"> paying attention to t</w:t>
      </w:r>
      <w:r>
        <w:t>his group of people</w:t>
      </w:r>
      <w:r w:rsidRPr="002C074A">
        <w:t xml:space="preserve">, mainly focusing on their information processing ability and behavior </w:t>
      </w:r>
      <w:r w:rsidR="003C249F" w:rsidRPr="002C074A">
        <w:t>pattern</w:t>
      </w:r>
      <w:r w:rsidR="003C249F">
        <w:t>s</w:t>
      </w:r>
      <w:r w:rsidR="003C249F" w:rsidRPr="002C074A">
        <w:t xml:space="preserve"> and</w:t>
      </w:r>
      <w:r w:rsidRPr="002C074A">
        <w:t xml:space="preserve"> has made a lot of achievements.</w:t>
      </w:r>
    </w:p>
    <w:p w14:paraId="4234F481" w14:textId="77777777" w:rsidR="002C074A" w:rsidRDefault="002C074A" w:rsidP="002C074A">
      <w:r>
        <w:t xml:space="preserve">However, there is still little research on the timing pattern of the security analyst report releases. Over time, the market may generate more public information to weaken the information processing role of </w:t>
      </w:r>
      <w:r w:rsidR="00152434">
        <w:t>security</w:t>
      </w:r>
      <w:r>
        <w:t xml:space="preserve"> analysts; on the other hand, </w:t>
      </w:r>
      <w:r w:rsidR="00152434">
        <w:t xml:space="preserve">making an early forecast </w:t>
      </w:r>
      <w:r>
        <w:t xml:space="preserve">means </w:t>
      </w:r>
      <w:r w:rsidR="00152434">
        <w:t>giving up the chance of using</w:t>
      </w:r>
      <w:r>
        <w:t xml:space="preserve"> new information that might </w:t>
      </w:r>
      <w:r w:rsidR="00152434">
        <w:t>come out</w:t>
      </w:r>
      <w:r>
        <w:t xml:space="preserve"> in the future</w:t>
      </w:r>
      <w:r w:rsidR="00152434">
        <w:t>, thus impact</w:t>
      </w:r>
      <w:r>
        <w:t xml:space="preserve">ing the </w:t>
      </w:r>
      <w:r w:rsidR="00152434">
        <w:t xml:space="preserve">forecast </w:t>
      </w:r>
      <w:r>
        <w:t xml:space="preserve">quality. </w:t>
      </w:r>
      <w:r w:rsidR="00152434">
        <w:t>Obviously</w:t>
      </w:r>
      <w:r>
        <w:t xml:space="preserve">, the </w:t>
      </w:r>
      <w:r w:rsidR="00152434">
        <w:t xml:space="preserve">timing of </w:t>
      </w:r>
      <w:r>
        <w:t>report</w:t>
      </w:r>
      <w:r w:rsidR="00152434">
        <w:t xml:space="preserve"> releases</w:t>
      </w:r>
      <w:r>
        <w:t xml:space="preserve"> should be a</w:t>
      </w:r>
      <w:r w:rsidR="00152434">
        <w:t>n important</w:t>
      </w:r>
      <w:r>
        <w:t xml:space="preserve"> factor</w:t>
      </w:r>
      <w:r w:rsidR="00152434">
        <w:t xml:space="preserve"> that</w:t>
      </w:r>
      <w:r>
        <w:t xml:space="preserve"> </w:t>
      </w:r>
      <w:r w:rsidR="00152434">
        <w:t>security</w:t>
      </w:r>
      <w:r>
        <w:t xml:space="preserve"> analysts need to consider carefully in their work.</w:t>
      </w:r>
    </w:p>
    <w:p w14:paraId="0494C106" w14:textId="77777777" w:rsidR="003906E7" w:rsidRDefault="00152434" w:rsidP="002E3E1D">
      <w:r>
        <w:t>T</w:t>
      </w:r>
      <w:r w:rsidR="002C074A">
        <w:t xml:space="preserve">his </w:t>
      </w:r>
      <w:r>
        <w:t>article</w:t>
      </w:r>
      <w:r w:rsidR="00895EDA">
        <w:t xml:space="preserve"> mainly </w:t>
      </w:r>
      <w:r w:rsidR="002C074A">
        <w:t>answer</w:t>
      </w:r>
      <w:r w:rsidR="00895EDA">
        <w:t>ed</w:t>
      </w:r>
      <w:r w:rsidR="002C074A">
        <w:t xml:space="preserve"> two</w:t>
      </w:r>
      <w:r w:rsidR="00895EDA">
        <w:t xml:space="preserve"> important </w:t>
      </w:r>
      <w:r w:rsidR="002C074A">
        <w:t xml:space="preserve">questions: </w:t>
      </w:r>
      <w:r w:rsidR="00895EDA">
        <w:t>do s</w:t>
      </w:r>
      <w:r>
        <w:t>ecurity</w:t>
      </w:r>
      <w:r w:rsidR="002C074A">
        <w:t xml:space="preserve"> analyst</w:t>
      </w:r>
      <w:r w:rsidR="00895EDA">
        <w:t>s</w:t>
      </w:r>
      <w:r w:rsidR="002C074A">
        <w:t xml:space="preserve"> </w:t>
      </w:r>
      <w:r w:rsidR="00895EDA">
        <w:t>timing</w:t>
      </w:r>
      <w:r w:rsidR="002C074A">
        <w:t xml:space="preserve"> </w:t>
      </w:r>
      <w:r w:rsidR="00895EDA">
        <w:t xml:space="preserve">when they release their </w:t>
      </w:r>
      <w:r w:rsidR="002C074A">
        <w:t>report</w:t>
      </w:r>
      <w:r w:rsidR="00895EDA">
        <w:t>s</w:t>
      </w:r>
      <w:r w:rsidR="002C074A">
        <w:t xml:space="preserve">? </w:t>
      </w:r>
      <w:r w:rsidR="00895EDA">
        <w:t>i</w:t>
      </w:r>
      <w:r w:rsidR="002C074A">
        <w:t xml:space="preserve">f </w:t>
      </w:r>
      <w:r w:rsidR="00895EDA">
        <w:t xml:space="preserve">so, </w:t>
      </w:r>
      <w:r w:rsidR="002C074A">
        <w:t xml:space="preserve">what factors </w:t>
      </w:r>
      <w:r w:rsidR="00895EDA">
        <w:t xml:space="preserve">will </w:t>
      </w:r>
      <w:r w:rsidR="002C074A">
        <w:t>affect the</w:t>
      </w:r>
      <w:r w:rsidR="00895EDA">
        <w:t>ir</w:t>
      </w:r>
      <w:r w:rsidR="002C074A">
        <w:t xml:space="preserve"> timing decision</w:t>
      </w:r>
      <w:r w:rsidR="00895EDA">
        <w:t>s</w:t>
      </w:r>
      <w:r w:rsidR="002C074A">
        <w:t xml:space="preserve">? Using the investment rating data of China </w:t>
      </w:r>
      <w:r w:rsidR="00895EDA">
        <w:t>s</w:t>
      </w:r>
      <w:r>
        <w:t>ecurity</w:t>
      </w:r>
      <w:r w:rsidR="002C074A">
        <w:t xml:space="preserve"> analyst in 2012-2016, this paper examine</w:t>
      </w:r>
      <w:r w:rsidR="00895EDA">
        <w:t>d</w:t>
      </w:r>
      <w:r w:rsidR="002C074A">
        <w:t xml:space="preserve"> the cumulative excess earnings of different event windows before and after the release of rating</w:t>
      </w:r>
      <w:r w:rsidR="00895EDA">
        <w:t>s</w:t>
      </w:r>
      <w:r w:rsidR="002C074A">
        <w:t xml:space="preserve">, </w:t>
      </w:r>
      <w:r w:rsidR="00895EDA">
        <w:t xml:space="preserve">along with some </w:t>
      </w:r>
      <w:r w:rsidR="002C074A">
        <w:t>further multivariate regression analys</w:t>
      </w:r>
      <w:r w:rsidR="00895EDA">
        <w:t>e</w:t>
      </w:r>
      <w:r w:rsidR="002C074A">
        <w:t>s, and f</w:t>
      </w:r>
      <w:r w:rsidR="00895EDA">
        <w:t>ound</w:t>
      </w:r>
      <w:r w:rsidR="002C074A">
        <w:t xml:space="preserve"> that analysts </w:t>
      </w:r>
      <w:r w:rsidR="00895EDA">
        <w:t>more or less</w:t>
      </w:r>
      <w:r w:rsidR="002C074A">
        <w:t xml:space="preserve"> timing </w:t>
      </w:r>
      <w:r w:rsidR="00895EDA">
        <w:t>the releases of</w:t>
      </w:r>
      <w:r w:rsidR="002C074A">
        <w:t xml:space="preserve"> rating adjustment report</w:t>
      </w:r>
      <w:r w:rsidR="00895EDA">
        <w:t>s.</w:t>
      </w:r>
      <w:r w:rsidR="002C074A">
        <w:t xml:space="preserve"> This behavior is influenced by company information transparency, reporting time</w:t>
      </w:r>
      <w:r w:rsidR="00895EDA">
        <w:t xml:space="preserve"> horizon</w:t>
      </w:r>
      <w:r w:rsidR="002C074A">
        <w:t>, and the number of companies</w:t>
      </w:r>
      <w:r w:rsidR="00895EDA">
        <w:t xml:space="preserve"> that the analysts cover</w:t>
      </w:r>
      <w:r w:rsidR="002C074A">
        <w:t xml:space="preserve">. In addition, as an external incentive mechanism, </w:t>
      </w:r>
      <w:r w:rsidR="002E3E1D">
        <w:t xml:space="preserve">analyst </w:t>
      </w:r>
      <w:r w:rsidR="002C074A">
        <w:t xml:space="preserve">reputation has distorted the behavior of </w:t>
      </w:r>
      <w:r>
        <w:t>security</w:t>
      </w:r>
      <w:r w:rsidR="002C074A">
        <w:t xml:space="preserve"> analysts and intensified their timing tendency.</w:t>
      </w:r>
    </w:p>
    <w:p w14:paraId="59BDB395" w14:textId="77777777" w:rsidR="003906E7" w:rsidRDefault="003906E7" w:rsidP="003906E7"/>
    <w:p w14:paraId="5D9F4201" w14:textId="77777777" w:rsidR="00AF1241" w:rsidRDefault="00AF1241" w:rsidP="003906E7">
      <w:r>
        <w:rPr>
          <w:rFonts w:hint="eastAsia"/>
        </w:rPr>
        <w:t>K</w:t>
      </w:r>
      <w:r>
        <w:t>eywords: Security Analyst; Timing Behavior</w:t>
      </w:r>
    </w:p>
    <w:p w14:paraId="41B40943" w14:textId="77777777" w:rsidR="00101A78" w:rsidRDefault="00101A78" w:rsidP="003906E7"/>
    <w:p w14:paraId="32D43492" w14:textId="77777777" w:rsidR="00101A78" w:rsidRDefault="00101A78" w:rsidP="003906E7">
      <w:pPr>
        <w:sectPr w:rsidR="00101A78" w:rsidSect="00DA7E34">
          <w:headerReference w:type="even" r:id="rId17"/>
          <w:headerReference w:type="default" r:id="rId18"/>
          <w:footerReference w:type="even" r:id="rId19"/>
          <w:footnotePr>
            <w:numFmt w:val="decimalEnclosedCircleChinese"/>
            <w:numRestart w:val="eachPage"/>
          </w:footnotePr>
          <w:endnotePr>
            <w:numFmt w:val="decimal"/>
          </w:endnotePr>
          <w:pgSz w:w="11906" w:h="16838"/>
          <w:pgMar w:top="1440" w:right="1800" w:bottom="1440" w:left="1800" w:header="851" w:footer="992" w:gutter="0"/>
          <w:pgNumType w:fmt="upperRoman"/>
          <w:cols w:space="425"/>
          <w:docGrid w:type="lines" w:linePitch="312"/>
        </w:sectPr>
      </w:pPr>
    </w:p>
    <w:sdt>
      <w:sdtPr>
        <w:rPr>
          <w:rFonts w:ascii="Times New Roman" w:eastAsia="宋体" w:hAnsi="Times New Roman" w:cs="Times New Roman"/>
          <w:color w:val="auto"/>
          <w:kern w:val="2"/>
          <w:sz w:val="24"/>
          <w:szCs w:val="24"/>
          <w:lang w:val="zh-CN"/>
        </w:rPr>
        <w:id w:val="1406186661"/>
        <w:docPartObj>
          <w:docPartGallery w:val="Table of Contents"/>
          <w:docPartUnique/>
        </w:docPartObj>
      </w:sdtPr>
      <w:sdtEndPr>
        <w:rPr>
          <w:b/>
          <w:bCs/>
        </w:rPr>
      </w:sdtEndPr>
      <w:sdtContent>
        <w:p w14:paraId="11F187BA" w14:textId="77777777" w:rsidR="00323D59" w:rsidRPr="00B857A2" w:rsidRDefault="00323D59" w:rsidP="00B857A2">
          <w:pPr>
            <w:pStyle w:val="TOC"/>
            <w:spacing w:beforeLines="100" w:before="312" w:afterLines="100" w:after="312" w:line="360" w:lineRule="auto"/>
            <w:jc w:val="center"/>
            <w:rPr>
              <w:rStyle w:val="10"/>
              <w:rFonts w:ascii="Times New Roman" w:hAnsi="Times New Roman"/>
              <w:color w:val="auto"/>
            </w:rPr>
          </w:pPr>
          <w:r w:rsidRPr="00B857A2">
            <w:rPr>
              <w:rStyle w:val="10"/>
              <w:rFonts w:ascii="Times New Roman" w:hAnsi="Times New Roman"/>
              <w:color w:val="auto"/>
            </w:rPr>
            <w:t>目</w:t>
          </w:r>
          <w:r w:rsidR="003A6455" w:rsidRPr="00B857A2">
            <w:rPr>
              <w:rStyle w:val="10"/>
              <w:rFonts w:ascii="Times New Roman" w:hAnsi="Times New Roman"/>
              <w:color w:val="auto"/>
            </w:rPr>
            <w:t xml:space="preserve">　　</w:t>
          </w:r>
          <w:r w:rsidRPr="00B857A2">
            <w:rPr>
              <w:rStyle w:val="10"/>
              <w:rFonts w:ascii="Times New Roman" w:hAnsi="Times New Roman"/>
              <w:color w:val="auto"/>
            </w:rPr>
            <w:t>录</w:t>
          </w:r>
        </w:p>
        <w:p w14:paraId="2588DA41" w14:textId="383B9FD1" w:rsidR="003770C1" w:rsidRDefault="00247D14">
          <w:pPr>
            <w:pStyle w:val="11"/>
            <w:rPr>
              <w:rFonts w:asciiTheme="minorHAnsi" w:eastAsiaTheme="minorEastAsia" w:hAnsiTheme="minorHAnsi" w:cstheme="minorBidi"/>
              <w:b w:val="0"/>
              <w:kern w:val="2"/>
              <w:sz w:val="21"/>
              <w:szCs w:val="22"/>
            </w:rPr>
          </w:pPr>
          <w:r w:rsidRPr="00B857A2">
            <w:rPr>
              <w:rFonts w:ascii="Times New Roman" w:hAnsi="Times New Roman"/>
            </w:rPr>
            <w:fldChar w:fldCharType="begin"/>
          </w:r>
          <w:r w:rsidRPr="00B857A2">
            <w:rPr>
              <w:rFonts w:ascii="Times New Roman" w:hAnsi="Times New Roman"/>
            </w:rPr>
            <w:instrText xml:space="preserve"> TOC \o "1-3" \h \z \u </w:instrText>
          </w:r>
          <w:r w:rsidRPr="00B857A2">
            <w:rPr>
              <w:rFonts w:ascii="Times New Roman" w:hAnsi="Times New Roman"/>
            </w:rPr>
            <w:fldChar w:fldCharType="separate"/>
          </w:r>
          <w:hyperlink w:anchor="_Toc509527740" w:history="1">
            <w:r w:rsidR="003770C1" w:rsidRPr="00E97AE9">
              <w:rPr>
                <w:rStyle w:val="ab"/>
              </w:rPr>
              <w:t>第一章</w:t>
            </w:r>
            <w:r w:rsidR="003770C1">
              <w:rPr>
                <w:rFonts w:asciiTheme="minorHAnsi" w:eastAsiaTheme="minorEastAsia" w:hAnsiTheme="minorHAnsi" w:cstheme="minorBidi"/>
                <w:b w:val="0"/>
                <w:kern w:val="2"/>
                <w:sz w:val="21"/>
                <w:szCs w:val="22"/>
              </w:rPr>
              <w:tab/>
            </w:r>
            <w:r w:rsidR="003770C1" w:rsidRPr="00E97AE9">
              <w:rPr>
                <w:rStyle w:val="ab"/>
              </w:rPr>
              <w:t>绪论</w:t>
            </w:r>
            <w:r w:rsidR="003770C1">
              <w:rPr>
                <w:webHidden/>
              </w:rPr>
              <w:tab/>
            </w:r>
            <w:r w:rsidR="003770C1">
              <w:rPr>
                <w:webHidden/>
              </w:rPr>
              <w:fldChar w:fldCharType="begin"/>
            </w:r>
            <w:r w:rsidR="003770C1">
              <w:rPr>
                <w:webHidden/>
              </w:rPr>
              <w:instrText xml:space="preserve"> PAGEREF _Toc509527740 \h </w:instrText>
            </w:r>
            <w:r w:rsidR="003770C1">
              <w:rPr>
                <w:webHidden/>
              </w:rPr>
            </w:r>
            <w:r w:rsidR="003770C1">
              <w:rPr>
                <w:webHidden/>
              </w:rPr>
              <w:fldChar w:fldCharType="separate"/>
            </w:r>
            <w:r w:rsidR="003770C1">
              <w:rPr>
                <w:webHidden/>
              </w:rPr>
              <w:t>1</w:t>
            </w:r>
            <w:r w:rsidR="003770C1">
              <w:rPr>
                <w:webHidden/>
              </w:rPr>
              <w:fldChar w:fldCharType="end"/>
            </w:r>
          </w:hyperlink>
        </w:p>
        <w:p w14:paraId="0E29A51E" w14:textId="1D2F8DA2" w:rsidR="003770C1" w:rsidRDefault="003770C1">
          <w:pPr>
            <w:pStyle w:val="21"/>
            <w:rPr>
              <w:rFonts w:asciiTheme="minorHAnsi" w:eastAsiaTheme="minorEastAsia" w:hAnsiTheme="minorHAnsi" w:cstheme="minorBidi"/>
              <w:b w:val="0"/>
              <w:kern w:val="2"/>
              <w:sz w:val="21"/>
              <w:szCs w:val="22"/>
            </w:rPr>
          </w:pPr>
          <w:hyperlink w:anchor="_Toc509527741" w:history="1">
            <w:r w:rsidRPr="00E97AE9">
              <w:rPr>
                <w:rStyle w:val="ab"/>
              </w:rPr>
              <w:t>第一节</w:t>
            </w:r>
            <w:r>
              <w:rPr>
                <w:rFonts w:asciiTheme="minorHAnsi" w:eastAsiaTheme="minorEastAsia" w:hAnsiTheme="minorHAnsi" w:cstheme="minorBidi"/>
                <w:b w:val="0"/>
                <w:kern w:val="2"/>
                <w:sz w:val="21"/>
                <w:szCs w:val="22"/>
              </w:rPr>
              <w:tab/>
            </w:r>
            <w:r w:rsidRPr="00E97AE9">
              <w:rPr>
                <w:rStyle w:val="ab"/>
              </w:rPr>
              <w:t>研究背景</w:t>
            </w:r>
            <w:r>
              <w:rPr>
                <w:webHidden/>
              </w:rPr>
              <w:tab/>
            </w:r>
            <w:r>
              <w:rPr>
                <w:webHidden/>
              </w:rPr>
              <w:fldChar w:fldCharType="begin"/>
            </w:r>
            <w:r>
              <w:rPr>
                <w:webHidden/>
              </w:rPr>
              <w:instrText xml:space="preserve"> PAGEREF _Toc509527741 \h </w:instrText>
            </w:r>
            <w:r>
              <w:rPr>
                <w:webHidden/>
              </w:rPr>
            </w:r>
            <w:r>
              <w:rPr>
                <w:webHidden/>
              </w:rPr>
              <w:fldChar w:fldCharType="separate"/>
            </w:r>
            <w:r>
              <w:rPr>
                <w:webHidden/>
              </w:rPr>
              <w:t>1</w:t>
            </w:r>
            <w:r>
              <w:rPr>
                <w:webHidden/>
              </w:rPr>
              <w:fldChar w:fldCharType="end"/>
            </w:r>
          </w:hyperlink>
        </w:p>
        <w:p w14:paraId="6EB01788" w14:textId="06D8CA30" w:rsidR="003770C1" w:rsidRDefault="003770C1">
          <w:pPr>
            <w:pStyle w:val="21"/>
            <w:rPr>
              <w:rFonts w:asciiTheme="minorHAnsi" w:eastAsiaTheme="minorEastAsia" w:hAnsiTheme="minorHAnsi" w:cstheme="minorBidi"/>
              <w:b w:val="0"/>
              <w:kern w:val="2"/>
              <w:sz w:val="21"/>
              <w:szCs w:val="22"/>
            </w:rPr>
          </w:pPr>
          <w:hyperlink w:anchor="_Toc509527742" w:history="1">
            <w:r w:rsidRPr="00E97AE9">
              <w:rPr>
                <w:rStyle w:val="ab"/>
              </w:rPr>
              <w:t>第二节</w:t>
            </w:r>
            <w:r>
              <w:rPr>
                <w:rFonts w:asciiTheme="minorHAnsi" w:eastAsiaTheme="minorEastAsia" w:hAnsiTheme="minorHAnsi" w:cstheme="minorBidi"/>
                <w:b w:val="0"/>
                <w:kern w:val="2"/>
                <w:sz w:val="21"/>
                <w:szCs w:val="22"/>
              </w:rPr>
              <w:tab/>
            </w:r>
            <w:r w:rsidRPr="00E97AE9">
              <w:rPr>
                <w:rStyle w:val="ab"/>
              </w:rPr>
              <w:t>研究内容与研究框架</w:t>
            </w:r>
            <w:r>
              <w:rPr>
                <w:webHidden/>
              </w:rPr>
              <w:tab/>
            </w:r>
            <w:r>
              <w:rPr>
                <w:webHidden/>
              </w:rPr>
              <w:fldChar w:fldCharType="begin"/>
            </w:r>
            <w:r>
              <w:rPr>
                <w:webHidden/>
              </w:rPr>
              <w:instrText xml:space="preserve"> PAGEREF _Toc509527742 \h </w:instrText>
            </w:r>
            <w:r>
              <w:rPr>
                <w:webHidden/>
              </w:rPr>
            </w:r>
            <w:r>
              <w:rPr>
                <w:webHidden/>
              </w:rPr>
              <w:fldChar w:fldCharType="separate"/>
            </w:r>
            <w:r>
              <w:rPr>
                <w:webHidden/>
              </w:rPr>
              <w:t>3</w:t>
            </w:r>
            <w:r>
              <w:rPr>
                <w:webHidden/>
              </w:rPr>
              <w:fldChar w:fldCharType="end"/>
            </w:r>
          </w:hyperlink>
        </w:p>
        <w:p w14:paraId="7483BFFA" w14:textId="5B0D6933" w:rsidR="003770C1" w:rsidRDefault="003770C1">
          <w:pPr>
            <w:pStyle w:val="21"/>
            <w:rPr>
              <w:rFonts w:asciiTheme="minorHAnsi" w:eastAsiaTheme="minorEastAsia" w:hAnsiTheme="minorHAnsi" w:cstheme="minorBidi"/>
              <w:b w:val="0"/>
              <w:kern w:val="2"/>
              <w:sz w:val="21"/>
              <w:szCs w:val="22"/>
            </w:rPr>
          </w:pPr>
          <w:hyperlink w:anchor="_Toc509527743" w:history="1">
            <w:r w:rsidRPr="00E97AE9">
              <w:rPr>
                <w:rStyle w:val="ab"/>
              </w:rPr>
              <w:t>第三节</w:t>
            </w:r>
            <w:r>
              <w:rPr>
                <w:rFonts w:asciiTheme="minorHAnsi" w:eastAsiaTheme="minorEastAsia" w:hAnsiTheme="minorHAnsi" w:cstheme="minorBidi"/>
                <w:b w:val="0"/>
                <w:kern w:val="2"/>
                <w:sz w:val="21"/>
                <w:szCs w:val="22"/>
              </w:rPr>
              <w:tab/>
            </w:r>
            <w:r w:rsidRPr="00E97AE9">
              <w:rPr>
                <w:rStyle w:val="ab"/>
              </w:rPr>
              <w:t>研究贡献</w:t>
            </w:r>
            <w:r>
              <w:rPr>
                <w:webHidden/>
              </w:rPr>
              <w:tab/>
            </w:r>
            <w:r>
              <w:rPr>
                <w:webHidden/>
              </w:rPr>
              <w:fldChar w:fldCharType="begin"/>
            </w:r>
            <w:r>
              <w:rPr>
                <w:webHidden/>
              </w:rPr>
              <w:instrText xml:space="preserve"> PAGEREF _Toc509527743 \h </w:instrText>
            </w:r>
            <w:r>
              <w:rPr>
                <w:webHidden/>
              </w:rPr>
            </w:r>
            <w:r>
              <w:rPr>
                <w:webHidden/>
              </w:rPr>
              <w:fldChar w:fldCharType="separate"/>
            </w:r>
            <w:r>
              <w:rPr>
                <w:webHidden/>
              </w:rPr>
              <w:t>4</w:t>
            </w:r>
            <w:r>
              <w:rPr>
                <w:webHidden/>
              </w:rPr>
              <w:fldChar w:fldCharType="end"/>
            </w:r>
          </w:hyperlink>
        </w:p>
        <w:p w14:paraId="7D68D885" w14:textId="060BBB27" w:rsidR="003770C1" w:rsidRDefault="003770C1">
          <w:pPr>
            <w:pStyle w:val="11"/>
            <w:rPr>
              <w:rFonts w:asciiTheme="minorHAnsi" w:eastAsiaTheme="minorEastAsia" w:hAnsiTheme="minorHAnsi" w:cstheme="minorBidi"/>
              <w:b w:val="0"/>
              <w:kern w:val="2"/>
              <w:sz w:val="21"/>
              <w:szCs w:val="22"/>
            </w:rPr>
          </w:pPr>
          <w:hyperlink w:anchor="_Toc509527744" w:history="1">
            <w:r w:rsidRPr="00E97AE9">
              <w:rPr>
                <w:rStyle w:val="ab"/>
              </w:rPr>
              <w:t>第二章</w:t>
            </w:r>
            <w:r>
              <w:rPr>
                <w:rFonts w:asciiTheme="minorHAnsi" w:eastAsiaTheme="minorEastAsia" w:hAnsiTheme="minorHAnsi" w:cstheme="minorBidi"/>
                <w:b w:val="0"/>
                <w:kern w:val="2"/>
                <w:sz w:val="21"/>
                <w:szCs w:val="22"/>
              </w:rPr>
              <w:tab/>
            </w:r>
            <w:r w:rsidRPr="00E97AE9">
              <w:rPr>
                <w:rStyle w:val="ab"/>
              </w:rPr>
              <w:t>相关理论研究综述</w:t>
            </w:r>
            <w:r>
              <w:rPr>
                <w:webHidden/>
              </w:rPr>
              <w:tab/>
            </w:r>
            <w:r>
              <w:rPr>
                <w:webHidden/>
              </w:rPr>
              <w:fldChar w:fldCharType="begin"/>
            </w:r>
            <w:r>
              <w:rPr>
                <w:webHidden/>
              </w:rPr>
              <w:instrText xml:space="preserve"> PAGEREF _Toc509527744 \h </w:instrText>
            </w:r>
            <w:r>
              <w:rPr>
                <w:webHidden/>
              </w:rPr>
            </w:r>
            <w:r>
              <w:rPr>
                <w:webHidden/>
              </w:rPr>
              <w:fldChar w:fldCharType="separate"/>
            </w:r>
            <w:r>
              <w:rPr>
                <w:webHidden/>
              </w:rPr>
              <w:t>6</w:t>
            </w:r>
            <w:r>
              <w:rPr>
                <w:webHidden/>
              </w:rPr>
              <w:fldChar w:fldCharType="end"/>
            </w:r>
          </w:hyperlink>
        </w:p>
        <w:p w14:paraId="3A476C83" w14:textId="082371AF" w:rsidR="003770C1" w:rsidRDefault="003770C1">
          <w:pPr>
            <w:pStyle w:val="21"/>
            <w:rPr>
              <w:rFonts w:asciiTheme="minorHAnsi" w:eastAsiaTheme="minorEastAsia" w:hAnsiTheme="minorHAnsi" w:cstheme="minorBidi"/>
              <w:b w:val="0"/>
              <w:kern w:val="2"/>
              <w:sz w:val="21"/>
              <w:szCs w:val="22"/>
            </w:rPr>
          </w:pPr>
          <w:hyperlink w:anchor="_Toc509527745" w:history="1">
            <w:r w:rsidRPr="00E97AE9">
              <w:rPr>
                <w:rStyle w:val="ab"/>
              </w:rPr>
              <w:t>第一节</w:t>
            </w:r>
            <w:r>
              <w:rPr>
                <w:rFonts w:asciiTheme="minorHAnsi" w:eastAsiaTheme="minorEastAsia" w:hAnsiTheme="minorHAnsi" w:cstheme="minorBidi"/>
                <w:b w:val="0"/>
                <w:kern w:val="2"/>
                <w:sz w:val="21"/>
                <w:szCs w:val="22"/>
              </w:rPr>
              <w:tab/>
            </w:r>
            <w:r w:rsidRPr="00E97AE9">
              <w:rPr>
                <w:rStyle w:val="ab"/>
              </w:rPr>
              <w:t>分析师盈余预测质量</w:t>
            </w:r>
            <w:r>
              <w:rPr>
                <w:webHidden/>
              </w:rPr>
              <w:tab/>
            </w:r>
            <w:r>
              <w:rPr>
                <w:webHidden/>
              </w:rPr>
              <w:fldChar w:fldCharType="begin"/>
            </w:r>
            <w:r>
              <w:rPr>
                <w:webHidden/>
              </w:rPr>
              <w:instrText xml:space="preserve"> PAGEREF _Toc509527745 \h </w:instrText>
            </w:r>
            <w:r>
              <w:rPr>
                <w:webHidden/>
              </w:rPr>
            </w:r>
            <w:r>
              <w:rPr>
                <w:webHidden/>
              </w:rPr>
              <w:fldChar w:fldCharType="separate"/>
            </w:r>
            <w:r>
              <w:rPr>
                <w:webHidden/>
              </w:rPr>
              <w:t>6</w:t>
            </w:r>
            <w:r>
              <w:rPr>
                <w:webHidden/>
              </w:rPr>
              <w:fldChar w:fldCharType="end"/>
            </w:r>
          </w:hyperlink>
        </w:p>
        <w:p w14:paraId="611AC3B7" w14:textId="1A65203B" w:rsidR="003770C1" w:rsidRDefault="003770C1">
          <w:pPr>
            <w:pStyle w:val="31"/>
            <w:rPr>
              <w:rFonts w:asciiTheme="minorHAnsi" w:eastAsiaTheme="minorEastAsia" w:hAnsiTheme="minorHAnsi" w:cstheme="minorBidi"/>
              <w:kern w:val="2"/>
              <w:sz w:val="21"/>
              <w:szCs w:val="22"/>
            </w:rPr>
          </w:pPr>
          <w:hyperlink w:anchor="_Toc509527746" w:history="1">
            <w:r w:rsidRPr="00E97AE9">
              <w:rPr>
                <w:rStyle w:val="ab"/>
              </w:rPr>
              <w:t>1.</w:t>
            </w:r>
            <w:r>
              <w:rPr>
                <w:rFonts w:asciiTheme="minorHAnsi" w:eastAsiaTheme="minorEastAsia" w:hAnsiTheme="minorHAnsi" w:cstheme="minorBidi"/>
                <w:kern w:val="2"/>
                <w:sz w:val="21"/>
                <w:szCs w:val="22"/>
              </w:rPr>
              <w:tab/>
            </w:r>
            <w:r w:rsidRPr="00E97AE9">
              <w:rPr>
                <w:rStyle w:val="ab"/>
              </w:rPr>
              <w:t>盈余预测准确性</w:t>
            </w:r>
            <w:r>
              <w:rPr>
                <w:webHidden/>
              </w:rPr>
              <w:tab/>
            </w:r>
            <w:r>
              <w:rPr>
                <w:webHidden/>
              </w:rPr>
              <w:fldChar w:fldCharType="begin"/>
            </w:r>
            <w:r>
              <w:rPr>
                <w:webHidden/>
              </w:rPr>
              <w:instrText xml:space="preserve"> PAGEREF _Toc509527746 \h </w:instrText>
            </w:r>
            <w:r>
              <w:rPr>
                <w:webHidden/>
              </w:rPr>
            </w:r>
            <w:r>
              <w:rPr>
                <w:webHidden/>
              </w:rPr>
              <w:fldChar w:fldCharType="separate"/>
            </w:r>
            <w:r>
              <w:rPr>
                <w:webHidden/>
              </w:rPr>
              <w:t>6</w:t>
            </w:r>
            <w:r>
              <w:rPr>
                <w:webHidden/>
              </w:rPr>
              <w:fldChar w:fldCharType="end"/>
            </w:r>
          </w:hyperlink>
        </w:p>
        <w:p w14:paraId="5AD3336C" w14:textId="650819A9" w:rsidR="003770C1" w:rsidRDefault="003770C1">
          <w:pPr>
            <w:pStyle w:val="31"/>
            <w:rPr>
              <w:rFonts w:asciiTheme="minorHAnsi" w:eastAsiaTheme="minorEastAsia" w:hAnsiTheme="minorHAnsi" w:cstheme="minorBidi"/>
              <w:kern w:val="2"/>
              <w:sz w:val="21"/>
              <w:szCs w:val="22"/>
            </w:rPr>
          </w:pPr>
          <w:hyperlink w:anchor="_Toc509527747" w:history="1">
            <w:r w:rsidRPr="00E97AE9">
              <w:rPr>
                <w:rStyle w:val="ab"/>
              </w:rPr>
              <w:t>2.</w:t>
            </w:r>
            <w:r>
              <w:rPr>
                <w:rFonts w:asciiTheme="minorHAnsi" w:eastAsiaTheme="minorEastAsia" w:hAnsiTheme="minorHAnsi" w:cstheme="minorBidi"/>
                <w:kern w:val="2"/>
                <w:sz w:val="21"/>
                <w:szCs w:val="22"/>
              </w:rPr>
              <w:tab/>
            </w:r>
            <w:r w:rsidRPr="00E97AE9">
              <w:rPr>
                <w:rStyle w:val="ab"/>
              </w:rPr>
              <w:t>盈余预测的有效性</w:t>
            </w:r>
            <w:r>
              <w:rPr>
                <w:webHidden/>
              </w:rPr>
              <w:tab/>
            </w:r>
            <w:r>
              <w:rPr>
                <w:webHidden/>
              </w:rPr>
              <w:fldChar w:fldCharType="begin"/>
            </w:r>
            <w:r>
              <w:rPr>
                <w:webHidden/>
              </w:rPr>
              <w:instrText xml:space="preserve"> PAGEREF _Toc509527747 \h </w:instrText>
            </w:r>
            <w:r>
              <w:rPr>
                <w:webHidden/>
              </w:rPr>
            </w:r>
            <w:r>
              <w:rPr>
                <w:webHidden/>
              </w:rPr>
              <w:fldChar w:fldCharType="separate"/>
            </w:r>
            <w:r>
              <w:rPr>
                <w:webHidden/>
              </w:rPr>
              <w:t>11</w:t>
            </w:r>
            <w:r>
              <w:rPr>
                <w:webHidden/>
              </w:rPr>
              <w:fldChar w:fldCharType="end"/>
            </w:r>
          </w:hyperlink>
        </w:p>
        <w:p w14:paraId="73689E4F" w14:textId="11C599C3" w:rsidR="003770C1" w:rsidRDefault="003770C1">
          <w:pPr>
            <w:pStyle w:val="21"/>
            <w:rPr>
              <w:rFonts w:asciiTheme="minorHAnsi" w:eastAsiaTheme="minorEastAsia" w:hAnsiTheme="minorHAnsi" w:cstheme="minorBidi"/>
              <w:b w:val="0"/>
              <w:kern w:val="2"/>
              <w:sz w:val="21"/>
              <w:szCs w:val="22"/>
            </w:rPr>
          </w:pPr>
          <w:hyperlink w:anchor="_Toc509527748" w:history="1">
            <w:r w:rsidRPr="00E97AE9">
              <w:rPr>
                <w:rStyle w:val="ab"/>
              </w:rPr>
              <w:t>第二节</w:t>
            </w:r>
            <w:r>
              <w:rPr>
                <w:rFonts w:asciiTheme="minorHAnsi" w:eastAsiaTheme="minorEastAsia" w:hAnsiTheme="minorHAnsi" w:cstheme="minorBidi"/>
                <w:b w:val="0"/>
                <w:kern w:val="2"/>
                <w:sz w:val="21"/>
                <w:szCs w:val="22"/>
              </w:rPr>
              <w:tab/>
            </w:r>
            <w:r w:rsidRPr="00E97AE9">
              <w:rPr>
                <w:rStyle w:val="ab"/>
              </w:rPr>
              <w:t>分析师行为模式分析</w:t>
            </w:r>
            <w:r>
              <w:rPr>
                <w:webHidden/>
              </w:rPr>
              <w:tab/>
            </w:r>
            <w:r>
              <w:rPr>
                <w:webHidden/>
              </w:rPr>
              <w:fldChar w:fldCharType="begin"/>
            </w:r>
            <w:r>
              <w:rPr>
                <w:webHidden/>
              </w:rPr>
              <w:instrText xml:space="preserve"> PAGEREF _Toc509527748 \h </w:instrText>
            </w:r>
            <w:r>
              <w:rPr>
                <w:webHidden/>
              </w:rPr>
            </w:r>
            <w:r>
              <w:rPr>
                <w:webHidden/>
              </w:rPr>
              <w:fldChar w:fldCharType="separate"/>
            </w:r>
            <w:r>
              <w:rPr>
                <w:webHidden/>
              </w:rPr>
              <w:t>13</w:t>
            </w:r>
            <w:r>
              <w:rPr>
                <w:webHidden/>
              </w:rPr>
              <w:fldChar w:fldCharType="end"/>
            </w:r>
          </w:hyperlink>
        </w:p>
        <w:p w14:paraId="0F8E2201" w14:textId="49C77D62" w:rsidR="003770C1" w:rsidRDefault="003770C1">
          <w:pPr>
            <w:pStyle w:val="31"/>
            <w:rPr>
              <w:rFonts w:asciiTheme="minorHAnsi" w:eastAsiaTheme="minorEastAsia" w:hAnsiTheme="minorHAnsi" w:cstheme="minorBidi"/>
              <w:kern w:val="2"/>
              <w:sz w:val="21"/>
              <w:szCs w:val="22"/>
            </w:rPr>
          </w:pPr>
          <w:hyperlink w:anchor="_Toc509527749" w:history="1">
            <w:r w:rsidRPr="00E97AE9">
              <w:rPr>
                <w:rStyle w:val="ab"/>
              </w:rPr>
              <w:t>1.</w:t>
            </w:r>
            <w:r>
              <w:rPr>
                <w:rFonts w:asciiTheme="minorHAnsi" w:eastAsiaTheme="minorEastAsia" w:hAnsiTheme="minorHAnsi" w:cstheme="minorBidi"/>
                <w:kern w:val="2"/>
                <w:sz w:val="21"/>
                <w:szCs w:val="22"/>
              </w:rPr>
              <w:tab/>
            </w:r>
            <w:r w:rsidRPr="00E97AE9">
              <w:rPr>
                <w:rStyle w:val="ab"/>
              </w:rPr>
              <w:t>分析师跟踪决策</w:t>
            </w:r>
            <w:r>
              <w:rPr>
                <w:webHidden/>
              </w:rPr>
              <w:tab/>
            </w:r>
            <w:r>
              <w:rPr>
                <w:webHidden/>
              </w:rPr>
              <w:fldChar w:fldCharType="begin"/>
            </w:r>
            <w:r>
              <w:rPr>
                <w:webHidden/>
              </w:rPr>
              <w:instrText xml:space="preserve"> PAGEREF _Toc509527749 \h </w:instrText>
            </w:r>
            <w:r>
              <w:rPr>
                <w:webHidden/>
              </w:rPr>
            </w:r>
            <w:r>
              <w:rPr>
                <w:webHidden/>
              </w:rPr>
              <w:fldChar w:fldCharType="separate"/>
            </w:r>
            <w:r>
              <w:rPr>
                <w:webHidden/>
              </w:rPr>
              <w:t>14</w:t>
            </w:r>
            <w:r>
              <w:rPr>
                <w:webHidden/>
              </w:rPr>
              <w:fldChar w:fldCharType="end"/>
            </w:r>
          </w:hyperlink>
        </w:p>
        <w:p w14:paraId="5ABB4A04" w14:textId="3AAD4B01" w:rsidR="003770C1" w:rsidRDefault="003770C1">
          <w:pPr>
            <w:pStyle w:val="31"/>
            <w:rPr>
              <w:rFonts w:asciiTheme="minorHAnsi" w:eastAsiaTheme="minorEastAsia" w:hAnsiTheme="minorHAnsi" w:cstheme="minorBidi"/>
              <w:kern w:val="2"/>
              <w:sz w:val="21"/>
              <w:szCs w:val="22"/>
            </w:rPr>
          </w:pPr>
          <w:hyperlink w:anchor="_Toc509527750" w:history="1">
            <w:r w:rsidRPr="00E97AE9">
              <w:rPr>
                <w:rStyle w:val="ab"/>
              </w:rPr>
              <w:t>2.</w:t>
            </w:r>
            <w:r>
              <w:rPr>
                <w:rFonts w:asciiTheme="minorHAnsi" w:eastAsiaTheme="minorEastAsia" w:hAnsiTheme="minorHAnsi" w:cstheme="minorBidi"/>
                <w:kern w:val="2"/>
                <w:sz w:val="21"/>
                <w:szCs w:val="22"/>
              </w:rPr>
              <w:tab/>
            </w:r>
            <w:r w:rsidRPr="00E97AE9">
              <w:rPr>
                <w:rStyle w:val="ab"/>
              </w:rPr>
              <w:t>分析师时间决策</w:t>
            </w:r>
            <w:r>
              <w:rPr>
                <w:webHidden/>
              </w:rPr>
              <w:tab/>
            </w:r>
            <w:r>
              <w:rPr>
                <w:webHidden/>
              </w:rPr>
              <w:fldChar w:fldCharType="begin"/>
            </w:r>
            <w:r>
              <w:rPr>
                <w:webHidden/>
              </w:rPr>
              <w:instrText xml:space="preserve"> PAGEREF _Toc509527750 \h </w:instrText>
            </w:r>
            <w:r>
              <w:rPr>
                <w:webHidden/>
              </w:rPr>
            </w:r>
            <w:r>
              <w:rPr>
                <w:webHidden/>
              </w:rPr>
              <w:fldChar w:fldCharType="separate"/>
            </w:r>
            <w:r>
              <w:rPr>
                <w:webHidden/>
              </w:rPr>
              <w:t>14</w:t>
            </w:r>
            <w:r>
              <w:rPr>
                <w:webHidden/>
              </w:rPr>
              <w:fldChar w:fldCharType="end"/>
            </w:r>
          </w:hyperlink>
        </w:p>
        <w:p w14:paraId="5E136A7F" w14:textId="52EFC6F3" w:rsidR="003770C1" w:rsidRDefault="003770C1">
          <w:pPr>
            <w:pStyle w:val="11"/>
            <w:rPr>
              <w:rFonts w:asciiTheme="minorHAnsi" w:eastAsiaTheme="minorEastAsia" w:hAnsiTheme="minorHAnsi" w:cstheme="minorBidi"/>
              <w:b w:val="0"/>
              <w:kern w:val="2"/>
              <w:sz w:val="21"/>
              <w:szCs w:val="22"/>
            </w:rPr>
          </w:pPr>
          <w:hyperlink w:anchor="_Toc509527751" w:history="1">
            <w:r w:rsidRPr="00E97AE9">
              <w:rPr>
                <w:rStyle w:val="ab"/>
              </w:rPr>
              <w:t>第三章</w:t>
            </w:r>
            <w:r>
              <w:rPr>
                <w:rFonts w:asciiTheme="minorHAnsi" w:eastAsiaTheme="minorEastAsia" w:hAnsiTheme="minorHAnsi" w:cstheme="minorBidi"/>
                <w:b w:val="0"/>
                <w:kern w:val="2"/>
                <w:sz w:val="21"/>
                <w:szCs w:val="22"/>
              </w:rPr>
              <w:tab/>
            </w:r>
            <w:r w:rsidRPr="00E97AE9">
              <w:rPr>
                <w:rStyle w:val="ab"/>
              </w:rPr>
              <w:t>证券分析师择时行为的实证研究</w:t>
            </w:r>
            <w:r>
              <w:rPr>
                <w:webHidden/>
              </w:rPr>
              <w:tab/>
            </w:r>
            <w:r>
              <w:rPr>
                <w:webHidden/>
              </w:rPr>
              <w:fldChar w:fldCharType="begin"/>
            </w:r>
            <w:r>
              <w:rPr>
                <w:webHidden/>
              </w:rPr>
              <w:instrText xml:space="preserve"> PAGEREF _Toc509527751 \h </w:instrText>
            </w:r>
            <w:r>
              <w:rPr>
                <w:webHidden/>
              </w:rPr>
            </w:r>
            <w:r>
              <w:rPr>
                <w:webHidden/>
              </w:rPr>
              <w:fldChar w:fldCharType="separate"/>
            </w:r>
            <w:r>
              <w:rPr>
                <w:webHidden/>
              </w:rPr>
              <w:t>16</w:t>
            </w:r>
            <w:r>
              <w:rPr>
                <w:webHidden/>
              </w:rPr>
              <w:fldChar w:fldCharType="end"/>
            </w:r>
          </w:hyperlink>
        </w:p>
        <w:p w14:paraId="29E96B52" w14:textId="4C92FE69" w:rsidR="003770C1" w:rsidRDefault="003770C1">
          <w:pPr>
            <w:pStyle w:val="21"/>
            <w:rPr>
              <w:rFonts w:asciiTheme="minorHAnsi" w:eastAsiaTheme="minorEastAsia" w:hAnsiTheme="minorHAnsi" w:cstheme="minorBidi"/>
              <w:b w:val="0"/>
              <w:kern w:val="2"/>
              <w:sz w:val="21"/>
              <w:szCs w:val="22"/>
            </w:rPr>
          </w:pPr>
          <w:hyperlink w:anchor="_Toc509527752" w:history="1">
            <w:r w:rsidRPr="00E97AE9">
              <w:rPr>
                <w:rStyle w:val="ab"/>
              </w:rPr>
              <w:t>第一节</w:t>
            </w:r>
            <w:r>
              <w:rPr>
                <w:rFonts w:asciiTheme="minorHAnsi" w:eastAsiaTheme="minorEastAsia" w:hAnsiTheme="minorHAnsi" w:cstheme="minorBidi"/>
                <w:b w:val="0"/>
                <w:kern w:val="2"/>
                <w:sz w:val="21"/>
                <w:szCs w:val="22"/>
              </w:rPr>
              <w:tab/>
            </w:r>
            <w:r w:rsidRPr="00E97AE9">
              <w:rPr>
                <w:rStyle w:val="ab"/>
              </w:rPr>
              <w:t>理论分析与研究假设</w:t>
            </w:r>
            <w:r>
              <w:rPr>
                <w:webHidden/>
              </w:rPr>
              <w:tab/>
            </w:r>
            <w:r>
              <w:rPr>
                <w:webHidden/>
              </w:rPr>
              <w:fldChar w:fldCharType="begin"/>
            </w:r>
            <w:r>
              <w:rPr>
                <w:webHidden/>
              </w:rPr>
              <w:instrText xml:space="preserve"> PAGEREF _Toc509527752 \h </w:instrText>
            </w:r>
            <w:r>
              <w:rPr>
                <w:webHidden/>
              </w:rPr>
            </w:r>
            <w:r>
              <w:rPr>
                <w:webHidden/>
              </w:rPr>
              <w:fldChar w:fldCharType="separate"/>
            </w:r>
            <w:r>
              <w:rPr>
                <w:webHidden/>
              </w:rPr>
              <w:t>16</w:t>
            </w:r>
            <w:r>
              <w:rPr>
                <w:webHidden/>
              </w:rPr>
              <w:fldChar w:fldCharType="end"/>
            </w:r>
          </w:hyperlink>
        </w:p>
        <w:p w14:paraId="7AC6F2D1" w14:textId="5948AD25" w:rsidR="003770C1" w:rsidRDefault="003770C1">
          <w:pPr>
            <w:pStyle w:val="21"/>
            <w:rPr>
              <w:rFonts w:asciiTheme="minorHAnsi" w:eastAsiaTheme="minorEastAsia" w:hAnsiTheme="minorHAnsi" w:cstheme="minorBidi"/>
              <w:b w:val="0"/>
              <w:kern w:val="2"/>
              <w:sz w:val="21"/>
              <w:szCs w:val="22"/>
            </w:rPr>
          </w:pPr>
          <w:hyperlink w:anchor="_Toc509527753" w:history="1">
            <w:r w:rsidRPr="00E97AE9">
              <w:rPr>
                <w:rStyle w:val="ab"/>
              </w:rPr>
              <w:t>第二节</w:t>
            </w:r>
            <w:r>
              <w:rPr>
                <w:rFonts w:asciiTheme="minorHAnsi" w:eastAsiaTheme="minorEastAsia" w:hAnsiTheme="minorHAnsi" w:cstheme="minorBidi"/>
                <w:b w:val="0"/>
                <w:kern w:val="2"/>
                <w:sz w:val="21"/>
                <w:szCs w:val="22"/>
              </w:rPr>
              <w:tab/>
            </w:r>
            <w:r w:rsidRPr="00E97AE9">
              <w:rPr>
                <w:rStyle w:val="ab"/>
              </w:rPr>
              <w:t>样本与描述性统计</w:t>
            </w:r>
            <w:r>
              <w:rPr>
                <w:webHidden/>
              </w:rPr>
              <w:tab/>
            </w:r>
            <w:r>
              <w:rPr>
                <w:webHidden/>
              </w:rPr>
              <w:fldChar w:fldCharType="begin"/>
            </w:r>
            <w:r>
              <w:rPr>
                <w:webHidden/>
              </w:rPr>
              <w:instrText xml:space="preserve"> PAGEREF _Toc509527753 \h </w:instrText>
            </w:r>
            <w:r>
              <w:rPr>
                <w:webHidden/>
              </w:rPr>
            </w:r>
            <w:r>
              <w:rPr>
                <w:webHidden/>
              </w:rPr>
              <w:fldChar w:fldCharType="separate"/>
            </w:r>
            <w:r>
              <w:rPr>
                <w:webHidden/>
              </w:rPr>
              <w:t>18</w:t>
            </w:r>
            <w:r>
              <w:rPr>
                <w:webHidden/>
              </w:rPr>
              <w:fldChar w:fldCharType="end"/>
            </w:r>
          </w:hyperlink>
        </w:p>
        <w:p w14:paraId="3D5E2773" w14:textId="678FB58A" w:rsidR="003770C1" w:rsidRDefault="003770C1">
          <w:pPr>
            <w:pStyle w:val="31"/>
            <w:rPr>
              <w:rFonts w:asciiTheme="minorHAnsi" w:eastAsiaTheme="minorEastAsia" w:hAnsiTheme="minorHAnsi" w:cstheme="minorBidi"/>
              <w:kern w:val="2"/>
              <w:sz w:val="21"/>
              <w:szCs w:val="22"/>
            </w:rPr>
          </w:pPr>
          <w:hyperlink w:anchor="_Toc509527754" w:history="1">
            <w:r w:rsidRPr="00E97AE9">
              <w:rPr>
                <w:rStyle w:val="ab"/>
              </w:rPr>
              <w:t>1.</w:t>
            </w:r>
            <w:r>
              <w:rPr>
                <w:rFonts w:asciiTheme="minorHAnsi" w:eastAsiaTheme="minorEastAsia" w:hAnsiTheme="minorHAnsi" w:cstheme="minorBidi"/>
                <w:kern w:val="2"/>
                <w:sz w:val="21"/>
                <w:szCs w:val="22"/>
              </w:rPr>
              <w:tab/>
            </w:r>
            <w:r w:rsidRPr="00E97AE9">
              <w:rPr>
                <w:rStyle w:val="ab"/>
              </w:rPr>
              <w:t>样本选择</w:t>
            </w:r>
            <w:r>
              <w:rPr>
                <w:webHidden/>
              </w:rPr>
              <w:tab/>
            </w:r>
            <w:r>
              <w:rPr>
                <w:webHidden/>
              </w:rPr>
              <w:fldChar w:fldCharType="begin"/>
            </w:r>
            <w:r>
              <w:rPr>
                <w:webHidden/>
              </w:rPr>
              <w:instrText xml:space="preserve"> PAGEREF _Toc509527754 \h </w:instrText>
            </w:r>
            <w:r>
              <w:rPr>
                <w:webHidden/>
              </w:rPr>
            </w:r>
            <w:r>
              <w:rPr>
                <w:webHidden/>
              </w:rPr>
              <w:fldChar w:fldCharType="separate"/>
            </w:r>
            <w:r>
              <w:rPr>
                <w:webHidden/>
              </w:rPr>
              <w:t>18</w:t>
            </w:r>
            <w:r>
              <w:rPr>
                <w:webHidden/>
              </w:rPr>
              <w:fldChar w:fldCharType="end"/>
            </w:r>
          </w:hyperlink>
        </w:p>
        <w:p w14:paraId="601C336D" w14:textId="43AD2F21" w:rsidR="003770C1" w:rsidRDefault="003770C1">
          <w:pPr>
            <w:pStyle w:val="31"/>
            <w:rPr>
              <w:rFonts w:asciiTheme="minorHAnsi" w:eastAsiaTheme="minorEastAsia" w:hAnsiTheme="minorHAnsi" w:cstheme="minorBidi"/>
              <w:kern w:val="2"/>
              <w:sz w:val="21"/>
              <w:szCs w:val="22"/>
            </w:rPr>
          </w:pPr>
          <w:hyperlink w:anchor="_Toc509527755" w:history="1">
            <w:r w:rsidRPr="00E97AE9">
              <w:rPr>
                <w:rStyle w:val="ab"/>
              </w:rPr>
              <w:t>2.</w:t>
            </w:r>
            <w:r>
              <w:rPr>
                <w:rFonts w:asciiTheme="minorHAnsi" w:eastAsiaTheme="minorEastAsia" w:hAnsiTheme="minorHAnsi" w:cstheme="minorBidi"/>
                <w:kern w:val="2"/>
                <w:sz w:val="21"/>
                <w:szCs w:val="22"/>
              </w:rPr>
              <w:tab/>
            </w:r>
            <w:r w:rsidRPr="00E97AE9">
              <w:rPr>
                <w:rStyle w:val="ab"/>
              </w:rPr>
              <w:t>关键变量的计算</w:t>
            </w:r>
            <w:r>
              <w:rPr>
                <w:webHidden/>
              </w:rPr>
              <w:tab/>
            </w:r>
            <w:r>
              <w:rPr>
                <w:webHidden/>
              </w:rPr>
              <w:fldChar w:fldCharType="begin"/>
            </w:r>
            <w:r>
              <w:rPr>
                <w:webHidden/>
              </w:rPr>
              <w:instrText xml:space="preserve"> PAGEREF _Toc509527755 \h </w:instrText>
            </w:r>
            <w:r>
              <w:rPr>
                <w:webHidden/>
              </w:rPr>
            </w:r>
            <w:r>
              <w:rPr>
                <w:webHidden/>
              </w:rPr>
              <w:fldChar w:fldCharType="separate"/>
            </w:r>
            <w:r>
              <w:rPr>
                <w:webHidden/>
              </w:rPr>
              <w:t>21</w:t>
            </w:r>
            <w:r>
              <w:rPr>
                <w:webHidden/>
              </w:rPr>
              <w:fldChar w:fldCharType="end"/>
            </w:r>
          </w:hyperlink>
        </w:p>
        <w:p w14:paraId="34EDD5D5" w14:textId="3F0D7496" w:rsidR="003770C1" w:rsidRDefault="003770C1">
          <w:pPr>
            <w:pStyle w:val="31"/>
            <w:rPr>
              <w:rFonts w:asciiTheme="minorHAnsi" w:eastAsiaTheme="minorEastAsia" w:hAnsiTheme="minorHAnsi" w:cstheme="minorBidi"/>
              <w:kern w:val="2"/>
              <w:sz w:val="21"/>
              <w:szCs w:val="22"/>
            </w:rPr>
          </w:pPr>
          <w:hyperlink w:anchor="_Toc509527756" w:history="1">
            <w:r w:rsidRPr="00E97AE9">
              <w:rPr>
                <w:rStyle w:val="ab"/>
              </w:rPr>
              <w:t>3.</w:t>
            </w:r>
            <w:r>
              <w:rPr>
                <w:rFonts w:asciiTheme="minorHAnsi" w:eastAsiaTheme="minorEastAsia" w:hAnsiTheme="minorHAnsi" w:cstheme="minorBidi"/>
                <w:kern w:val="2"/>
                <w:sz w:val="21"/>
                <w:szCs w:val="22"/>
              </w:rPr>
              <w:tab/>
            </w:r>
            <w:r w:rsidRPr="00E97AE9">
              <w:rPr>
                <w:rStyle w:val="ab"/>
              </w:rPr>
              <w:t>研究设计</w:t>
            </w:r>
            <w:r>
              <w:rPr>
                <w:webHidden/>
              </w:rPr>
              <w:tab/>
            </w:r>
            <w:r>
              <w:rPr>
                <w:webHidden/>
              </w:rPr>
              <w:fldChar w:fldCharType="begin"/>
            </w:r>
            <w:r>
              <w:rPr>
                <w:webHidden/>
              </w:rPr>
              <w:instrText xml:space="preserve"> PAGEREF _Toc509527756 \h </w:instrText>
            </w:r>
            <w:r>
              <w:rPr>
                <w:webHidden/>
              </w:rPr>
            </w:r>
            <w:r>
              <w:rPr>
                <w:webHidden/>
              </w:rPr>
              <w:fldChar w:fldCharType="separate"/>
            </w:r>
            <w:r>
              <w:rPr>
                <w:webHidden/>
              </w:rPr>
              <w:t>24</w:t>
            </w:r>
            <w:r>
              <w:rPr>
                <w:webHidden/>
              </w:rPr>
              <w:fldChar w:fldCharType="end"/>
            </w:r>
          </w:hyperlink>
        </w:p>
        <w:p w14:paraId="2331222D" w14:textId="62D494DD" w:rsidR="003770C1" w:rsidRDefault="003770C1">
          <w:pPr>
            <w:pStyle w:val="21"/>
            <w:rPr>
              <w:rFonts w:asciiTheme="minorHAnsi" w:eastAsiaTheme="minorEastAsia" w:hAnsiTheme="minorHAnsi" w:cstheme="minorBidi"/>
              <w:b w:val="0"/>
              <w:kern w:val="2"/>
              <w:sz w:val="21"/>
              <w:szCs w:val="22"/>
            </w:rPr>
          </w:pPr>
          <w:hyperlink w:anchor="_Toc509527757" w:history="1">
            <w:r w:rsidRPr="00E97AE9">
              <w:rPr>
                <w:rStyle w:val="ab"/>
              </w:rPr>
              <w:t>第三节</w:t>
            </w:r>
            <w:r>
              <w:rPr>
                <w:rFonts w:asciiTheme="minorHAnsi" w:eastAsiaTheme="minorEastAsia" w:hAnsiTheme="minorHAnsi" w:cstheme="minorBidi"/>
                <w:b w:val="0"/>
                <w:kern w:val="2"/>
                <w:sz w:val="21"/>
                <w:szCs w:val="22"/>
              </w:rPr>
              <w:tab/>
            </w:r>
            <w:r w:rsidRPr="00E97AE9">
              <w:rPr>
                <w:rStyle w:val="ab"/>
              </w:rPr>
              <w:t>实证研究过程</w:t>
            </w:r>
            <w:r>
              <w:rPr>
                <w:webHidden/>
              </w:rPr>
              <w:tab/>
            </w:r>
            <w:r>
              <w:rPr>
                <w:webHidden/>
              </w:rPr>
              <w:fldChar w:fldCharType="begin"/>
            </w:r>
            <w:r>
              <w:rPr>
                <w:webHidden/>
              </w:rPr>
              <w:instrText xml:space="preserve"> PAGEREF _Toc509527757 \h </w:instrText>
            </w:r>
            <w:r>
              <w:rPr>
                <w:webHidden/>
              </w:rPr>
            </w:r>
            <w:r>
              <w:rPr>
                <w:webHidden/>
              </w:rPr>
              <w:fldChar w:fldCharType="separate"/>
            </w:r>
            <w:r>
              <w:rPr>
                <w:webHidden/>
              </w:rPr>
              <w:t>26</w:t>
            </w:r>
            <w:r>
              <w:rPr>
                <w:webHidden/>
              </w:rPr>
              <w:fldChar w:fldCharType="end"/>
            </w:r>
          </w:hyperlink>
        </w:p>
        <w:p w14:paraId="2EF8CB00" w14:textId="5FCA2F80" w:rsidR="003770C1" w:rsidRDefault="003770C1">
          <w:pPr>
            <w:pStyle w:val="31"/>
            <w:rPr>
              <w:rFonts w:asciiTheme="minorHAnsi" w:eastAsiaTheme="minorEastAsia" w:hAnsiTheme="minorHAnsi" w:cstheme="minorBidi"/>
              <w:kern w:val="2"/>
              <w:sz w:val="21"/>
              <w:szCs w:val="22"/>
            </w:rPr>
          </w:pPr>
          <w:hyperlink w:anchor="_Toc509527758" w:history="1">
            <w:r w:rsidRPr="00E97AE9">
              <w:rPr>
                <w:rStyle w:val="ab"/>
              </w:rPr>
              <w:t>1.</w:t>
            </w:r>
            <w:r>
              <w:rPr>
                <w:rFonts w:asciiTheme="minorHAnsi" w:eastAsiaTheme="minorEastAsia" w:hAnsiTheme="minorHAnsi" w:cstheme="minorBidi"/>
                <w:kern w:val="2"/>
                <w:sz w:val="21"/>
                <w:szCs w:val="22"/>
              </w:rPr>
              <w:tab/>
            </w:r>
            <w:r w:rsidRPr="00E97AE9">
              <w:rPr>
                <w:rStyle w:val="ab"/>
              </w:rPr>
              <w:t>分析师择时行为检验</w:t>
            </w:r>
            <w:r>
              <w:rPr>
                <w:webHidden/>
              </w:rPr>
              <w:tab/>
            </w:r>
            <w:r>
              <w:rPr>
                <w:webHidden/>
              </w:rPr>
              <w:fldChar w:fldCharType="begin"/>
            </w:r>
            <w:r>
              <w:rPr>
                <w:webHidden/>
              </w:rPr>
              <w:instrText xml:space="preserve"> PAGEREF _Toc509527758 \h </w:instrText>
            </w:r>
            <w:r>
              <w:rPr>
                <w:webHidden/>
              </w:rPr>
            </w:r>
            <w:r>
              <w:rPr>
                <w:webHidden/>
              </w:rPr>
              <w:fldChar w:fldCharType="separate"/>
            </w:r>
            <w:r>
              <w:rPr>
                <w:webHidden/>
              </w:rPr>
              <w:t>26</w:t>
            </w:r>
            <w:r>
              <w:rPr>
                <w:webHidden/>
              </w:rPr>
              <w:fldChar w:fldCharType="end"/>
            </w:r>
          </w:hyperlink>
        </w:p>
        <w:p w14:paraId="199090C0" w14:textId="04E374DD" w:rsidR="003770C1" w:rsidRDefault="003770C1">
          <w:pPr>
            <w:pStyle w:val="31"/>
            <w:rPr>
              <w:rFonts w:asciiTheme="minorHAnsi" w:eastAsiaTheme="minorEastAsia" w:hAnsiTheme="minorHAnsi" w:cstheme="minorBidi"/>
              <w:kern w:val="2"/>
              <w:sz w:val="21"/>
              <w:szCs w:val="22"/>
            </w:rPr>
          </w:pPr>
          <w:hyperlink w:anchor="_Toc509527759" w:history="1">
            <w:r w:rsidRPr="00E97AE9">
              <w:rPr>
                <w:rStyle w:val="ab"/>
              </w:rPr>
              <w:t>2.</w:t>
            </w:r>
            <w:r>
              <w:rPr>
                <w:rFonts w:asciiTheme="minorHAnsi" w:eastAsiaTheme="minorEastAsia" w:hAnsiTheme="minorHAnsi" w:cstheme="minorBidi"/>
                <w:kern w:val="2"/>
                <w:sz w:val="21"/>
                <w:szCs w:val="22"/>
              </w:rPr>
              <w:tab/>
            </w:r>
            <w:r w:rsidRPr="00E97AE9">
              <w:rPr>
                <w:rStyle w:val="ab"/>
              </w:rPr>
              <w:t>报告信息含量的检验</w:t>
            </w:r>
            <w:r>
              <w:rPr>
                <w:webHidden/>
              </w:rPr>
              <w:tab/>
            </w:r>
            <w:r>
              <w:rPr>
                <w:webHidden/>
              </w:rPr>
              <w:fldChar w:fldCharType="begin"/>
            </w:r>
            <w:r>
              <w:rPr>
                <w:webHidden/>
              </w:rPr>
              <w:instrText xml:space="preserve"> PAGEREF _Toc509527759 \h </w:instrText>
            </w:r>
            <w:r>
              <w:rPr>
                <w:webHidden/>
              </w:rPr>
            </w:r>
            <w:r>
              <w:rPr>
                <w:webHidden/>
              </w:rPr>
              <w:fldChar w:fldCharType="separate"/>
            </w:r>
            <w:r>
              <w:rPr>
                <w:webHidden/>
              </w:rPr>
              <w:t>29</w:t>
            </w:r>
            <w:r>
              <w:rPr>
                <w:webHidden/>
              </w:rPr>
              <w:fldChar w:fldCharType="end"/>
            </w:r>
          </w:hyperlink>
        </w:p>
        <w:p w14:paraId="5A0DCFBE" w14:textId="0451FDB8" w:rsidR="003770C1" w:rsidRDefault="003770C1">
          <w:pPr>
            <w:pStyle w:val="31"/>
            <w:rPr>
              <w:rFonts w:asciiTheme="minorHAnsi" w:eastAsiaTheme="minorEastAsia" w:hAnsiTheme="minorHAnsi" w:cstheme="minorBidi"/>
              <w:kern w:val="2"/>
              <w:sz w:val="21"/>
              <w:szCs w:val="22"/>
            </w:rPr>
          </w:pPr>
          <w:hyperlink w:anchor="_Toc509527760" w:history="1">
            <w:r w:rsidRPr="00E97AE9">
              <w:rPr>
                <w:rStyle w:val="ab"/>
              </w:rPr>
              <w:t>3.</w:t>
            </w:r>
            <w:r>
              <w:rPr>
                <w:rFonts w:asciiTheme="minorHAnsi" w:eastAsiaTheme="minorEastAsia" w:hAnsiTheme="minorHAnsi" w:cstheme="minorBidi"/>
                <w:kern w:val="2"/>
                <w:sz w:val="21"/>
                <w:szCs w:val="22"/>
              </w:rPr>
              <w:tab/>
            </w:r>
            <w:r w:rsidRPr="00E97AE9">
              <w:rPr>
                <w:rStyle w:val="ab"/>
              </w:rPr>
              <w:t>市场对分析师的择时行为进行识别吗？</w:t>
            </w:r>
            <w:r>
              <w:rPr>
                <w:webHidden/>
              </w:rPr>
              <w:tab/>
            </w:r>
            <w:r>
              <w:rPr>
                <w:webHidden/>
              </w:rPr>
              <w:fldChar w:fldCharType="begin"/>
            </w:r>
            <w:r>
              <w:rPr>
                <w:webHidden/>
              </w:rPr>
              <w:instrText xml:space="preserve"> PAGEREF _Toc509527760 \h </w:instrText>
            </w:r>
            <w:r>
              <w:rPr>
                <w:webHidden/>
              </w:rPr>
            </w:r>
            <w:r>
              <w:rPr>
                <w:webHidden/>
              </w:rPr>
              <w:fldChar w:fldCharType="separate"/>
            </w:r>
            <w:r>
              <w:rPr>
                <w:webHidden/>
              </w:rPr>
              <w:t>34</w:t>
            </w:r>
            <w:r>
              <w:rPr>
                <w:webHidden/>
              </w:rPr>
              <w:fldChar w:fldCharType="end"/>
            </w:r>
          </w:hyperlink>
        </w:p>
        <w:p w14:paraId="5EE79C7D" w14:textId="2AED539B" w:rsidR="003770C1" w:rsidRDefault="003770C1">
          <w:pPr>
            <w:pStyle w:val="21"/>
            <w:rPr>
              <w:rFonts w:asciiTheme="minorHAnsi" w:eastAsiaTheme="minorEastAsia" w:hAnsiTheme="minorHAnsi" w:cstheme="minorBidi"/>
              <w:b w:val="0"/>
              <w:kern w:val="2"/>
              <w:sz w:val="21"/>
              <w:szCs w:val="22"/>
            </w:rPr>
          </w:pPr>
          <w:hyperlink w:anchor="_Toc509527761" w:history="1">
            <w:r w:rsidRPr="00E97AE9">
              <w:rPr>
                <w:rStyle w:val="ab"/>
              </w:rPr>
              <w:t>第四节</w:t>
            </w:r>
            <w:r>
              <w:rPr>
                <w:rFonts w:asciiTheme="minorHAnsi" w:eastAsiaTheme="minorEastAsia" w:hAnsiTheme="minorHAnsi" w:cstheme="minorBidi"/>
                <w:b w:val="0"/>
                <w:kern w:val="2"/>
                <w:sz w:val="21"/>
                <w:szCs w:val="22"/>
              </w:rPr>
              <w:tab/>
            </w:r>
            <w:r w:rsidRPr="00E97AE9">
              <w:rPr>
                <w:rStyle w:val="ab"/>
              </w:rPr>
              <w:t>稳健性检验</w:t>
            </w:r>
            <w:r>
              <w:rPr>
                <w:webHidden/>
              </w:rPr>
              <w:tab/>
            </w:r>
            <w:r>
              <w:rPr>
                <w:webHidden/>
              </w:rPr>
              <w:fldChar w:fldCharType="begin"/>
            </w:r>
            <w:r>
              <w:rPr>
                <w:webHidden/>
              </w:rPr>
              <w:instrText xml:space="preserve"> PAGEREF _Toc509527761 \h </w:instrText>
            </w:r>
            <w:r>
              <w:rPr>
                <w:webHidden/>
              </w:rPr>
            </w:r>
            <w:r>
              <w:rPr>
                <w:webHidden/>
              </w:rPr>
              <w:fldChar w:fldCharType="separate"/>
            </w:r>
            <w:r>
              <w:rPr>
                <w:webHidden/>
              </w:rPr>
              <w:t>35</w:t>
            </w:r>
            <w:r>
              <w:rPr>
                <w:webHidden/>
              </w:rPr>
              <w:fldChar w:fldCharType="end"/>
            </w:r>
          </w:hyperlink>
        </w:p>
        <w:p w14:paraId="766B59E6" w14:textId="353DBD8A" w:rsidR="003770C1" w:rsidRDefault="003770C1">
          <w:pPr>
            <w:pStyle w:val="31"/>
            <w:rPr>
              <w:rFonts w:asciiTheme="minorHAnsi" w:eastAsiaTheme="minorEastAsia" w:hAnsiTheme="minorHAnsi" w:cstheme="minorBidi"/>
              <w:kern w:val="2"/>
              <w:sz w:val="21"/>
              <w:szCs w:val="22"/>
            </w:rPr>
          </w:pPr>
          <w:hyperlink w:anchor="_Toc509527762" w:history="1">
            <w:r w:rsidRPr="00E97AE9">
              <w:rPr>
                <w:rStyle w:val="ab"/>
              </w:rPr>
              <w:t>1.</w:t>
            </w:r>
            <w:r>
              <w:rPr>
                <w:rFonts w:asciiTheme="minorHAnsi" w:eastAsiaTheme="minorEastAsia" w:hAnsiTheme="minorHAnsi" w:cstheme="minorBidi"/>
                <w:kern w:val="2"/>
                <w:sz w:val="21"/>
                <w:szCs w:val="22"/>
              </w:rPr>
              <w:tab/>
            </w:r>
            <w:r w:rsidRPr="00E97AE9">
              <w:rPr>
                <w:rStyle w:val="ab"/>
              </w:rPr>
              <w:t>控制宏观经济变量</w:t>
            </w:r>
            <w:r>
              <w:rPr>
                <w:webHidden/>
              </w:rPr>
              <w:tab/>
            </w:r>
            <w:r>
              <w:rPr>
                <w:webHidden/>
              </w:rPr>
              <w:fldChar w:fldCharType="begin"/>
            </w:r>
            <w:r>
              <w:rPr>
                <w:webHidden/>
              </w:rPr>
              <w:instrText xml:space="preserve"> PAGEREF _Toc509527762 \h </w:instrText>
            </w:r>
            <w:r>
              <w:rPr>
                <w:webHidden/>
              </w:rPr>
            </w:r>
            <w:r>
              <w:rPr>
                <w:webHidden/>
              </w:rPr>
              <w:fldChar w:fldCharType="separate"/>
            </w:r>
            <w:r>
              <w:rPr>
                <w:webHidden/>
              </w:rPr>
              <w:t>35</w:t>
            </w:r>
            <w:r>
              <w:rPr>
                <w:webHidden/>
              </w:rPr>
              <w:fldChar w:fldCharType="end"/>
            </w:r>
          </w:hyperlink>
        </w:p>
        <w:p w14:paraId="0F64BB60" w14:textId="59B41FFD" w:rsidR="003770C1" w:rsidRDefault="003770C1">
          <w:pPr>
            <w:pStyle w:val="31"/>
            <w:rPr>
              <w:rFonts w:asciiTheme="minorHAnsi" w:eastAsiaTheme="minorEastAsia" w:hAnsiTheme="minorHAnsi" w:cstheme="minorBidi"/>
              <w:kern w:val="2"/>
              <w:sz w:val="21"/>
              <w:szCs w:val="22"/>
            </w:rPr>
          </w:pPr>
          <w:hyperlink w:anchor="_Toc509527763" w:history="1">
            <w:r w:rsidRPr="00E97AE9">
              <w:rPr>
                <w:rStyle w:val="ab"/>
              </w:rPr>
              <w:t>2.</w:t>
            </w:r>
            <w:r>
              <w:rPr>
                <w:rFonts w:asciiTheme="minorHAnsi" w:eastAsiaTheme="minorEastAsia" w:hAnsiTheme="minorHAnsi" w:cstheme="minorBidi"/>
                <w:kern w:val="2"/>
                <w:sz w:val="21"/>
                <w:szCs w:val="22"/>
              </w:rPr>
              <w:tab/>
            </w:r>
            <w:r w:rsidRPr="00E97AE9">
              <w:rPr>
                <w:rStyle w:val="ab"/>
              </w:rPr>
              <w:t>使用不同方法计算超额收益</w:t>
            </w:r>
            <w:r>
              <w:rPr>
                <w:webHidden/>
              </w:rPr>
              <w:tab/>
            </w:r>
            <w:r>
              <w:rPr>
                <w:webHidden/>
              </w:rPr>
              <w:fldChar w:fldCharType="begin"/>
            </w:r>
            <w:r>
              <w:rPr>
                <w:webHidden/>
              </w:rPr>
              <w:instrText xml:space="preserve"> PAGEREF _Toc509527763 \h </w:instrText>
            </w:r>
            <w:r>
              <w:rPr>
                <w:webHidden/>
              </w:rPr>
            </w:r>
            <w:r>
              <w:rPr>
                <w:webHidden/>
              </w:rPr>
              <w:fldChar w:fldCharType="separate"/>
            </w:r>
            <w:r>
              <w:rPr>
                <w:webHidden/>
              </w:rPr>
              <w:t>35</w:t>
            </w:r>
            <w:r>
              <w:rPr>
                <w:webHidden/>
              </w:rPr>
              <w:fldChar w:fldCharType="end"/>
            </w:r>
          </w:hyperlink>
        </w:p>
        <w:p w14:paraId="26751E3B" w14:textId="2FD55B3A" w:rsidR="003770C1" w:rsidRDefault="003770C1">
          <w:pPr>
            <w:pStyle w:val="11"/>
            <w:rPr>
              <w:rFonts w:asciiTheme="minorHAnsi" w:eastAsiaTheme="minorEastAsia" w:hAnsiTheme="minorHAnsi" w:cstheme="minorBidi"/>
              <w:b w:val="0"/>
              <w:kern w:val="2"/>
              <w:sz w:val="21"/>
              <w:szCs w:val="22"/>
            </w:rPr>
          </w:pPr>
          <w:hyperlink w:anchor="_Toc509527764" w:history="1">
            <w:r w:rsidRPr="00E97AE9">
              <w:rPr>
                <w:rStyle w:val="ab"/>
              </w:rPr>
              <w:t>第四章</w:t>
            </w:r>
            <w:r>
              <w:rPr>
                <w:rFonts w:asciiTheme="minorHAnsi" w:eastAsiaTheme="minorEastAsia" w:hAnsiTheme="minorHAnsi" w:cstheme="minorBidi"/>
                <w:b w:val="0"/>
                <w:kern w:val="2"/>
                <w:sz w:val="21"/>
                <w:szCs w:val="22"/>
              </w:rPr>
              <w:tab/>
            </w:r>
            <w:r w:rsidRPr="00E97AE9">
              <w:rPr>
                <w:rStyle w:val="ab"/>
              </w:rPr>
              <w:t>结论与建议</w:t>
            </w:r>
            <w:r>
              <w:rPr>
                <w:webHidden/>
              </w:rPr>
              <w:tab/>
            </w:r>
            <w:r>
              <w:rPr>
                <w:webHidden/>
              </w:rPr>
              <w:fldChar w:fldCharType="begin"/>
            </w:r>
            <w:r>
              <w:rPr>
                <w:webHidden/>
              </w:rPr>
              <w:instrText xml:space="preserve"> PAGEREF _Toc509527764 \h </w:instrText>
            </w:r>
            <w:r>
              <w:rPr>
                <w:webHidden/>
              </w:rPr>
            </w:r>
            <w:r>
              <w:rPr>
                <w:webHidden/>
              </w:rPr>
              <w:fldChar w:fldCharType="separate"/>
            </w:r>
            <w:r>
              <w:rPr>
                <w:webHidden/>
              </w:rPr>
              <w:t>37</w:t>
            </w:r>
            <w:r>
              <w:rPr>
                <w:webHidden/>
              </w:rPr>
              <w:fldChar w:fldCharType="end"/>
            </w:r>
          </w:hyperlink>
        </w:p>
        <w:p w14:paraId="7615746E" w14:textId="70C70571" w:rsidR="003770C1" w:rsidRDefault="003770C1">
          <w:pPr>
            <w:pStyle w:val="21"/>
            <w:rPr>
              <w:rFonts w:asciiTheme="minorHAnsi" w:eastAsiaTheme="minorEastAsia" w:hAnsiTheme="minorHAnsi" w:cstheme="minorBidi"/>
              <w:b w:val="0"/>
              <w:kern w:val="2"/>
              <w:sz w:val="21"/>
              <w:szCs w:val="22"/>
            </w:rPr>
          </w:pPr>
          <w:hyperlink w:anchor="_Toc509527765" w:history="1">
            <w:r w:rsidRPr="00E97AE9">
              <w:rPr>
                <w:rStyle w:val="ab"/>
              </w:rPr>
              <w:t>第一节</w:t>
            </w:r>
            <w:r>
              <w:rPr>
                <w:rFonts w:asciiTheme="minorHAnsi" w:eastAsiaTheme="minorEastAsia" w:hAnsiTheme="minorHAnsi" w:cstheme="minorBidi"/>
                <w:b w:val="0"/>
                <w:kern w:val="2"/>
                <w:sz w:val="21"/>
                <w:szCs w:val="22"/>
              </w:rPr>
              <w:tab/>
            </w:r>
            <w:r w:rsidRPr="00E97AE9">
              <w:rPr>
                <w:rStyle w:val="ab"/>
              </w:rPr>
              <w:t>主要研究结论</w:t>
            </w:r>
            <w:r>
              <w:rPr>
                <w:webHidden/>
              </w:rPr>
              <w:tab/>
            </w:r>
            <w:r>
              <w:rPr>
                <w:webHidden/>
              </w:rPr>
              <w:fldChar w:fldCharType="begin"/>
            </w:r>
            <w:r>
              <w:rPr>
                <w:webHidden/>
              </w:rPr>
              <w:instrText xml:space="preserve"> PAGEREF _Toc509527765 \h </w:instrText>
            </w:r>
            <w:r>
              <w:rPr>
                <w:webHidden/>
              </w:rPr>
            </w:r>
            <w:r>
              <w:rPr>
                <w:webHidden/>
              </w:rPr>
              <w:fldChar w:fldCharType="separate"/>
            </w:r>
            <w:r>
              <w:rPr>
                <w:webHidden/>
              </w:rPr>
              <w:t>37</w:t>
            </w:r>
            <w:r>
              <w:rPr>
                <w:webHidden/>
              </w:rPr>
              <w:fldChar w:fldCharType="end"/>
            </w:r>
          </w:hyperlink>
        </w:p>
        <w:p w14:paraId="3020863D" w14:textId="281294D9" w:rsidR="003770C1" w:rsidRDefault="003770C1">
          <w:pPr>
            <w:pStyle w:val="21"/>
            <w:rPr>
              <w:rFonts w:asciiTheme="minorHAnsi" w:eastAsiaTheme="minorEastAsia" w:hAnsiTheme="minorHAnsi" w:cstheme="minorBidi"/>
              <w:b w:val="0"/>
              <w:kern w:val="2"/>
              <w:sz w:val="21"/>
              <w:szCs w:val="22"/>
            </w:rPr>
          </w:pPr>
          <w:hyperlink w:anchor="_Toc509527766" w:history="1">
            <w:r w:rsidRPr="00E97AE9">
              <w:rPr>
                <w:rStyle w:val="ab"/>
              </w:rPr>
              <w:t>第二节</w:t>
            </w:r>
            <w:r>
              <w:rPr>
                <w:rFonts w:asciiTheme="minorHAnsi" w:eastAsiaTheme="minorEastAsia" w:hAnsiTheme="minorHAnsi" w:cstheme="minorBidi"/>
                <w:b w:val="0"/>
                <w:kern w:val="2"/>
                <w:sz w:val="21"/>
                <w:szCs w:val="22"/>
              </w:rPr>
              <w:tab/>
            </w:r>
            <w:r w:rsidRPr="00E97AE9">
              <w:rPr>
                <w:rStyle w:val="ab"/>
              </w:rPr>
              <w:t>相关启示与建议</w:t>
            </w:r>
            <w:r>
              <w:rPr>
                <w:webHidden/>
              </w:rPr>
              <w:tab/>
            </w:r>
            <w:r>
              <w:rPr>
                <w:webHidden/>
              </w:rPr>
              <w:fldChar w:fldCharType="begin"/>
            </w:r>
            <w:r>
              <w:rPr>
                <w:webHidden/>
              </w:rPr>
              <w:instrText xml:space="preserve"> PAGEREF _Toc509527766 \h </w:instrText>
            </w:r>
            <w:r>
              <w:rPr>
                <w:webHidden/>
              </w:rPr>
            </w:r>
            <w:r>
              <w:rPr>
                <w:webHidden/>
              </w:rPr>
              <w:fldChar w:fldCharType="separate"/>
            </w:r>
            <w:r>
              <w:rPr>
                <w:webHidden/>
              </w:rPr>
              <w:t>38</w:t>
            </w:r>
            <w:r>
              <w:rPr>
                <w:webHidden/>
              </w:rPr>
              <w:fldChar w:fldCharType="end"/>
            </w:r>
          </w:hyperlink>
        </w:p>
        <w:p w14:paraId="6ACAA9C0" w14:textId="039F39BC" w:rsidR="003770C1" w:rsidRDefault="003770C1">
          <w:pPr>
            <w:pStyle w:val="21"/>
            <w:rPr>
              <w:rFonts w:asciiTheme="minorHAnsi" w:eastAsiaTheme="minorEastAsia" w:hAnsiTheme="minorHAnsi" w:cstheme="minorBidi"/>
              <w:b w:val="0"/>
              <w:kern w:val="2"/>
              <w:sz w:val="21"/>
              <w:szCs w:val="22"/>
            </w:rPr>
          </w:pPr>
          <w:hyperlink w:anchor="_Toc509527767" w:history="1">
            <w:r w:rsidRPr="00E97AE9">
              <w:rPr>
                <w:rStyle w:val="ab"/>
              </w:rPr>
              <w:t>第三节</w:t>
            </w:r>
            <w:r>
              <w:rPr>
                <w:rFonts w:asciiTheme="minorHAnsi" w:eastAsiaTheme="minorEastAsia" w:hAnsiTheme="minorHAnsi" w:cstheme="minorBidi"/>
                <w:b w:val="0"/>
                <w:kern w:val="2"/>
                <w:sz w:val="21"/>
                <w:szCs w:val="22"/>
              </w:rPr>
              <w:tab/>
            </w:r>
            <w:r w:rsidRPr="00E97AE9">
              <w:rPr>
                <w:rStyle w:val="ab"/>
              </w:rPr>
              <w:t>研究局限与展望</w:t>
            </w:r>
            <w:r>
              <w:rPr>
                <w:webHidden/>
              </w:rPr>
              <w:tab/>
            </w:r>
            <w:r>
              <w:rPr>
                <w:webHidden/>
              </w:rPr>
              <w:fldChar w:fldCharType="begin"/>
            </w:r>
            <w:r>
              <w:rPr>
                <w:webHidden/>
              </w:rPr>
              <w:instrText xml:space="preserve"> PAGEREF _Toc509527767 \h </w:instrText>
            </w:r>
            <w:r>
              <w:rPr>
                <w:webHidden/>
              </w:rPr>
            </w:r>
            <w:r>
              <w:rPr>
                <w:webHidden/>
              </w:rPr>
              <w:fldChar w:fldCharType="separate"/>
            </w:r>
            <w:r>
              <w:rPr>
                <w:webHidden/>
              </w:rPr>
              <w:t>39</w:t>
            </w:r>
            <w:r>
              <w:rPr>
                <w:webHidden/>
              </w:rPr>
              <w:fldChar w:fldCharType="end"/>
            </w:r>
          </w:hyperlink>
        </w:p>
        <w:p w14:paraId="7BDF118C" w14:textId="70FD93C9" w:rsidR="003770C1" w:rsidRDefault="003770C1">
          <w:pPr>
            <w:pStyle w:val="11"/>
            <w:rPr>
              <w:rFonts w:asciiTheme="minorHAnsi" w:eastAsiaTheme="minorEastAsia" w:hAnsiTheme="minorHAnsi" w:cstheme="minorBidi"/>
              <w:b w:val="0"/>
              <w:kern w:val="2"/>
              <w:sz w:val="21"/>
              <w:szCs w:val="22"/>
            </w:rPr>
          </w:pPr>
          <w:hyperlink w:anchor="_Toc509527768" w:history="1">
            <w:r w:rsidRPr="00E97AE9">
              <w:rPr>
                <w:rStyle w:val="ab"/>
              </w:rPr>
              <w:t>参考文献</w:t>
            </w:r>
            <w:r>
              <w:rPr>
                <w:webHidden/>
              </w:rPr>
              <w:tab/>
            </w:r>
            <w:r>
              <w:rPr>
                <w:webHidden/>
              </w:rPr>
              <w:fldChar w:fldCharType="begin"/>
            </w:r>
            <w:r>
              <w:rPr>
                <w:webHidden/>
              </w:rPr>
              <w:instrText xml:space="preserve"> PAGEREF _Toc509527768 \h </w:instrText>
            </w:r>
            <w:r>
              <w:rPr>
                <w:webHidden/>
              </w:rPr>
            </w:r>
            <w:r>
              <w:rPr>
                <w:webHidden/>
              </w:rPr>
              <w:fldChar w:fldCharType="separate"/>
            </w:r>
            <w:r>
              <w:rPr>
                <w:webHidden/>
              </w:rPr>
              <w:t>40</w:t>
            </w:r>
            <w:r>
              <w:rPr>
                <w:webHidden/>
              </w:rPr>
              <w:fldChar w:fldCharType="end"/>
            </w:r>
          </w:hyperlink>
        </w:p>
        <w:p w14:paraId="29F48B74" w14:textId="2A980872" w:rsidR="003906E7" w:rsidRDefault="00247D14" w:rsidP="00B857A2">
          <w:pPr>
            <w:ind w:firstLine="440"/>
          </w:pPr>
          <w:r w:rsidRPr="00B857A2">
            <w:rPr>
              <w:rFonts w:eastAsiaTheme="minorEastAsia"/>
              <w:kern w:val="0"/>
              <w:sz w:val="22"/>
              <w:szCs w:val="22"/>
            </w:rPr>
            <w:fldChar w:fldCharType="end"/>
          </w:r>
        </w:p>
      </w:sdtContent>
    </w:sdt>
    <w:p w14:paraId="2596AA59" w14:textId="77777777" w:rsidR="003906E7" w:rsidRDefault="003906E7" w:rsidP="003906E7">
      <w:pPr>
        <w:sectPr w:rsidR="003906E7" w:rsidSect="00DA7E34">
          <w:headerReference w:type="even" r:id="rId20"/>
          <w:headerReference w:type="default" r:id="rId21"/>
          <w:footnotePr>
            <w:numFmt w:val="decimalEnclosedCircleChinese"/>
            <w:numRestart w:val="eachPage"/>
          </w:footnotePr>
          <w:endnotePr>
            <w:numFmt w:val="decimal"/>
          </w:endnotePr>
          <w:pgSz w:w="11906" w:h="16838"/>
          <w:pgMar w:top="1440" w:right="1800" w:bottom="1440" w:left="1800" w:header="851" w:footer="992" w:gutter="0"/>
          <w:pgNumType w:fmt="upperRoman"/>
          <w:cols w:space="425"/>
          <w:docGrid w:type="lines" w:linePitch="312"/>
        </w:sectPr>
      </w:pPr>
    </w:p>
    <w:p w14:paraId="2011DD91" w14:textId="77777777" w:rsidR="00E70A83" w:rsidRDefault="00323D59" w:rsidP="00244D8A">
      <w:pPr>
        <w:pStyle w:val="1"/>
      </w:pPr>
      <w:bookmarkStart w:id="1" w:name="_Toc509527740"/>
      <w:r>
        <w:rPr>
          <w:rFonts w:hint="eastAsia"/>
        </w:rPr>
        <w:lastRenderedPageBreak/>
        <w:t>绪</w:t>
      </w:r>
      <w:r w:rsidR="00244D8A">
        <w:rPr>
          <w:rFonts w:hint="eastAsia"/>
        </w:rPr>
        <w:t>论</w:t>
      </w:r>
      <w:bookmarkEnd w:id="1"/>
    </w:p>
    <w:p w14:paraId="686DD738" w14:textId="77777777" w:rsidR="00666818" w:rsidRDefault="00666818" w:rsidP="00666818">
      <w:r>
        <w:rPr>
          <w:rFonts w:hint="eastAsia"/>
        </w:rPr>
        <w:t>证券分析师</w:t>
      </w:r>
      <w:r w:rsidR="0060607D">
        <w:rPr>
          <w:rFonts w:hint="eastAsia"/>
        </w:rPr>
        <w:t>在资本市场中扮演着重要的角色，通常而言，其基本工作包括收集和处理上市公司的各种相关信息，包括其经营数据、财务数据以及行业的重要数据，基于信息对公司的</w:t>
      </w:r>
      <w:r w:rsidR="0090393D">
        <w:rPr>
          <w:rFonts w:hint="eastAsia"/>
        </w:rPr>
        <w:t>未来</w:t>
      </w:r>
      <w:r w:rsidR="0060607D">
        <w:rPr>
          <w:rFonts w:hint="eastAsia"/>
        </w:rPr>
        <w:t>业绩和投资价值</w:t>
      </w:r>
      <w:r w:rsidR="00101A78">
        <w:rPr>
          <w:rFonts w:hint="eastAsia"/>
        </w:rPr>
        <w:t>做出</w:t>
      </w:r>
      <w:r w:rsidR="0060607D">
        <w:rPr>
          <w:rFonts w:hint="eastAsia"/>
        </w:rPr>
        <w:t>预测和判断，为投资者提供投资建议。</w:t>
      </w:r>
    </w:p>
    <w:p w14:paraId="58E66D7D" w14:textId="77777777" w:rsidR="0060607D" w:rsidRDefault="0060607D" w:rsidP="00666818">
      <w:r>
        <w:rPr>
          <w:rFonts w:hint="eastAsia"/>
        </w:rPr>
        <w:t>从其所供职的机构类型方面来看，证券分析师可分为就职于证券公司的“卖方分析师”和就职于基金公司、</w:t>
      </w:r>
      <w:r w:rsidR="00101A78">
        <w:rPr>
          <w:rFonts w:hint="eastAsia"/>
        </w:rPr>
        <w:t>资产管理</w:t>
      </w:r>
      <w:r>
        <w:rPr>
          <w:rFonts w:hint="eastAsia"/>
        </w:rPr>
        <w:t>公司、保险公司等机构投资者的“买方分析师”。相比之下，前者的数量远远多于后者，且服务的对象广泛涵盖各类</w:t>
      </w:r>
      <w:r w:rsidR="0090393D">
        <w:rPr>
          <w:rFonts w:hint="eastAsia"/>
        </w:rPr>
        <w:t>投资机构</w:t>
      </w:r>
      <w:r>
        <w:rPr>
          <w:rFonts w:hint="eastAsia"/>
        </w:rPr>
        <w:t>，</w:t>
      </w:r>
      <w:r w:rsidR="0090393D">
        <w:rPr>
          <w:rFonts w:hint="eastAsia"/>
        </w:rPr>
        <w:t>是重要的资本市场信息加工者，其对资本市场效率和投资者的投资行为均有很大影响，</w:t>
      </w:r>
      <w:r w:rsidR="00C166AF">
        <w:rPr>
          <w:rFonts w:hint="eastAsia"/>
        </w:rPr>
        <w:t>因此</w:t>
      </w:r>
      <w:r w:rsidR="0090393D">
        <w:rPr>
          <w:rFonts w:hint="eastAsia"/>
        </w:rPr>
        <w:t>成为了学术界的主要研究对象</w:t>
      </w:r>
      <w:r w:rsidR="00C166AF">
        <w:rPr>
          <w:rFonts w:hint="eastAsia"/>
        </w:rPr>
        <w:t>，也是本文主要关注的分析师群体</w:t>
      </w:r>
      <w:r w:rsidR="0090393D">
        <w:rPr>
          <w:rFonts w:hint="eastAsia"/>
        </w:rPr>
        <w:t>。</w:t>
      </w:r>
    </w:p>
    <w:p w14:paraId="1B032EB4" w14:textId="77777777" w:rsidR="0090393D" w:rsidRDefault="0090393D" w:rsidP="00666818">
      <w:r>
        <w:rPr>
          <w:rFonts w:hint="eastAsia"/>
        </w:rPr>
        <w:t>在我国资本市场的发展与完善过程中，证券分析师是其中不可或缺的一环，因此，本文拟以此作为研究对象，考察证券分析师的行为</w:t>
      </w:r>
      <w:r w:rsidR="00C166AF">
        <w:rPr>
          <w:rFonts w:hint="eastAsia"/>
        </w:rPr>
        <w:t>模式</w:t>
      </w:r>
      <w:r>
        <w:rPr>
          <w:rFonts w:hint="eastAsia"/>
        </w:rPr>
        <w:t>，并为投资者等研究报告使用</w:t>
      </w:r>
      <w:r w:rsidR="00C166AF">
        <w:rPr>
          <w:rFonts w:hint="eastAsia"/>
        </w:rPr>
        <w:t>主体就分析师工作成果的使用提供一定程度上的参考。</w:t>
      </w:r>
    </w:p>
    <w:p w14:paraId="64235E25" w14:textId="77777777" w:rsidR="00C166AF" w:rsidRDefault="00C166AF" w:rsidP="00666818">
      <w:r>
        <w:rPr>
          <w:rFonts w:hint="eastAsia"/>
        </w:rPr>
        <w:t>本章主要将分为三个部分，首先阐述本文的研究背景和主要问题，其次是研究的思路、内容与框架结构，最后将指出本文的改进和主要创新之处。</w:t>
      </w:r>
    </w:p>
    <w:p w14:paraId="3BDF9878" w14:textId="77777777" w:rsidR="00E5798C" w:rsidRPr="00666818" w:rsidRDefault="00E5798C" w:rsidP="00666818"/>
    <w:p w14:paraId="0BE90412" w14:textId="30AB4ABE" w:rsidR="005917B7" w:rsidRDefault="005917B7" w:rsidP="002E3E1D">
      <w:pPr>
        <w:pStyle w:val="2"/>
      </w:pPr>
      <w:bookmarkStart w:id="2" w:name="_Toc509527741"/>
      <w:r>
        <w:rPr>
          <w:rFonts w:hint="eastAsia"/>
        </w:rPr>
        <w:t>研究背景</w:t>
      </w:r>
      <w:bookmarkEnd w:id="2"/>
    </w:p>
    <w:p w14:paraId="054DDD2A" w14:textId="77777777" w:rsidR="00222A5B" w:rsidRDefault="00C166AF" w:rsidP="005917B7">
      <w:r>
        <w:rPr>
          <w:rFonts w:hint="eastAsia"/>
        </w:rPr>
        <w:t>与国外的成熟资本市场相比，我国的证券分析师还属于一个</w:t>
      </w:r>
      <w:r w:rsidR="009E3FF5">
        <w:rPr>
          <w:rFonts w:hint="eastAsia"/>
        </w:rPr>
        <w:t>比较</w:t>
      </w:r>
      <w:r>
        <w:rPr>
          <w:rFonts w:hint="eastAsia"/>
        </w:rPr>
        <w:t>年轻的职业，大约从</w:t>
      </w:r>
      <w:r>
        <w:rPr>
          <w:rFonts w:hint="eastAsia"/>
        </w:rPr>
        <w:t>2001</w:t>
      </w:r>
      <w:r>
        <w:rPr>
          <w:rFonts w:hint="eastAsia"/>
        </w:rPr>
        <w:t>年开始，国内的一些券商开始建立以基本面分析为主的研究部门，积极开展各类实地调研和投资者交流活动，发挥作为证券市场信息加工主体、信息传播主体的重要作用。</w:t>
      </w:r>
    </w:p>
    <w:p w14:paraId="172A57B2" w14:textId="77777777" w:rsidR="00985F13" w:rsidRDefault="00985F13" w:rsidP="00985F13">
      <w:r>
        <w:rPr>
          <w:rFonts w:hint="eastAsia"/>
        </w:rPr>
        <w:t>证券分析师的信息收集和传播工作主要形成的成果即研究报告，包括对行业整体发展情况以及具体上市公司经营情况等</w:t>
      </w:r>
      <w:r w:rsidR="00EC0174">
        <w:rPr>
          <w:rFonts w:hint="eastAsia"/>
        </w:rPr>
        <w:t>方面的</w:t>
      </w:r>
      <w:r>
        <w:rPr>
          <w:rFonts w:hint="eastAsia"/>
        </w:rPr>
        <w:t>研究，</w:t>
      </w:r>
      <w:r w:rsidR="00EC0174">
        <w:rPr>
          <w:rFonts w:hint="eastAsia"/>
        </w:rPr>
        <w:t>其中又以上市公司的盈利预测和投资评级为研究报告的核心部分，也是投资者在使用报告时最为关注的</w:t>
      </w:r>
      <w:r w:rsidR="00EC0174">
        <w:rPr>
          <w:rFonts w:hint="eastAsia"/>
        </w:rPr>
        <w:lastRenderedPageBreak/>
        <w:t>部分。盈余预测作为公司经营成果最直接的体现方式，影响着报告使用者对公司基本面情况的判断，</w:t>
      </w:r>
      <w:r w:rsidR="001B30C9">
        <w:rPr>
          <w:rFonts w:hint="eastAsia"/>
        </w:rPr>
        <w:t>盈余预测与实际盈余的差异形成的误差可能会影响股票价格走势，因此</w:t>
      </w:r>
      <w:r w:rsidR="00EC0174">
        <w:rPr>
          <w:rFonts w:hint="eastAsia"/>
        </w:rPr>
        <w:t>也</w:t>
      </w:r>
      <w:r w:rsidR="001B30C9">
        <w:rPr>
          <w:rFonts w:hint="eastAsia"/>
        </w:rPr>
        <w:t>激励公司管理层关注分析师盈余预测的变化并在一定程度上相应调整公司的经营，</w:t>
      </w:r>
      <w:r w:rsidR="00EC0174">
        <w:rPr>
          <w:rFonts w:hint="eastAsia"/>
        </w:rPr>
        <w:t>间接作为外部治理机制影响上市公司</w:t>
      </w:r>
      <w:r w:rsidR="001B30C9">
        <w:rPr>
          <w:rFonts w:hint="eastAsia"/>
        </w:rPr>
        <w:t>。</w:t>
      </w:r>
    </w:p>
    <w:p w14:paraId="4E730D6C" w14:textId="77777777" w:rsidR="009E3FF5" w:rsidRDefault="001B30C9" w:rsidP="001B30C9">
      <w:r>
        <w:rPr>
          <w:rFonts w:hint="eastAsia"/>
        </w:rPr>
        <w:t>同时，我国的机构投资者规模也在不断扩大，股票投资基金、保险公司、</w:t>
      </w:r>
      <w:r>
        <w:rPr>
          <w:rFonts w:hint="eastAsia"/>
        </w:rPr>
        <w:t>Q</w:t>
      </w:r>
      <w:r>
        <w:t>FII</w:t>
      </w:r>
      <w:r>
        <w:rPr>
          <w:rFonts w:hint="eastAsia"/>
        </w:rPr>
        <w:t>等机构投资者的投资金额在中国股市中的占比正不断提高，在资本市场中占据了主导地位。这些机构投资者作为证券分析师的主要客户，其发展壮大进一步提升了对证券研究报告的需求。由于这些机构投资者均将卖方分析师报告作为重要的投资决策依据，因此证券分析师对资本市场所产生的影响也日益增强。</w:t>
      </w:r>
    </w:p>
    <w:p w14:paraId="2ED6C632" w14:textId="77777777" w:rsidR="009E3FF5" w:rsidRDefault="009E3FF5" w:rsidP="009E3FF5">
      <w:r w:rsidRPr="00812374">
        <w:rPr>
          <w:rFonts w:hint="eastAsia"/>
        </w:rPr>
        <w:t>但是证券分析师也是投资决策者中的一员，也可能受到行为金融学上的各种判断和决策偏差的影响，从而削弱其所能达到的效率。另一方面，证券分析师是作为企业机构的证券公司券商中的一员，在工作中与各利益相关方有密切的彼此支持和制约关系，与上市公司管理层的联系、基金公司等机构客户和券商内部业务相关部门对分析师的评价对分析师无形声誉的建立和有形报酬的获得具有关键性的影响，因此，分析师在发布盈余预测和股票评级时，有可能因为这些利益关系行业治理因素而使得其报告的客观性受到扭曲，削弱分析师行业在资本市场所发挥的效率。</w:t>
      </w:r>
    </w:p>
    <w:p w14:paraId="007E3D77" w14:textId="77777777" w:rsidR="0001010D" w:rsidRDefault="001B30C9" w:rsidP="009E3FF5">
      <w:r>
        <w:rPr>
          <w:rFonts w:hint="eastAsia"/>
        </w:rPr>
        <w:t>在这种背景下，国内学术界的相关研究明显逐年增加，</w:t>
      </w:r>
      <w:r w:rsidR="009E3FF5">
        <w:rPr>
          <w:rFonts w:hint="eastAsia"/>
        </w:rPr>
        <w:t>与国外的研究主题类似，</w:t>
      </w:r>
      <w:r>
        <w:rPr>
          <w:rFonts w:hint="eastAsia"/>
        </w:rPr>
        <w:t>主要集中于探讨证券分析师的</w:t>
      </w:r>
      <w:r w:rsidR="009E3FF5">
        <w:rPr>
          <w:rFonts w:hint="eastAsia"/>
        </w:rPr>
        <w:t>信息处理能力</w:t>
      </w:r>
      <w:r>
        <w:rPr>
          <w:rFonts w:hint="eastAsia"/>
        </w:rPr>
        <w:t>、行为模式等领域，为</w:t>
      </w:r>
      <w:r w:rsidR="007253A0">
        <w:rPr>
          <w:rFonts w:hint="eastAsia"/>
        </w:rPr>
        <w:t>证券分析师</w:t>
      </w:r>
      <w:r w:rsidR="00E87442">
        <w:rPr>
          <w:rFonts w:hint="eastAsia"/>
        </w:rPr>
        <w:t>的</w:t>
      </w:r>
      <w:r>
        <w:rPr>
          <w:rFonts w:hint="eastAsia"/>
        </w:rPr>
        <w:t>行业监管以及投资者如何更好地利用分析师的研究成果提供一定程度的指引</w:t>
      </w:r>
      <w:r w:rsidR="007253A0">
        <w:rPr>
          <w:rFonts w:hint="eastAsia"/>
        </w:rPr>
        <w:t>，并已经取得了不少成果。</w:t>
      </w:r>
      <w:r w:rsidR="00933AED">
        <w:rPr>
          <w:rFonts w:hint="eastAsia"/>
        </w:rPr>
        <w:t>总体来看，证券分析师的工作有利于促进股票市场的信息发现，提高了市场效率，</w:t>
      </w:r>
      <w:r w:rsidR="009A2669">
        <w:rPr>
          <w:rFonts w:hint="eastAsia"/>
        </w:rPr>
        <w:t>对资本市场的健康发展有正面作用。但另一方面，分析师所面临的复杂利益关系也不可避免地影响了其工作质量，主要表现为在盈余预测上</w:t>
      </w:r>
      <w:r w:rsidR="0001010D">
        <w:rPr>
          <w:rFonts w:hint="eastAsia"/>
        </w:rPr>
        <w:t>的</w:t>
      </w:r>
      <w:r w:rsidR="009A2669">
        <w:rPr>
          <w:rFonts w:hint="eastAsia"/>
        </w:rPr>
        <w:t>乐观偏差</w:t>
      </w:r>
      <w:r w:rsidR="0001010D">
        <w:rPr>
          <w:rFonts w:hint="eastAsia"/>
        </w:rPr>
        <w:t>和群体效应</w:t>
      </w:r>
      <w:r w:rsidR="009A2669">
        <w:rPr>
          <w:rFonts w:hint="eastAsia"/>
        </w:rPr>
        <w:t>。</w:t>
      </w:r>
    </w:p>
    <w:p w14:paraId="0608B4C8" w14:textId="3B4B4D38" w:rsidR="0001010D" w:rsidRDefault="009A2669" w:rsidP="009E3FF5">
      <w:r>
        <w:rPr>
          <w:rFonts w:hint="eastAsia"/>
        </w:rPr>
        <w:t>在众多</w:t>
      </w:r>
      <w:r w:rsidR="002E10FD">
        <w:rPr>
          <w:rFonts w:hint="eastAsia"/>
        </w:rPr>
        <w:t>文献</w:t>
      </w:r>
      <w:r>
        <w:rPr>
          <w:rFonts w:hint="eastAsia"/>
        </w:rPr>
        <w:t>中，国内还鲜</w:t>
      </w:r>
      <w:r w:rsidR="002E10FD">
        <w:rPr>
          <w:rFonts w:hint="eastAsia"/>
        </w:rPr>
        <w:t>有研究</w:t>
      </w:r>
      <w:r>
        <w:rPr>
          <w:rFonts w:hint="eastAsia"/>
        </w:rPr>
        <w:t>关心证券分析师发布报告的时间</w:t>
      </w:r>
      <w:r w:rsidR="0001010D">
        <w:rPr>
          <w:rFonts w:hint="eastAsia"/>
        </w:rPr>
        <w:t>模式。但是，</w:t>
      </w:r>
      <w:r>
        <w:rPr>
          <w:rFonts w:hint="eastAsia"/>
        </w:rPr>
        <w:t>随着时间的推移，尤其是随着上市公司财务报告公布日的临近，</w:t>
      </w:r>
      <w:r w:rsidR="002E10FD">
        <w:rPr>
          <w:rFonts w:hint="eastAsia"/>
        </w:rPr>
        <w:t>市场上</w:t>
      </w:r>
      <w:r>
        <w:rPr>
          <w:rFonts w:hint="eastAsia"/>
        </w:rPr>
        <w:t>可能会产生更多的公开信息，削弱证券分析师的信息处理作用</w:t>
      </w:r>
      <w:r w:rsidR="0001010D">
        <w:rPr>
          <w:rFonts w:hint="eastAsia"/>
        </w:rPr>
        <w:t>；另一方面，过早的发布报告则意味着要放弃未来可能加以利用的新信息，影响报告的预测质量。</w:t>
      </w:r>
      <w:r w:rsidR="00D3146E">
        <w:rPr>
          <w:rFonts w:hint="eastAsia"/>
        </w:rPr>
        <w:t>此外，大</w:t>
      </w:r>
      <w:r w:rsidR="00D3146E">
        <w:rPr>
          <w:rFonts w:hint="eastAsia"/>
        </w:rPr>
        <w:lastRenderedPageBreak/>
        <w:t>量研究表明投资者的行为具有时变特征，而证券分析师的收益主要来源于机构投资者的佣金分仓。</w:t>
      </w:r>
      <w:r w:rsidR="0001010D">
        <w:rPr>
          <w:rFonts w:hint="eastAsia"/>
        </w:rPr>
        <w:t>基于此，报告的发布时间应当是证券分析师在工作中需要慎重考虑的一个因素。</w:t>
      </w:r>
    </w:p>
    <w:p w14:paraId="170C1921" w14:textId="78ACD105" w:rsidR="009A2669" w:rsidRDefault="0001010D" w:rsidP="009E3FF5">
      <w:r>
        <w:rPr>
          <w:rFonts w:hint="eastAsia"/>
        </w:rPr>
        <w:t>围绕这一主题，本文拟在借鉴国内外相关研究的基础上，</w:t>
      </w:r>
      <w:r w:rsidR="00FC7752">
        <w:rPr>
          <w:rFonts w:hint="eastAsia"/>
        </w:rPr>
        <w:t>利用中国</w:t>
      </w:r>
      <w:r w:rsidR="00FC7752">
        <w:rPr>
          <w:rFonts w:hint="eastAsia"/>
        </w:rPr>
        <w:t>A</w:t>
      </w:r>
      <w:r w:rsidR="00FC7752">
        <w:rPr>
          <w:rFonts w:hint="eastAsia"/>
        </w:rPr>
        <w:t>股市场的数据进行实证分析，</w:t>
      </w:r>
      <w:r>
        <w:rPr>
          <w:rFonts w:hint="eastAsia"/>
        </w:rPr>
        <w:t>回答</w:t>
      </w:r>
      <w:r w:rsidR="00D3146E">
        <w:rPr>
          <w:rFonts w:hint="eastAsia"/>
        </w:rPr>
        <w:t>几个</w:t>
      </w:r>
      <w:r>
        <w:rPr>
          <w:rFonts w:hint="eastAsia"/>
        </w:rPr>
        <w:t>主要的问题：证券分析师是否就研究报告的发布进行择时？如果证券分析师的确存在择时行为，</w:t>
      </w:r>
      <w:r w:rsidR="00D3146E">
        <w:rPr>
          <w:rFonts w:hint="eastAsia"/>
        </w:rPr>
        <w:t>是什么</w:t>
      </w:r>
      <w:r>
        <w:rPr>
          <w:rFonts w:hint="eastAsia"/>
        </w:rPr>
        <w:t>因素影响</w:t>
      </w:r>
      <w:r w:rsidR="00D3146E">
        <w:rPr>
          <w:rFonts w:hint="eastAsia"/>
        </w:rPr>
        <w:t>了</w:t>
      </w:r>
      <w:r>
        <w:rPr>
          <w:rFonts w:hint="eastAsia"/>
        </w:rPr>
        <w:t>分析师群体的择时决策？</w:t>
      </w:r>
      <w:r w:rsidR="00D3146E">
        <w:rPr>
          <w:rFonts w:hint="eastAsia"/>
        </w:rPr>
        <w:t>市场能够识别分析师的择时行为吗？</w:t>
      </w:r>
      <w:r w:rsidR="002E10FD">
        <w:rPr>
          <w:rFonts w:hint="eastAsia"/>
        </w:rPr>
        <w:t>以</w:t>
      </w:r>
      <w:r w:rsidR="00FC7752">
        <w:rPr>
          <w:rFonts w:hint="eastAsia"/>
        </w:rPr>
        <w:t>丰富分析师盈余预测和股票评级的相关文献，并为分析师</w:t>
      </w:r>
      <w:r w:rsidR="00D3146E">
        <w:rPr>
          <w:rFonts w:hint="eastAsia"/>
        </w:rPr>
        <w:t>研究</w:t>
      </w:r>
      <w:r w:rsidR="00FC7752">
        <w:rPr>
          <w:rFonts w:hint="eastAsia"/>
        </w:rPr>
        <w:t>报告的使用者、证券市场监管者提供一定的理论依据。</w:t>
      </w:r>
    </w:p>
    <w:p w14:paraId="462CB600" w14:textId="77777777" w:rsidR="00E5798C" w:rsidRDefault="00E5798C" w:rsidP="009E3FF5"/>
    <w:p w14:paraId="3C4F029C" w14:textId="77777777" w:rsidR="005917B7" w:rsidRPr="002E3E1D" w:rsidRDefault="005917B7" w:rsidP="002E3E1D">
      <w:pPr>
        <w:pStyle w:val="2"/>
      </w:pPr>
      <w:bookmarkStart w:id="3" w:name="_Toc509527742"/>
      <w:r w:rsidRPr="002E3E1D">
        <w:rPr>
          <w:rFonts w:hint="eastAsia"/>
        </w:rPr>
        <w:t>研究</w:t>
      </w:r>
      <w:r w:rsidR="00323D59" w:rsidRPr="002E3E1D">
        <w:rPr>
          <w:rFonts w:hint="eastAsia"/>
        </w:rPr>
        <w:t>内容</w:t>
      </w:r>
      <w:r w:rsidR="007D55E2">
        <w:rPr>
          <w:rFonts w:hint="eastAsia"/>
        </w:rPr>
        <w:t>与研究框架</w:t>
      </w:r>
      <w:bookmarkEnd w:id="3"/>
    </w:p>
    <w:p w14:paraId="3E23FA35" w14:textId="493E34C3" w:rsidR="00812374" w:rsidRDefault="00373414" w:rsidP="005917B7">
      <w:r>
        <w:rPr>
          <w:rFonts w:hint="eastAsia"/>
        </w:rPr>
        <w:t>为了解答上述</w:t>
      </w:r>
      <w:r w:rsidR="00812374">
        <w:rPr>
          <w:rFonts w:hint="eastAsia"/>
        </w:rPr>
        <w:t>问题，本文拟按照以下步骤进行实证研究：</w:t>
      </w:r>
    </w:p>
    <w:p w14:paraId="05428D70" w14:textId="41497EAF" w:rsidR="00812374" w:rsidRDefault="00812374" w:rsidP="005917B7">
      <w:r>
        <w:rPr>
          <w:rFonts w:hint="eastAsia"/>
        </w:rPr>
        <w:t>首先，</w:t>
      </w:r>
      <w:r w:rsidR="000A5C65">
        <w:rPr>
          <w:rFonts w:hint="eastAsia"/>
        </w:rPr>
        <w:t>从宏观和微观</w:t>
      </w:r>
      <w:r w:rsidR="00373414">
        <w:rPr>
          <w:rFonts w:hint="eastAsia"/>
        </w:rPr>
        <w:t>两个角度考察分析师群体是否存在基于投资者情绪的择时行为。当市场的综合投资者情绪高涨时，分析师是否发表的报告数量更多？当个股的投资者情绪较高时，分析师是否</w:t>
      </w:r>
      <w:r w:rsidR="00752D42">
        <w:rPr>
          <w:rFonts w:hint="eastAsia"/>
        </w:rPr>
        <w:t>更倾向于在此时发布相关的深度研究报告？</w:t>
      </w:r>
      <w:r>
        <w:rPr>
          <w:rFonts w:hint="eastAsia"/>
        </w:rPr>
        <w:t>如果分析师存在</w:t>
      </w:r>
      <w:r w:rsidR="00752D42">
        <w:rPr>
          <w:rFonts w:hint="eastAsia"/>
        </w:rPr>
        <w:t>针对投资者情绪的</w:t>
      </w:r>
      <w:r>
        <w:rPr>
          <w:rFonts w:hint="eastAsia"/>
        </w:rPr>
        <w:t>择时行为，则</w:t>
      </w:r>
      <w:r w:rsidR="00752D42">
        <w:rPr>
          <w:rFonts w:hint="eastAsia"/>
        </w:rPr>
        <w:t>一方面在投资者情绪高涨时分析师应当发出更多的深度报告，另一方面个股投资者情绪可作为预测分析师的报告发布行为的一个变量</w:t>
      </w:r>
      <w:r w:rsidR="00C47BEA">
        <w:rPr>
          <w:rFonts w:hint="eastAsia"/>
        </w:rPr>
        <w:t>。</w:t>
      </w:r>
    </w:p>
    <w:p w14:paraId="6538AE6B" w14:textId="691F9943" w:rsidR="00251082" w:rsidRDefault="00C47BEA" w:rsidP="005917B7">
      <w:r>
        <w:rPr>
          <w:rFonts w:hint="eastAsia"/>
        </w:rPr>
        <w:t>其次，如果分析师的确就报告的发布进行了</w:t>
      </w:r>
      <w:r w:rsidR="00752D42">
        <w:rPr>
          <w:rFonts w:hint="eastAsia"/>
        </w:rPr>
        <w:t>基于投资者情绪的</w:t>
      </w:r>
      <w:r>
        <w:rPr>
          <w:rFonts w:hint="eastAsia"/>
        </w:rPr>
        <w:t>择时行为，有哪些因素促使其</w:t>
      </w:r>
      <w:r w:rsidR="007C5E9F">
        <w:rPr>
          <w:rFonts w:hint="eastAsia"/>
        </w:rPr>
        <w:t>做出这些决策</w:t>
      </w:r>
      <w:r w:rsidR="00721594">
        <w:rPr>
          <w:rFonts w:hint="eastAsia"/>
        </w:rPr>
        <w:t>？分析师进行择时的目的是利用有利的市场条件，以更好的</w:t>
      </w:r>
      <w:r w:rsidR="008C0845">
        <w:rPr>
          <w:rFonts w:hint="eastAsia"/>
        </w:rPr>
        <w:t>验证</w:t>
      </w:r>
      <w:r w:rsidR="00721594">
        <w:rPr>
          <w:rFonts w:hint="eastAsia"/>
        </w:rPr>
        <w:t>其评级结论，进而获得更好的声誉</w:t>
      </w:r>
      <w:r w:rsidR="008C0845">
        <w:rPr>
          <w:rFonts w:hint="eastAsia"/>
        </w:rPr>
        <w:t>。</w:t>
      </w:r>
      <w:r w:rsidR="007D55E2">
        <w:rPr>
          <w:rFonts w:hint="eastAsia"/>
        </w:rPr>
        <w:t>从</w:t>
      </w:r>
      <w:r w:rsidR="00752D42">
        <w:rPr>
          <w:rFonts w:hint="eastAsia"/>
        </w:rPr>
        <w:t>报告质量的角度来看，分析师如果能够向市场提供足够的新信息，则其能从新信息中获益，关注投资者情绪的动力减弱，而</w:t>
      </w:r>
      <w:r w:rsidR="007D55E2">
        <w:rPr>
          <w:rFonts w:hint="eastAsia"/>
        </w:rPr>
        <w:t>分析师</w:t>
      </w:r>
      <w:r w:rsidR="00752D42">
        <w:rPr>
          <w:rFonts w:hint="eastAsia"/>
        </w:rPr>
        <w:t>并未提供足够的新信息时，则更有动机利用有利的外部市场条件。但另一方面，当分析师给出中性投资评级时，往往被视为</w:t>
      </w:r>
      <w:r w:rsidR="00B240F6">
        <w:rPr>
          <w:rFonts w:hint="eastAsia"/>
        </w:rPr>
        <w:t>无投资方向的评级，也即信息含量原本就较低；而“新财富”最佳分析师在过去的工作成果被认可的基础上，也有研究证明他们的能力具有持续性，因此需要剔除这些因素的影响。</w:t>
      </w:r>
    </w:p>
    <w:p w14:paraId="4A882992" w14:textId="78696A01" w:rsidR="00832EFE" w:rsidRDefault="00B240F6" w:rsidP="005917B7">
      <w:r>
        <w:rPr>
          <w:rFonts w:hint="eastAsia"/>
        </w:rPr>
        <w:lastRenderedPageBreak/>
        <w:t>无论</w:t>
      </w:r>
      <w:r w:rsidR="00230A39">
        <w:rPr>
          <w:rFonts w:hint="eastAsia"/>
        </w:rPr>
        <w:t>分析师是否能够提供足够的新信息，</w:t>
      </w:r>
      <w:r>
        <w:rPr>
          <w:rFonts w:hint="eastAsia"/>
        </w:rPr>
        <w:t>更重要的一个层次是市场对于分析师发布的报告究竟如何看待，对分析师的择时行为又是否能够予以识别并给出正确的反应。</w:t>
      </w:r>
      <w:r w:rsidR="00744574">
        <w:rPr>
          <w:rFonts w:hint="eastAsia"/>
        </w:rPr>
        <w:t>因此</w:t>
      </w:r>
      <w:r>
        <w:rPr>
          <w:rFonts w:hint="eastAsia"/>
        </w:rPr>
        <w:t>，</w:t>
      </w:r>
      <w:r w:rsidR="00744574">
        <w:rPr>
          <w:rFonts w:hint="eastAsia"/>
        </w:rPr>
        <w:t>本文</w:t>
      </w:r>
      <w:r w:rsidR="00D642A7">
        <w:rPr>
          <w:rFonts w:hint="eastAsia"/>
        </w:rPr>
        <w:t>进一步</w:t>
      </w:r>
      <w:r w:rsidR="00744574">
        <w:rPr>
          <w:rFonts w:hint="eastAsia"/>
        </w:rPr>
        <w:t>探讨</w:t>
      </w:r>
      <w:r w:rsidR="00D642A7">
        <w:rPr>
          <w:rFonts w:hint="eastAsia"/>
        </w:rPr>
        <w:t>了</w:t>
      </w:r>
      <w:r w:rsidR="00744574">
        <w:rPr>
          <w:rFonts w:hint="eastAsia"/>
        </w:rPr>
        <w:t>声誉机制是否对分析师的择时行为存在影响及其具体的影响方向。</w:t>
      </w:r>
    </w:p>
    <w:p w14:paraId="64AF92B0" w14:textId="77777777" w:rsidR="005917B7" w:rsidRDefault="00812374" w:rsidP="005917B7">
      <w:r>
        <w:rPr>
          <w:rFonts w:hint="eastAsia"/>
        </w:rPr>
        <w:t>在结构上，</w:t>
      </w:r>
      <w:r w:rsidR="002E10FD">
        <w:rPr>
          <w:rFonts w:hint="eastAsia"/>
        </w:rPr>
        <w:t>本文共分为四章，各章的主要内容安排如下：</w:t>
      </w:r>
    </w:p>
    <w:p w14:paraId="3E9B632C" w14:textId="77777777" w:rsidR="002E10FD" w:rsidRDefault="002E10FD" w:rsidP="005917B7">
      <w:r>
        <w:rPr>
          <w:rFonts w:hint="eastAsia"/>
        </w:rPr>
        <w:t>第一章为绪论，</w:t>
      </w:r>
      <w:r w:rsidR="00C65686">
        <w:rPr>
          <w:rFonts w:hint="eastAsia"/>
        </w:rPr>
        <w:t>主要</w:t>
      </w:r>
      <w:r>
        <w:rPr>
          <w:rFonts w:hint="eastAsia"/>
        </w:rPr>
        <w:t>对本文的研究背景与研究问题、研究框架以及研究的创新之处</w:t>
      </w:r>
      <w:r w:rsidR="00C65686">
        <w:rPr>
          <w:rFonts w:hint="eastAsia"/>
        </w:rPr>
        <w:t>进行了简要的介绍。</w:t>
      </w:r>
    </w:p>
    <w:p w14:paraId="6A3864C6" w14:textId="40FFB338" w:rsidR="00C65686" w:rsidRDefault="00EB2E5A" w:rsidP="005917B7">
      <w:r>
        <w:rPr>
          <w:rFonts w:hint="eastAsia"/>
        </w:rPr>
        <w:t>第二章为文献综述，</w:t>
      </w:r>
      <w:r w:rsidR="00546E80">
        <w:rPr>
          <w:rFonts w:hint="eastAsia"/>
        </w:rPr>
        <w:t>主要</w:t>
      </w:r>
      <w:r w:rsidR="00116193">
        <w:rPr>
          <w:rFonts w:hint="eastAsia"/>
        </w:rPr>
        <w:t>分为分析师盈余预测质量和分析师</w:t>
      </w:r>
      <w:r w:rsidR="00B240F6">
        <w:rPr>
          <w:rFonts w:hint="eastAsia"/>
        </w:rPr>
        <w:t>行为模式分析两</w:t>
      </w:r>
      <w:r w:rsidR="00116193">
        <w:rPr>
          <w:rFonts w:hint="eastAsia"/>
        </w:rPr>
        <w:t>个部分，</w:t>
      </w:r>
      <w:r w:rsidR="00546E80">
        <w:rPr>
          <w:rFonts w:hint="eastAsia"/>
        </w:rPr>
        <w:t>对国内外</w:t>
      </w:r>
      <w:r w:rsidR="00116193">
        <w:rPr>
          <w:rFonts w:hint="eastAsia"/>
        </w:rPr>
        <w:t>的</w:t>
      </w:r>
      <w:r w:rsidR="00546E80">
        <w:rPr>
          <w:rFonts w:hint="eastAsia"/>
        </w:rPr>
        <w:t>相关研究进行了梳理</w:t>
      </w:r>
      <w:r w:rsidR="00116193">
        <w:rPr>
          <w:rFonts w:hint="eastAsia"/>
        </w:rPr>
        <w:t>。具体来说，包括盈余预测准确性的影响因素</w:t>
      </w:r>
      <w:r w:rsidR="00B240F6">
        <w:rPr>
          <w:rFonts w:hint="eastAsia"/>
        </w:rPr>
        <w:t>，盈余预测的投资价值及对市场的影响，以及分析师跟踪行为和分析师择时行为等</w:t>
      </w:r>
      <w:r w:rsidR="00116193">
        <w:rPr>
          <w:rFonts w:hint="eastAsia"/>
        </w:rPr>
        <w:t>内容。</w:t>
      </w:r>
    </w:p>
    <w:p w14:paraId="107EFF50" w14:textId="33F09570" w:rsidR="00116193" w:rsidRDefault="00116193" w:rsidP="005917B7">
      <w:r>
        <w:rPr>
          <w:rFonts w:hint="eastAsia"/>
        </w:rPr>
        <w:t>第三章是论文研究的主体部分，包括理论分析、研究设计、实证过程及稳健性分析等内容。本文在前文文献梳理的基础上，针对分析师的择时行为和有关影响因素提出了假说，拟分别采用</w:t>
      </w:r>
      <w:r w:rsidR="00812374">
        <w:rPr>
          <w:rFonts w:hint="eastAsia"/>
        </w:rPr>
        <w:t>多元回归分析</w:t>
      </w:r>
      <w:r w:rsidR="0006587F">
        <w:rPr>
          <w:rFonts w:hint="eastAsia"/>
        </w:rPr>
        <w:t>、</w:t>
      </w:r>
      <w:r w:rsidR="0006587F">
        <w:rPr>
          <w:rFonts w:hint="eastAsia"/>
        </w:rPr>
        <w:t>Logit</w:t>
      </w:r>
      <w:r>
        <w:rPr>
          <w:rFonts w:hint="eastAsia"/>
        </w:rPr>
        <w:t>模型</w:t>
      </w:r>
      <w:r w:rsidR="0006587F">
        <w:rPr>
          <w:rFonts w:hint="eastAsia"/>
        </w:rPr>
        <w:t>及</w:t>
      </w:r>
      <w:r w:rsidR="0006587F">
        <w:rPr>
          <w:rFonts w:hint="eastAsia"/>
        </w:rPr>
        <w:t>t</w:t>
      </w:r>
      <w:r w:rsidR="0006587F">
        <w:rPr>
          <w:rFonts w:hint="eastAsia"/>
        </w:rPr>
        <w:t>检验</w:t>
      </w:r>
      <w:r>
        <w:rPr>
          <w:rFonts w:hint="eastAsia"/>
        </w:rPr>
        <w:t>对</w:t>
      </w:r>
      <w:r w:rsidR="0006587F">
        <w:rPr>
          <w:rFonts w:hint="eastAsia"/>
        </w:rPr>
        <w:t>提出的</w:t>
      </w:r>
      <w:r>
        <w:rPr>
          <w:rFonts w:hint="eastAsia"/>
        </w:rPr>
        <w:t>假说进行验证。在稳健性检验部分，</w:t>
      </w:r>
      <w:r w:rsidR="00127C52">
        <w:rPr>
          <w:rFonts w:hint="eastAsia"/>
        </w:rPr>
        <w:t>本文参考该领域的</w:t>
      </w:r>
      <w:r w:rsidR="0006587F">
        <w:rPr>
          <w:rFonts w:hint="eastAsia"/>
        </w:rPr>
        <w:t>已有</w:t>
      </w:r>
      <w:r w:rsidR="00127C52">
        <w:rPr>
          <w:rFonts w:hint="eastAsia"/>
        </w:rPr>
        <w:t>相关研究方法对结论进行了</w:t>
      </w:r>
      <w:r w:rsidR="0006587F">
        <w:rPr>
          <w:rFonts w:hint="eastAsia"/>
        </w:rPr>
        <w:t>稳健性</w:t>
      </w:r>
      <w:r w:rsidR="00127C52">
        <w:rPr>
          <w:rFonts w:hint="eastAsia"/>
        </w:rPr>
        <w:t>检验</w:t>
      </w:r>
      <w:r w:rsidR="0006587F">
        <w:rPr>
          <w:rFonts w:hint="eastAsia"/>
        </w:rPr>
        <w:t>，显示研究结论是稳健的</w:t>
      </w:r>
      <w:r w:rsidR="00127C52">
        <w:rPr>
          <w:rFonts w:hint="eastAsia"/>
        </w:rPr>
        <w:t>。</w:t>
      </w:r>
    </w:p>
    <w:p w14:paraId="73154B71" w14:textId="77777777" w:rsidR="00127C52" w:rsidRDefault="00127C52" w:rsidP="005917B7">
      <w:r>
        <w:rPr>
          <w:rFonts w:hint="eastAsia"/>
        </w:rPr>
        <w:t>第四章是结论与建议，主要对本文的研究结果进行了进一步的总结，据此提出了一些启示和建议，包括未来可能的进一步研究方向。</w:t>
      </w:r>
    </w:p>
    <w:p w14:paraId="12FC34C6" w14:textId="77777777" w:rsidR="00E5798C" w:rsidRDefault="00E5798C" w:rsidP="005917B7"/>
    <w:p w14:paraId="70815A2E" w14:textId="77777777" w:rsidR="005917B7" w:rsidRDefault="007D55E2" w:rsidP="002E3E1D">
      <w:pPr>
        <w:pStyle w:val="2"/>
      </w:pPr>
      <w:bookmarkStart w:id="4" w:name="_Toc509527743"/>
      <w:r>
        <w:rPr>
          <w:rFonts w:hint="eastAsia"/>
        </w:rPr>
        <w:t>研究贡献</w:t>
      </w:r>
      <w:bookmarkEnd w:id="4"/>
    </w:p>
    <w:p w14:paraId="2D6D9724" w14:textId="77777777" w:rsidR="002E3E1D" w:rsidRDefault="002E3E1D" w:rsidP="005917B7">
      <w:r>
        <w:rPr>
          <w:rFonts w:hint="eastAsia"/>
        </w:rPr>
        <w:t>本文的主要创新点在于，</w:t>
      </w:r>
      <w:r w:rsidR="003A6455">
        <w:rPr>
          <w:rFonts w:hint="eastAsia"/>
        </w:rPr>
        <w:t>尽管国内外已经有很多关于证券分析师的文献，但</w:t>
      </w:r>
      <w:r>
        <w:rPr>
          <w:rFonts w:hint="eastAsia"/>
        </w:rPr>
        <w:t>大多集中于探讨分析师盈余预测质量、</w:t>
      </w:r>
      <w:r w:rsidR="00F419D5">
        <w:rPr>
          <w:rFonts w:hint="eastAsia"/>
        </w:rPr>
        <w:t>行为偏差以及对市场的影响</w:t>
      </w:r>
      <w:r>
        <w:rPr>
          <w:rFonts w:hint="eastAsia"/>
        </w:rPr>
        <w:t>等问题，关于证券分析师行为时间模式的文献还不是很多，本文在以往研究的基础上</w:t>
      </w:r>
      <w:r w:rsidR="006F3E9B">
        <w:rPr>
          <w:rFonts w:hint="eastAsia"/>
        </w:rPr>
        <w:t>提供</w:t>
      </w:r>
      <w:r w:rsidR="00F419D5">
        <w:rPr>
          <w:rFonts w:hint="eastAsia"/>
        </w:rPr>
        <w:t>了一个新的研究</w:t>
      </w:r>
      <w:r w:rsidR="006F3E9B">
        <w:rPr>
          <w:rFonts w:hint="eastAsia"/>
        </w:rPr>
        <w:t>视角，一定程度上弥补了这一空白</w:t>
      </w:r>
      <w:r w:rsidR="00F419D5">
        <w:rPr>
          <w:rFonts w:hint="eastAsia"/>
        </w:rPr>
        <w:t>。</w:t>
      </w:r>
    </w:p>
    <w:p w14:paraId="604C0071" w14:textId="6EF12506" w:rsidR="005917B7" w:rsidRDefault="00F419D5" w:rsidP="005917B7">
      <w:r>
        <w:rPr>
          <w:rFonts w:hint="eastAsia"/>
        </w:rPr>
        <w:t>其次，以往基于证券分析师</w:t>
      </w:r>
      <w:r w:rsidR="0006587F">
        <w:rPr>
          <w:rFonts w:hint="eastAsia"/>
        </w:rPr>
        <w:t>作用</w:t>
      </w:r>
      <w:r>
        <w:rPr>
          <w:rFonts w:hint="eastAsia"/>
        </w:rPr>
        <w:t>研究往往主要考察</w:t>
      </w:r>
      <w:r w:rsidR="0006587F">
        <w:rPr>
          <w:rFonts w:hint="eastAsia"/>
        </w:rPr>
        <w:t>股价同步性的绝对水平</w:t>
      </w:r>
      <w:r>
        <w:rPr>
          <w:rFonts w:hint="eastAsia"/>
        </w:rPr>
        <w:t>，而本文</w:t>
      </w:r>
      <w:r w:rsidR="006F3E9B">
        <w:rPr>
          <w:rFonts w:hint="eastAsia"/>
        </w:rPr>
        <w:t>在</w:t>
      </w:r>
      <w:r w:rsidR="0006587F">
        <w:rPr>
          <w:rFonts w:hint="eastAsia"/>
        </w:rPr>
        <w:t>变量的选择</w:t>
      </w:r>
      <w:r w:rsidR="006F3E9B">
        <w:rPr>
          <w:rFonts w:hint="eastAsia"/>
        </w:rPr>
        <w:t>上有所创新，</w:t>
      </w:r>
      <w:r>
        <w:rPr>
          <w:rFonts w:hint="eastAsia"/>
        </w:rPr>
        <w:t>以报告发布</w:t>
      </w:r>
      <w:r w:rsidR="002E3E1D">
        <w:rPr>
          <w:rFonts w:hint="eastAsia"/>
        </w:rPr>
        <w:t>前</w:t>
      </w:r>
      <w:r w:rsidR="0006587F">
        <w:rPr>
          <w:rFonts w:hint="eastAsia"/>
        </w:rPr>
        <w:t>后同步性的变化作为</w:t>
      </w:r>
      <w:r w:rsidR="002E3E1D">
        <w:rPr>
          <w:rFonts w:hint="eastAsia"/>
        </w:rPr>
        <w:t>切入点，</w:t>
      </w:r>
      <w:r w:rsidR="0006587F">
        <w:rPr>
          <w:rFonts w:hint="eastAsia"/>
        </w:rPr>
        <w:t>结合事件</w:t>
      </w:r>
      <w:r w:rsidR="006F3E9B">
        <w:rPr>
          <w:rFonts w:hint="eastAsia"/>
        </w:rPr>
        <w:t>窗口</w:t>
      </w:r>
      <w:r w:rsidR="002E3E1D">
        <w:rPr>
          <w:rFonts w:hint="eastAsia"/>
        </w:rPr>
        <w:t>分析了证券分析师</w:t>
      </w:r>
      <w:r>
        <w:rPr>
          <w:rFonts w:hint="eastAsia"/>
        </w:rPr>
        <w:t>的择时倾向。</w:t>
      </w:r>
    </w:p>
    <w:p w14:paraId="1887C290" w14:textId="77777777" w:rsidR="00FD20C5" w:rsidRDefault="00F419D5" w:rsidP="00244D8A">
      <w:r>
        <w:rPr>
          <w:rFonts w:hint="eastAsia"/>
        </w:rPr>
        <w:lastRenderedPageBreak/>
        <w:t>总体来说，本文的</w:t>
      </w:r>
      <w:r w:rsidR="007D55E2">
        <w:rPr>
          <w:rFonts w:hint="eastAsia"/>
        </w:rPr>
        <w:t>实证研究</w:t>
      </w:r>
      <w:r>
        <w:rPr>
          <w:rFonts w:hint="eastAsia"/>
        </w:rPr>
        <w:t>发现</w:t>
      </w:r>
      <w:r w:rsidR="007D55E2">
        <w:rPr>
          <w:rFonts w:hint="eastAsia"/>
        </w:rPr>
        <w:t>为</w:t>
      </w:r>
      <w:r w:rsidR="00FD20C5">
        <w:rPr>
          <w:rFonts w:hint="eastAsia"/>
        </w:rPr>
        <w:t>证券分析师行为模式的相关</w:t>
      </w:r>
      <w:r w:rsidR="007D55E2">
        <w:rPr>
          <w:rFonts w:hint="eastAsia"/>
        </w:rPr>
        <w:t>研究提供了新的证据</w:t>
      </w:r>
      <w:r w:rsidR="00FD20C5">
        <w:rPr>
          <w:rFonts w:hint="eastAsia"/>
        </w:rPr>
        <w:t>，</w:t>
      </w:r>
      <w:r>
        <w:rPr>
          <w:rFonts w:hint="eastAsia"/>
        </w:rPr>
        <w:t>能够帮助证券分析师报告</w:t>
      </w:r>
      <w:r w:rsidR="006F3E9B">
        <w:rPr>
          <w:rFonts w:hint="eastAsia"/>
        </w:rPr>
        <w:t>的使用者和证券行业的监管者</w:t>
      </w:r>
      <w:r w:rsidR="007D55E2">
        <w:rPr>
          <w:rFonts w:hint="eastAsia"/>
        </w:rPr>
        <w:t>作为</w:t>
      </w:r>
      <w:r w:rsidR="006F3E9B">
        <w:rPr>
          <w:rFonts w:hint="eastAsia"/>
        </w:rPr>
        <w:t>一定的参考</w:t>
      </w:r>
      <w:r w:rsidR="00FD20C5">
        <w:rPr>
          <w:rFonts w:hint="eastAsia"/>
        </w:rPr>
        <w:t>。随着金融行业的继续发展，证券分析师作为市场信息的处理者和提供者，在促进资本市场的完善与发展、提高资本市场效率上有着举足轻重的作用。更好的理解证券分析师的行为，有助于投资者</w:t>
      </w:r>
      <w:r w:rsidR="007D55E2">
        <w:rPr>
          <w:rFonts w:hint="eastAsia"/>
        </w:rPr>
        <w:t>更好的依据其研究报告做出投资决策，并有利于相关监管机构规范行业秩序，进行更有效的监督。</w:t>
      </w:r>
    </w:p>
    <w:p w14:paraId="2B3FD040" w14:textId="77777777" w:rsidR="00BD7889" w:rsidRDefault="00BD7889" w:rsidP="00244D8A"/>
    <w:p w14:paraId="4A24FB18" w14:textId="77777777" w:rsidR="00244D8A" w:rsidRDefault="00244D8A" w:rsidP="00244D8A">
      <w:pPr>
        <w:sectPr w:rsidR="00244D8A" w:rsidSect="00BD7889">
          <w:headerReference w:type="even" r:id="rId22"/>
          <w:headerReference w:type="default" r:id="rId23"/>
          <w:footerReference w:type="even" r:id="rId24"/>
          <w:footerReference w:type="default" r:id="rId25"/>
          <w:footnotePr>
            <w:numFmt w:val="decimalEnclosedCircleChinese"/>
            <w:numRestart w:val="eachPage"/>
          </w:footnotePr>
          <w:endnotePr>
            <w:numFmt w:val="decimal"/>
          </w:endnotePr>
          <w:pgSz w:w="11906" w:h="16838"/>
          <w:pgMar w:top="1440" w:right="1800" w:bottom="1440" w:left="1800" w:header="851" w:footer="992" w:gutter="0"/>
          <w:pgNumType w:start="1"/>
          <w:cols w:space="425"/>
          <w:docGrid w:type="lines" w:linePitch="326"/>
        </w:sectPr>
      </w:pPr>
    </w:p>
    <w:p w14:paraId="07C1AB61" w14:textId="77777777" w:rsidR="00E41C7C" w:rsidRDefault="00BD7889" w:rsidP="00EE2202">
      <w:pPr>
        <w:pStyle w:val="1"/>
      </w:pPr>
      <w:bookmarkStart w:id="5" w:name="_Toc509527744"/>
      <w:r>
        <w:rPr>
          <w:rFonts w:hint="eastAsia"/>
        </w:rPr>
        <w:lastRenderedPageBreak/>
        <w:t>相关理论研究综述</w:t>
      </w:r>
      <w:bookmarkEnd w:id="5"/>
    </w:p>
    <w:p w14:paraId="007669EC" w14:textId="77777777" w:rsidR="00DC4C84" w:rsidRDefault="002D4999" w:rsidP="002E07D0">
      <w:r>
        <w:rPr>
          <w:rFonts w:hint="eastAsia"/>
        </w:rPr>
        <w:t>由于</w:t>
      </w:r>
      <w:r w:rsidR="005F7048">
        <w:rPr>
          <w:rFonts w:hint="eastAsia"/>
        </w:rPr>
        <w:t>证券分析师</w:t>
      </w:r>
      <w:r w:rsidR="00EC6F06">
        <w:rPr>
          <w:rFonts w:hint="eastAsia"/>
        </w:rPr>
        <w:t>这一</w:t>
      </w:r>
      <w:r w:rsidR="005F7048">
        <w:rPr>
          <w:rFonts w:hint="eastAsia"/>
        </w:rPr>
        <w:t>行业在国外已有数十年的发展历史，</w:t>
      </w:r>
      <w:r>
        <w:rPr>
          <w:rFonts w:hint="eastAsia"/>
        </w:rPr>
        <w:t>早期的相关文献主要也是来自于欧美等资本市场比较发达的国家和地区</w:t>
      </w:r>
      <w:r w:rsidR="00EC6F06">
        <w:rPr>
          <w:rFonts w:hint="eastAsia"/>
        </w:rPr>
        <w:t>，直到</w:t>
      </w:r>
      <w:r w:rsidR="002E07D0">
        <w:rPr>
          <w:rFonts w:hint="eastAsia"/>
        </w:rPr>
        <w:t>2000</w:t>
      </w:r>
      <w:r w:rsidR="002E07D0">
        <w:rPr>
          <w:rFonts w:hint="eastAsia"/>
        </w:rPr>
        <w:t>年以后，国内才逐渐开始出现针对分析师预测行为的研究</w:t>
      </w:r>
      <w:r w:rsidR="00EC6F06">
        <w:rPr>
          <w:rFonts w:hint="eastAsia"/>
        </w:rPr>
        <w:t>。</w:t>
      </w:r>
      <w:r>
        <w:rPr>
          <w:rFonts w:hint="eastAsia"/>
        </w:rPr>
        <w:t>从研究角度来说，对证券分析师的研究</w:t>
      </w:r>
      <w:r w:rsidR="008B3AFF">
        <w:rPr>
          <w:rFonts w:hint="eastAsia"/>
        </w:rPr>
        <w:t>基本</w:t>
      </w:r>
      <w:r w:rsidR="002E07D0">
        <w:rPr>
          <w:rFonts w:hint="eastAsia"/>
        </w:rPr>
        <w:t>是围绕着盈余预测而展开的，</w:t>
      </w:r>
      <w:r w:rsidR="00DC4C84">
        <w:rPr>
          <w:rFonts w:hint="eastAsia"/>
        </w:rPr>
        <w:t>最初的</w:t>
      </w:r>
      <w:r w:rsidR="002E07D0">
        <w:rPr>
          <w:rFonts w:hint="eastAsia"/>
        </w:rPr>
        <w:t>文献主要关注</w:t>
      </w:r>
      <w:r>
        <w:rPr>
          <w:rFonts w:hint="eastAsia"/>
        </w:rPr>
        <w:t>证券分析师预测</w:t>
      </w:r>
      <w:r w:rsidR="00872D63">
        <w:rPr>
          <w:rFonts w:hint="eastAsia"/>
        </w:rPr>
        <w:t>相比</w:t>
      </w:r>
      <w:r w:rsidR="002E07D0">
        <w:rPr>
          <w:rFonts w:hint="eastAsia"/>
        </w:rPr>
        <w:t>统计</w:t>
      </w:r>
      <w:r w:rsidR="00872D63">
        <w:rPr>
          <w:rFonts w:hint="eastAsia"/>
        </w:rPr>
        <w:t>模型</w:t>
      </w:r>
      <w:r w:rsidR="00D01702">
        <w:rPr>
          <w:rFonts w:hint="eastAsia"/>
        </w:rPr>
        <w:t>的优越</w:t>
      </w:r>
      <w:r>
        <w:rPr>
          <w:rFonts w:hint="eastAsia"/>
        </w:rPr>
        <w:t>性</w:t>
      </w:r>
      <w:r w:rsidR="00DC4C84">
        <w:rPr>
          <w:rFonts w:hint="eastAsia"/>
        </w:rPr>
        <w:t>，并且在这一问题上基本已经得到了统一的肯定结论。</w:t>
      </w:r>
    </w:p>
    <w:p w14:paraId="45DD13C6" w14:textId="77777777" w:rsidR="0068347D" w:rsidRDefault="00DC4C84" w:rsidP="002E07D0">
      <w:r>
        <w:rPr>
          <w:rFonts w:hint="eastAsia"/>
        </w:rPr>
        <w:t>接下</w:t>
      </w:r>
      <w:r w:rsidR="0068347D">
        <w:rPr>
          <w:rFonts w:hint="eastAsia"/>
        </w:rPr>
        <w:t>来，大量文献将目光集中于</w:t>
      </w:r>
      <w:r>
        <w:rPr>
          <w:rFonts w:hint="eastAsia"/>
        </w:rPr>
        <w:t>讨论</w:t>
      </w:r>
      <w:r w:rsidR="0035255C">
        <w:rPr>
          <w:rFonts w:hint="eastAsia"/>
        </w:rPr>
        <w:t>预测准确性的影响因素</w:t>
      </w:r>
      <w:r w:rsidR="006C15E0">
        <w:rPr>
          <w:rFonts w:hint="eastAsia"/>
        </w:rPr>
        <w:t>，</w:t>
      </w:r>
      <w:r w:rsidR="0068347D">
        <w:rPr>
          <w:rFonts w:hint="eastAsia"/>
        </w:rPr>
        <w:t>并逐渐过渡至</w:t>
      </w:r>
      <w:r w:rsidR="002E07D0">
        <w:rPr>
          <w:rFonts w:hint="eastAsia"/>
        </w:rPr>
        <w:t>更加动态的角度</w:t>
      </w:r>
      <w:r w:rsidR="0068347D">
        <w:rPr>
          <w:rFonts w:hint="eastAsia"/>
        </w:rPr>
        <w:t>，</w:t>
      </w:r>
      <w:r w:rsidR="002E07D0">
        <w:rPr>
          <w:rFonts w:hint="eastAsia"/>
        </w:rPr>
        <w:t>考察分析师预测</w:t>
      </w:r>
      <w:r w:rsidR="0035255C">
        <w:rPr>
          <w:rFonts w:hint="eastAsia"/>
        </w:rPr>
        <w:t>修正对收益率的解释能力以及盈余预测和</w:t>
      </w:r>
      <w:r w:rsidR="00174584">
        <w:rPr>
          <w:rFonts w:hint="eastAsia"/>
        </w:rPr>
        <w:t>投资评级</w:t>
      </w:r>
      <w:r w:rsidR="0035255C">
        <w:rPr>
          <w:rFonts w:hint="eastAsia"/>
        </w:rPr>
        <w:t>的相互作用</w:t>
      </w:r>
      <w:r>
        <w:rPr>
          <w:rFonts w:hint="eastAsia"/>
        </w:rPr>
        <w:t>等</w:t>
      </w:r>
      <w:r w:rsidR="0035255C">
        <w:rPr>
          <w:rFonts w:hint="eastAsia"/>
        </w:rPr>
        <w:t>。</w:t>
      </w:r>
      <w:r w:rsidR="00730ADC">
        <w:rPr>
          <w:rFonts w:hint="eastAsia"/>
        </w:rPr>
        <w:t>随着行为金融理论的兴起，形成了第二条研究主题发展路径——即从理性向非理性的转变。除了信息环境、利益冲突和分析师特征等因素，</w:t>
      </w:r>
      <w:r w:rsidR="006C15E0">
        <w:rPr>
          <w:rFonts w:hint="eastAsia"/>
        </w:rPr>
        <w:t>羊群行为、</w:t>
      </w:r>
      <w:r w:rsidR="00730ADC">
        <w:rPr>
          <w:rFonts w:hint="eastAsia"/>
        </w:rPr>
        <w:t>投资者情绪</w:t>
      </w:r>
      <w:r w:rsidR="006C15E0">
        <w:rPr>
          <w:rFonts w:hint="eastAsia"/>
        </w:rPr>
        <w:t>从</w:t>
      </w:r>
      <w:r w:rsidR="00730ADC">
        <w:rPr>
          <w:rFonts w:hint="eastAsia"/>
        </w:rPr>
        <w:t>非理性</w:t>
      </w:r>
      <w:r w:rsidR="006C15E0">
        <w:rPr>
          <w:rFonts w:hint="eastAsia"/>
        </w:rPr>
        <w:t>角度</w:t>
      </w:r>
      <w:r w:rsidR="00730ADC">
        <w:rPr>
          <w:rFonts w:hint="eastAsia"/>
        </w:rPr>
        <w:t>解释</w:t>
      </w:r>
      <w:r w:rsidR="006C15E0">
        <w:rPr>
          <w:rFonts w:hint="eastAsia"/>
        </w:rPr>
        <w:t>了</w:t>
      </w:r>
      <w:r w:rsidR="00730ADC">
        <w:rPr>
          <w:rFonts w:hint="eastAsia"/>
        </w:rPr>
        <w:t>证券分析师</w:t>
      </w:r>
      <w:r w:rsidR="006C15E0">
        <w:rPr>
          <w:rFonts w:hint="eastAsia"/>
        </w:rPr>
        <w:t>预测出现系统性偏差的成因</w:t>
      </w:r>
      <w:r w:rsidR="00730ADC">
        <w:rPr>
          <w:rFonts w:hint="eastAsia"/>
        </w:rPr>
        <w:t>。</w:t>
      </w:r>
    </w:p>
    <w:p w14:paraId="2BD84BAE" w14:textId="6287EB99" w:rsidR="00323D59" w:rsidRDefault="006C15E0" w:rsidP="002E07D0">
      <w:r>
        <w:rPr>
          <w:rFonts w:hint="eastAsia"/>
        </w:rPr>
        <w:t>在</w:t>
      </w:r>
      <w:r w:rsidR="0035255C">
        <w:rPr>
          <w:rFonts w:hint="eastAsia"/>
        </w:rPr>
        <w:t>静态视角向动态视角</w:t>
      </w:r>
      <w:r>
        <w:rPr>
          <w:rFonts w:hint="eastAsia"/>
        </w:rPr>
        <w:t>、理性视角向非理性视角的转变之后</w:t>
      </w:r>
      <w:r w:rsidR="0035255C">
        <w:rPr>
          <w:rFonts w:hint="eastAsia"/>
        </w:rPr>
        <w:t>，学者的目光</w:t>
      </w:r>
      <w:r>
        <w:rPr>
          <w:rFonts w:hint="eastAsia"/>
        </w:rPr>
        <w:t>开始从</w:t>
      </w:r>
      <w:r w:rsidR="0035255C">
        <w:rPr>
          <w:rFonts w:hint="eastAsia"/>
        </w:rPr>
        <w:t>盈余预测行为的结果回溯至行为本身</w:t>
      </w:r>
      <w:r w:rsidR="008B3AFF">
        <w:rPr>
          <w:rFonts w:hint="eastAsia"/>
        </w:rPr>
        <w:t>，</w:t>
      </w:r>
      <w:r w:rsidR="0068347D">
        <w:rPr>
          <w:rFonts w:hint="eastAsia"/>
        </w:rPr>
        <w:t>目前已形成一定规模</w:t>
      </w:r>
      <w:r>
        <w:rPr>
          <w:rFonts w:hint="eastAsia"/>
        </w:rPr>
        <w:t>的</w:t>
      </w:r>
      <w:r w:rsidR="008B3AFF">
        <w:rPr>
          <w:rFonts w:hint="eastAsia"/>
        </w:rPr>
        <w:t>两个主题</w:t>
      </w:r>
      <w:r>
        <w:rPr>
          <w:rFonts w:hint="eastAsia"/>
        </w:rPr>
        <w:t>是</w:t>
      </w:r>
      <w:r w:rsidR="004324E4">
        <w:rPr>
          <w:rFonts w:hint="eastAsia"/>
        </w:rPr>
        <w:t>针对</w:t>
      </w:r>
      <w:r>
        <w:rPr>
          <w:rFonts w:hint="eastAsia"/>
        </w:rPr>
        <w:t>分析师跟踪</w:t>
      </w:r>
      <w:r w:rsidR="004324E4">
        <w:rPr>
          <w:rFonts w:hint="eastAsia"/>
        </w:rPr>
        <w:t>决策和分析师</w:t>
      </w:r>
      <w:r w:rsidR="008B3AFF">
        <w:rPr>
          <w:rFonts w:hint="eastAsia"/>
        </w:rPr>
        <w:t>研究</w:t>
      </w:r>
      <w:r w:rsidR="004324E4">
        <w:rPr>
          <w:rFonts w:hint="eastAsia"/>
        </w:rPr>
        <w:t>时间模式的</w:t>
      </w:r>
      <w:r>
        <w:rPr>
          <w:rFonts w:hint="eastAsia"/>
        </w:rPr>
        <w:t>研究</w:t>
      </w:r>
      <w:r w:rsidR="004324E4">
        <w:rPr>
          <w:rFonts w:hint="eastAsia"/>
        </w:rPr>
        <w:t>，前者主要</w:t>
      </w:r>
      <w:r w:rsidR="008B3AFF">
        <w:rPr>
          <w:rFonts w:hint="eastAsia"/>
        </w:rPr>
        <w:t>集中于讨论</w:t>
      </w:r>
      <w:r w:rsidR="004324E4">
        <w:rPr>
          <w:rFonts w:hint="eastAsia"/>
        </w:rPr>
        <w:t>分析师</w:t>
      </w:r>
      <w:r w:rsidR="0068347D">
        <w:rPr>
          <w:rFonts w:hint="eastAsia"/>
        </w:rPr>
        <w:t>跟踪的偏好，后者则是讨论分析师如何就报告</w:t>
      </w:r>
      <w:r w:rsidR="008B3AFF">
        <w:rPr>
          <w:rFonts w:hint="eastAsia"/>
        </w:rPr>
        <w:t>发布时间</w:t>
      </w:r>
      <w:r w:rsidR="0068347D">
        <w:rPr>
          <w:rFonts w:hint="eastAsia"/>
        </w:rPr>
        <w:t>进行</w:t>
      </w:r>
      <w:r w:rsidR="008B3AFF">
        <w:rPr>
          <w:rFonts w:hint="eastAsia"/>
        </w:rPr>
        <w:t>决策，也即本文的研究方向</w:t>
      </w:r>
      <w:r w:rsidR="004324E4">
        <w:rPr>
          <w:rFonts w:hint="eastAsia"/>
        </w:rPr>
        <w:t>。</w:t>
      </w:r>
    </w:p>
    <w:p w14:paraId="48B6114E" w14:textId="76FA65C2" w:rsidR="00D01702" w:rsidRPr="00323D59" w:rsidRDefault="0099711D" w:rsidP="00323D59">
      <w:r>
        <w:rPr>
          <w:rFonts w:hint="eastAsia"/>
        </w:rPr>
        <w:t>综合考虑证券分析师相关研究的</w:t>
      </w:r>
      <w:r w:rsidR="006A304B">
        <w:rPr>
          <w:rFonts w:hint="eastAsia"/>
        </w:rPr>
        <w:t>三条发展脉络，</w:t>
      </w:r>
      <w:r w:rsidR="00D01702">
        <w:rPr>
          <w:rFonts w:hint="eastAsia"/>
        </w:rPr>
        <w:t>接下来本文将</w:t>
      </w:r>
      <w:r>
        <w:rPr>
          <w:rFonts w:hint="eastAsia"/>
        </w:rPr>
        <w:t>从分析师预测质量</w:t>
      </w:r>
      <w:r w:rsidR="00D808D0">
        <w:rPr>
          <w:rFonts w:hint="eastAsia"/>
        </w:rPr>
        <w:t>和分析师行为</w:t>
      </w:r>
      <w:r>
        <w:rPr>
          <w:rFonts w:hint="eastAsia"/>
        </w:rPr>
        <w:t>模式</w:t>
      </w:r>
      <w:r w:rsidR="00D808D0">
        <w:rPr>
          <w:rFonts w:hint="eastAsia"/>
        </w:rPr>
        <w:t>两</w:t>
      </w:r>
      <w:r>
        <w:rPr>
          <w:rFonts w:hint="eastAsia"/>
        </w:rPr>
        <w:t>大方面</w:t>
      </w:r>
      <w:r w:rsidR="00D808D0">
        <w:rPr>
          <w:rFonts w:hint="eastAsia"/>
        </w:rPr>
        <w:t>对相关文献进行梳理。</w:t>
      </w:r>
    </w:p>
    <w:p w14:paraId="23DC28D5" w14:textId="3EA68B65" w:rsidR="009C094F" w:rsidRPr="00EE2202" w:rsidRDefault="00732044" w:rsidP="00DC67E7">
      <w:pPr>
        <w:pStyle w:val="2"/>
        <w:numPr>
          <w:ilvl w:val="0"/>
          <w:numId w:val="5"/>
        </w:numPr>
      </w:pPr>
      <w:bookmarkStart w:id="6" w:name="_Toc509527745"/>
      <w:r>
        <w:rPr>
          <w:rFonts w:hint="eastAsia"/>
        </w:rPr>
        <w:t>分析师</w:t>
      </w:r>
      <w:r w:rsidR="009C094F" w:rsidRPr="00EE2202">
        <w:rPr>
          <w:rFonts w:hint="eastAsia"/>
        </w:rPr>
        <w:t>盈余预测</w:t>
      </w:r>
      <w:r w:rsidR="00667F6B">
        <w:rPr>
          <w:rFonts w:hint="eastAsia"/>
        </w:rPr>
        <w:t>质量</w:t>
      </w:r>
      <w:bookmarkEnd w:id="6"/>
    </w:p>
    <w:p w14:paraId="0B7B13F3" w14:textId="4ECEEECD" w:rsidR="004D075B" w:rsidRDefault="004D075B" w:rsidP="00EE2202">
      <w:r>
        <w:rPr>
          <w:rFonts w:hint="eastAsia"/>
        </w:rPr>
        <w:t>一般认为，分析师个体盈余</w:t>
      </w:r>
      <w:r w:rsidR="0068347D">
        <w:rPr>
          <w:rFonts w:hint="eastAsia"/>
        </w:rPr>
        <w:t>预测的质量可以从两个角度来衡量——准确性和有效性，前者即分析师做</w:t>
      </w:r>
      <w:r>
        <w:rPr>
          <w:rFonts w:hint="eastAsia"/>
        </w:rPr>
        <w:t>出的盈余预测与公司披露的盈余数据之间的差异，后者则是从投资价值的角度</w:t>
      </w:r>
      <w:r w:rsidR="0068347D">
        <w:rPr>
          <w:rFonts w:hint="eastAsia"/>
        </w:rPr>
        <w:t>，以市场反应和信息含量等因素评价</w:t>
      </w:r>
      <w:r>
        <w:rPr>
          <w:rFonts w:hint="eastAsia"/>
        </w:rPr>
        <w:t>分析师的研究绩效。</w:t>
      </w:r>
    </w:p>
    <w:p w14:paraId="2317F2C9" w14:textId="78893908" w:rsidR="00061260" w:rsidRDefault="00061260" w:rsidP="00447DB7">
      <w:pPr>
        <w:pStyle w:val="3"/>
      </w:pPr>
      <w:bookmarkStart w:id="7" w:name="_Toc509527746"/>
      <w:r>
        <w:rPr>
          <w:rFonts w:hint="eastAsia"/>
        </w:rPr>
        <w:t>盈余预测准确性</w:t>
      </w:r>
      <w:bookmarkEnd w:id="7"/>
    </w:p>
    <w:p w14:paraId="711B96C9" w14:textId="1DB1D56F" w:rsidR="004D075B" w:rsidRPr="00DC4C84" w:rsidRDefault="00475809" w:rsidP="009B520B">
      <w:r w:rsidRPr="00475809">
        <w:rPr>
          <w:rFonts w:hint="eastAsia"/>
        </w:rPr>
        <w:t>在分析师预测偏差上，国内外研究基本上达成了分析师</w:t>
      </w:r>
      <w:r w:rsidR="00F76849">
        <w:rPr>
          <w:rFonts w:hint="eastAsia"/>
        </w:rPr>
        <w:t>预测普遍</w:t>
      </w:r>
      <w:r w:rsidRPr="00475809">
        <w:rPr>
          <w:rFonts w:hint="eastAsia"/>
        </w:rPr>
        <w:t>存在乐观偏差的共识</w:t>
      </w:r>
      <w:r w:rsidR="00160715">
        <w:rPr>
          <w:rFonts w:hint="eastAsia"/>
        </w:rPr>
        <w:t>（</w:t>
      </w:r>
      <w:r w:rsidRPr="00475809">
        <w:rPr>
          <w:rFonts w:hint="eastAsia"/>
        </w:rPr>
        <w:t>Basi</w:t>
      </w:r>
      <w:r w:rsidRPr="00475809">
        <w:rPr>
          <w:rFonts w:hint="eastAsia"/>
        </w:rPr>
        <w:t>等</w:t>
      </w:r>
      <w:r w:rsidR="00160715">
        <w:rPr>
          <w:rFonts w:hint="eastAsia"/>
        </w:rPr>
        <w:t>，</w:t>
      </w:r>
      <w:r w:rsidRPr="00475809">
        <w:rPr>
          <w:rFonts w:hint="eastAsia"/>
        </w:rPr>
        <w:t>1976</w:t>
      </w:r>
      <w:r w:rsidR="00EE48D6">
        <w:rPr>
          <w:rStyle w:val="afb"/>
        </w:rPr>
        <w:t>[</w:t>
      </w:r>
      <w:r w:rsidR="00EE48D6">
        <w:rPr>
          <w:rStyle w:val="afb"/>
        </w:rPr>
        <w:endnoteReference w:id="2"/>
      </w:r>
      <w:r w:rsidR="00EE48D6">
        <w:rPr>
          <w:rStyle w:val="afb"/>
        </w:rPr>
        <w:t>]</w:t>
      </w:r>
      <w:r w:rsidR="00160715">
        <w:rPr>
          <w:rFonts w:hint="eastAsia"/>
        </w:rPr>
        <w:t>；</w:t>
      </w:r>
      <w:r w:rsidRPr="00475809">
        <w:rPr>
          <w:rFonts w:hint="eastAsia"/>
        </w:rPr>
        <w:t>O</w:t>
      </w:r>
      <w:r>
        <w:t>’</w:t>
      </w:r>
      <w:r w:rsidRPr="00475809">
        <w:rPr>
          <w:rFonts w:hint="eastAsia"/>
        </w:rPr>
        <w:t>Brien</w:t>
      </w:r>
      <w:r w:rsidR="00160715">
        <w:rPr>
          <w:rFonts w:hint="eastAsia"/>
        </w:rPr>
        <w:t>，</w:t>
      </w:r>
      <w:r w:rsidRPr="00475809">
        <w:rPr>
          <w:rFonts w:hint="eastAsia"/>
        </w:rPr>
        <w:t>1988</w:t>
      </w:r>
      <w:r w:rsidR="00EE48D6">
        <w:rPr>
          <w:rStyle w:val="afb"/>
        </w:rPr>
        <w:t>[</w:t>
      </w:r>
      <w:r w:rsidR="00EE48D6">
        <w:rPr>
          <w:rStyle w:val="afb"/>
        </w:rPr>
        <w:endnoteReference w:id="3"/>
      </w:r>
      <w:r w:rsidR="00EE48D6">
        <w:rPr>
          <w:rStyle w:val="afb"/>
        </w:rPr>
        <w:t>]</w:t>
      </w:r>
      <w:r w:rsidR="00160715">
        <w:rPr>
          <w:rFonts w:hint="eastAsia"/>
        </w:rPr>
        <w:t>；</w:t>
      </w:r>
      <w:r w:rsidRPr="00475809">
        <w:rPr>
          <w:rFonts w:hint="eastAsia"/>
        </w:rPr>
        <w:t>Butler</w:t>
      </w:r>
      <w:r w:rsidRPr="00475809">
        <w:rPr>
          <w:rFonts w:hint="eastAsia"/>
        </w:rPr>
        <w:t>和</w:t>
      </w:r>
      <w:r w:rsidRPr="00475809">
        <w:rPr>
          <w:rFonts w:hint="eastAsia"/>
        </w:rPr>
        <w:t>Lang</w:t>
      </w:r>
      <w:r w:rsidR="00160715">
        <w:rPr>
          <w:rFonts w:hint="eastAsia"/>
        </w:rPr>
        <w:t>，</w:t>
      </w:r>
      <w:r w:rsidRPr="00475809">
        <w:rPr>
          <w:rFonts w:hint="eastAsia"/>
        </w:rPr>
        <w:t>1991</w:t>
      </w:r>
      <w:r w:rsidR="00EE48D6">
        <w:rPr>
          <w:rStyle w:val="afb"/>
        </w:rPr>
        <w:t>[</w:t>
      </w:r>
      <w:r w:rsidR="00EE48D6">
        <w:rPr>
          <w:rStyle w:val="afb"/>
        </w:rPr>
        <w:endnoteReference w:id="4"/>
      </w:r>
      <w:r w:rsidR="00EE48D6">
        <w:rPr>
          <w:rStyle w:val="afb"/>
        </w:rPr>
        <w:t>]</w:t>
      </w:r>
      <w:r w:rsidR="00160715">
        <w:rPr>
          <w:rFonts w:hint="eastAsia"/>
        </w:rPr>
        <w:t>）</w:t>
      </w:r>
      <w:r w:rsidR="00985D20">
        <w:rPr>
          <w:rFonts w:hint="eastAsia"/>
        </w:rPr>
        <w:t>，</w:t>
      </w:r>
      <w:r w:rsidR="009B520B">
        <w:rPr>
          <w:rFonts w:hint="eastAsia"/>
        </w:rPr>
        <w:t>经过对</w:t>
      </w:r>
      <w:r w:rsidR="009B520B">
        <w:rPr>
          <w:rFonts w:hint="eastAsia"/>
        </w:rPr>
        <w:lastRenderedPageBreak/>
        <w:t>相关文献的梳理，</w:t>
      </w:r>
      <w:r w:rsidR="00DC4C84">
        <w:rPr>
          <w:rFonts w:hint="eastAsia"/>
        </w:rPr>
        <w:t>导致分析师预测出现偏差的因素主要包括信息披露环境、利益冲突机制、分析师特征（经验）以及非理性因素：</w:t>
      </w:r>
    </w:p>
    <w:p w14:paraId="140FB6A5" w14:textId="3A5DB2A1" w:rsidR="004D075B" w:rsidRDefault="004D075B" w:rsidP="004D075B">
      <w:pPr>
        <w:pStyle w:val="4"/>
      </w:pPr>
      <w:r>
        <w:rPr>
          <w:rFonts w:hint="eastAsia"/>
        </w:rPr>
        <w:t>信息披露环境</w:t>
      </w:r>
      <w:r w:rsidR="00C20034">
        <w:rPr>
          <w:rFonts w:hint="eastAsia"/>
        </w:rPr>
        <w:t>的影响</w:t>
      </w:r>
    </w:p>
    <w:p w14:paraId="088179D2" w14:textId="642182CC" w:rsidR="00EB17AE" w:rsidRDefault="00300AD9" w:rsidP="00CD1959">
      <w:r>
        <w:rPr>
          <w:rFonts w:hint="eastAsia"/>
        </w:rPr>
        <w:t>证券</w:t>
      </w:r>
      <w:r w:rsidR="009B520B">
        <w:rPr>
          <w:rFonts w:hint="eastAsia"/>
        </w:rPr>
        <w:t>分析师</w:t>
      </w:r>
      <w:r>
        <w:rPr>
          <w:rFonts w:hint="eastAsia"/>
        </w:rPr>
        <w:t>的预测是对其已获得的公开信息和私有信息上再次加工的成果，而</w:t>
      </w:r>
      <w:r w:rsidR="00341193">
        <w:rPr>
          <w:rFonts w:hint="eastAsia"/>
        </w:rPr>
        <w:t>上市</w:t>
      </w:r>
      <w:r>
        <w:rPr>
          <w:rFonts w:hint="eastAsia"/>
        </w:rPr>
        <w:t>公司所披露的信息自然地成为了分析师使用的一个主要信息来源。但是，一方面公司在披露信息时拥有一定的自由度，即使是强制性披露的内容，公司在做出会计估计时也有操作的余地，</w:t>
      </w:r>
      <w:r w:rsidR="00D131B8">
        <w:rPr>
          <w:rFonts w:hint="eastAsia"/>
        </w:rPr>
        <w:t>从而影响了分析师可获得的信息集。</w:t>
      </w:r>
      <w:r>
        <w:rPr>
          <w:rFonts w:hint="eastAsia"/>
        </w:rPr>
        <w:t>为此，</w:t>
      </w:r>
      <w:r w:rsidR="00DC4C84" w:rsidRPr="0034587D">
        <w:rPr>
          <w:rFonts w:hint="eastAsia"/>
          <w:lang w:val="da-DK"/>
        </w:rPr>
        <w:t>Lang</w:t>
      </w:r>
      <w:r w:rsidR="00DC4C84">
        <w:rPr>
          <w:rFonts w:hint="eastAsia"/>
        </w:rPr>
        <w:t>和</w:t>
      </w:r>
      <w:r w:rsidR="00DC4C84" w:rsidRPr="0034587D">
        <w:rPr>
          <w:rFonts w:hint="eastAsia"/>
          <w:lang w:val="da-DK"/>
        </w:rPr>
        <w:t>Lundholm</w:t>
      </w:r>
      <w:r w:rsidR="00DC4C84" w:rsidRPr="0034587D">
        <w:rPr>
          <w:rFonts w:hint="eastAsia"/>
          <w:lang w:val="da-DK"/>
        </w:rPr>
        <w:t>（</w:t>
      </w:r>
      <w:r w:rsidR="00DC4C84" w:rsidRPr="0034587D">
        <w:rPr>
          <w:rFonts w:hint="eastAsia"/>
          <w:lang w:val="da-DK"/>
        </w:rPr>
        <w:t>1996</w:t>
      </w:r>
      <w:r w:rsidR="00DC4C84" w:rsidRPr="0034587D">
        <w:rPr>
          <w:rFonts w:hint="eastAsia"/>
          <w:lang w:val="da-DK"/>
        </w:rPr>
        <w:t>）</w:t>
      </w:r>
      <w:r w:rsidR="00EE48D6">
        <w:rPr>
          <w:rStyle w:val="afb"/>
          <w:lang w:val="da-DK"/>
        </w:rPr>
        <w:t>[</w:t>
      </w:r>
      <w:r w:rsidR="00EE48D6">
        <w:rPr>
          <w:rStyle w:val="afb"/>
          <w:lang w:val="da-DK"/>
        </w:rPr>
        <w:endnoteReference w:id="5"/>
      </w:r>
      <w:r w:rsidR="00EE48D6">
        <w:rPr>
          <w:rStyle w:val="afb"/>
          <w:lang w:val="da-DK"/>
        </w:rPr>
        <w:t>]</w:t>
      </w:r>
      <w:r>
        <w:rPr>
          <w:rFonts w:hint="eastAsia"/>
          <w:lang w:val="da-DK"/>
        </w:rPr>
        <w:t>的研究以</w:t>
      </w:r>
      <w:r>
        <w:rPr>
          <w:rFonts w:hint="eastAsia"/>
          <w:lang w:val="da-DK"/>
        </w:rPr>
        <w:t>FAF</w:t>
      </w:r>
      <w:r w:rsidR="00491D76">
        <w:rPr>
          <w:lang w:val="da-DK"/>
        </w:rPr>
        <w:t xml:space="preserve"> </w:t>
      </w:r>
      <w:r w:rsidR="00491D76">
        <w:rPr>
          <w:rFonts w:hint="eastAsia"/>
          <w:lang w:val="da-DK"/>
        </w:rPr>
        <w:t>Report</w:t>
      </w:r>
      <w:r w:rsidR="00491D76">
        <w:rPr>
          <w:rStyle w:val="afe"/>
          <w:lang w:val="da-DK"/>
        </w:rPr>
        <w:footnoteReference w:id="1"/>
      </w:r>
      <w:r>
        <w:rPr>
          <w:rFonts w:hint="eastAsia"/>
          <w:lang w:val="da-DK"/>
        </w:rPr>
        <w:t>评分来度量</w:t>
      </w:r>
      <w:r w:rsidR="00491D76">
        <w:rPr>
          <w:rFonts w:hint="eastAsia"/>
          <w:lang w:val="da-DK"/>
        </w:rPr>
        <w:t>美国上市</w:t>
      </w:r>
      <w:r>
        <w:rPr>
          <w:rFonts w:hint="eastAsia"/>
          <w:lang w:val="da-DK"/>
        </w:rPr>
        <w:t>公司信息披露中的信息含量，</w:t>
      </w:r>
      <w:r w:rsidR="00B124B8">
        <w:rPr>
          <w:rFonts w:hint="eastAsia"/>
          <w:lang w:val="da-DK"/>
        </w:rPr>
        <w:t>这个评分直观反映了分析师对</w:t>
      </w:r>
      <w:r w:rsidR="00475809">
        <w:rPr>
          <w:rFonts w:hint="eastAsia"/>
        </w:rPr>
        <w:t>上市公司</w:t>
      </w:r>
      <w:r w:rsidR="00B124B8">
        <w:rPr>
          <w:rFonts w:hint="eastAsia"/>
        </w:rPr>
        <w:t>信息披露质量的看法，他们的实证研究发现，上市公司</w:t>
      </w:r>
      <w:r w:rsidR="00475809">
        <w:rPr>
          <w:rFonts w:hint="eastAsia"/>
        </w:rPr>
        <w:t>信息披露质量的评级越高，</w:t>
      </w:r>
      <w:r w:rsidR="00B124B8">
        <w:rPr>
          <w:rFonts w:hint="eastAsia"/>
        </w:rPr>
        <w:t>分析师预测的</w:t>
      </w:r>
      <w:r w:rsidR="00475809">
        <w:rPr>
          <w:rFonts w:hint="eastAsia"/>
        </w:rPr>
        <w:t>准确性越好，</w:t>
      </w:r>
      <w:r w:rsidR="00B124B8">
        <w:rPr>
          <w:rFonts w:hint="eastAsia"/>
        </w:rPr>
        <w:t>同时预测的</w:t>
      </w:r>
      <w:r w:rsidR="00475809">
        <w:rPr>
          <w:rFonts w:hint="eastAsia"/>
        </w:rPr>
        <w:t>分歧度</w:t>
      </w:r>
      <w:r w:rsidR="00B124B8">
        <w:rPr>
          <w:rFonts w:hint="eastAsia"/>
        </w:rPr>
        <w:t>也</w:t>
      </w:r>
      <w:r w:rsidR="00475809">
        <w:rPr>
          <w:rFonts w:hint="eastAsia"/>
        </w:rPr>
        <w:t>越小</w:t>
      </w:r>
      <w:r w:rsidR="00D27AAA">
        <w:rPr>
          <w:rFonts w:hint="eastAsia"/>
        </w:rPr>
        <w:t>。</w:t>
      </w:r>
    </w:p>
    <w:p w14:paraId="2D9C3C1D" w14:textId="69EB31F1" w:rsidR="00A54734" w:rsidRDefault="00B124B8" w:rsidP="004D075B">
      <w:r>
        <w:rPr>
          <w:rFonts w:hint="eastAsia"/>
        </w:rPr>
        <w:t>这一现象在</w:t>
      </w:r>
      <w:r w:rsidR="002F12A1" w:rsidRPr="006408EE">
        <w:rPr>
          <w:rFonts w:hint="eastAsia"/>
        </w:rPr>
        <w:t>英国、法国、德国、日本、荷兰和瑞士</w:t>
      </w:r>
      <w:r>
        <w:rPr>
          <w:rFonts w:hint="eastAsia"/>
        </w:rPr>
        <w:t>等发达国家资本市场的</w:t>
      </w:r>
      <w:r w:rsidR="002F12A1" w:rsidRPr="006408EE">
        <w:rPr>
          <w:rFonts w:hint="eastAsia"/>
        </w:rPr>
        <w:t>上市公司</w:t>
      </w:r>
      <w:r>
        <w:rPr>
          <w:rFonts w:hint="eastAsia"/>
        </w:rPr>
        <w:t>中也存在（</w:t>
      </w:r>
      <w:r>
        <w:rPr>
          <w:rFonts w:hint="eastAsia"/>
        </w:rPr>
        <w:t>Hi</w:t>
      </w:r>
      <w:r>
        <w:t>ggins</w:t>
      </w:r>
      <w:r>
        <w:rPr>
          <w:rFonts w:hint="eastAsia"/>
        </w:rPr>
        <w:t>，</w:t>
      </w:r>
      <w:r>
        <w:rPr>
          <w:rFonts w:hint="eastAsia"/>
        </w:rPr>
        <w:t>1998</w:t>
      </w:r>
      <w:r w:rsidR="00EE48D6">
        <w:rPr>
          <w:rStyle w:val="afb"/>
        </w:rPr>
        <w:t>[</w:t>
      </w:r>
      <w:r w:rsidR="00EE48D6">
        <w:rPr>
          <w:rStyle w:val="afb"/>
        </w:rPr>
        <w:endnoteReference w:id="6"/>
      </w:r>
      <w:r w:rsidR="00EE48D6">
        <w:rPr>
          <w:rStyle w:val="afb"/>
        </w:rPr>
        <w:t>]</w:t>
      </w:r>
      <w:r w:rsidR="00694504">
        <w:rPr>
          <w:rFonts w:hint="eastAsia"/>
        </w:rPr>
        <w:t>），另外一些学者以不同的变量度量公司的信息披露状况，例如公司财务报告中的管理层讨论</w:t>
      </w:r>
      <w:r w:rsidR="00CD1959">
        <w:rPr>
          <w:rFonts w:hint="eastAsia"/>
        </w:rPr>
        <w:t>部分</w:t>
      </w:r>
      <w:r w:rsidR="00694504">
        <w:rPr>
          <w:rFonts w:hint="eastAsia"/>
        </w:rPr>
        <w:t>的</w:t>
      </w:r>
      <w:r w:rsidR="00CD1959">
        <w:rPr>
          <w:rFonts w:hint="eastAsia"/>
        </w:rPr>
        <w:t>质量</w:t>
      </w:r>
      <w:r w:rsidR="00694504">
        <w:rPr>
          <w:rFonts w:hint="eastAsia"/>
        </w:rPr>
        <w:t>和上市公司</w:t>
      </w:r>
      <w:r w:rsidR="00CD1959">
        <w:rPr>
          <w:rFonts w:hint="eastAsia"/>
        </w:rPr>
        <w:t>新闻发布会</w:t>
      </w:r>
      <w:r w:rsidR="00BA70C7">
        <w:rPr>
          <w:rFonts w:hint="eastAsia"/>
        </w:rPr>
        <w:t>的</w:t>
      </w:r>
      <w:r w:rsidR="00694504">
        <w:rPr>
          <w:rFonts w:hint="eastAsia"/>
        </w:rPr>
        <w:t>召开，均能</w:t>
      </w:r>
      <w:r w:rsidR="00CD1959">
        <w:rPr>
          <w:rFonts w:hint="eastAsia"/>
        </w:rPr>
        <w:t>显著提高</w:t>
      </w:r>
      <w:r w:rsidR="00694504">
        <w:rPr>
          <w:rFonts w:hint="eastAsia"/>
        </w:rPr>
        <w:t>分析师预测的</w:t>
      </w:r>
      <w:r w:rsidR="00CD1959">
        <w:rPr>
          <w:rFonts w:hint="eastAsia"/>
        </w:rPr>
        <w:t>准确性，减少</w:t>
      </w:r>
      <w:r w:rsidR="00694504">
        <w:rPr>
          <w:rFonts w:hint="eastAsia"/>
        </w:rPr>
        <w:t>他们的</w:t>
      </w:r>
      <w:r w:rsidR="00CD1959">
        <w:rPr>
          <w:rFonts w:hint="eastAsia"/>
        </w:rPr>
        <w:t>分歧（</w:t>
      </w:r>
      <w:r w:rsidR="00A54734">
        <w:rPr>
          <w:rFonts w:hint="eastAsia"/>
        </w:rPr>
        <w:t>Barron</w:t>
      </w:r>
      <w:r w:rsidR="00A54734">
        <w:rPr>
          <w:rFonts w:hint="eastAsia"/>
        </w:rPr>
        <w:t>等</w:t>
      </w:r>
      <w:r w:rsidR="00CD1959">
        <w:rPr>
          <w:rFonts w:hint="eastAsia"/>
        </w:rPr>
        <w:t>，</w:t>
      </w:r>
      <w:r w:rsidR="00A54734">
        <w:rPr>
          <w:rFonts w:hint="eastAsia"/>
        </w:rPr>
        <w:t>1999</w:t>
      </w:r>
      <w:r w:rsidR="00EE48D6">
        <w:rPr>
          <w:rStyle w:val="afb"/>
        </w:rPr>
        <w:t>[</w:t>
      </w:r>
      <w:r w:rsidR="00EE48D6">
        <w:rPr>
          <w:rStyle w:val="afb"/>
        </w:rPr>
        <w:endnoteReference w:id="7"/>
      </w:r>
      <w:r w:rsidR="00EE48D6">
        <w:rPr>
          <w:rStyle w:val="afb"/>
        </w:rPr>
        <w:t>]</w:t>
      </w:r>
      <w:r w:rsidR="00CD1959">
        <w:rPr>
          <w:rFonts w:hint="eastAsia"/>
        </w:rPr>
        <w:t>；</w:t>
      </w:r>
      <w:r w:rsidR="00CD1959">
        <w:rPr>
          <w:rFonts w:hint="eastAsia"/>
        </w:rPr>
        <w:t>Bowen</w:t>
      </w:r>
      <w:r w:rsidR="00CD1959">
        <w:rPr>
          <w:rFonts w:hint="eastAsia"/>
        </w:rPr>
        <w:t>等，</w:t>
      </w:r>
      <w:r w:rsidR="00CD1959">
        <w:rPr>
          <w:rFonts w:hint="eastAsia"/>
        </w:rPr>
        <w:t>2002</w:t>
      </w:r>
      <w:r w:rsidR="00EE48D6">
        <w:rPr>
          <w:rStyle w:val="afb"/>
        </w:rPr>
        <w:t>[</w:t>
      </w:r>
      <w:r w:rsidR="00EE48D6">
        <w:rPr>
          <w:rStyle w:val="afb"/>
        </w:rPr>
        <w:endnoteReference w:id="8"/>
      </w:r>
      <w:r w:rsidR="00EE48D6">
        <w:rPr>
          <w:rStyle w:val="afb"/>
        </w:rPr>
        <w:t>]</w:t>
      </w:r>
      <w:r w:rsidR="00CD1959">
        <w:rPr>
          <w:rFonts w:hint="eastAsia"/>
        </w:rPr>
        <w:t>）</w:t>
      </w:r>
      <w:r w:rsidR="00694504">
        <w:rPr>
          <w:rFonts w:hint="eastAsia"/>
        </w:rPr>
        <w:t>。</w:t>
      </w:r>
      <w:r w:rsidR="00EB17AE">
        <w:rPr>
          <w:rFonts w:hint="eastAsia"/>
        </w:rPr>
        <w:t>随后，</w:t>
      </w:r>
      <w:r w:rsidR="00A54734">
        <w:rPr>
          <w:rFonts w:hint="eastAsia"/>
        </w:rPr>
        <w:t>Byard</w:t>
      </w:r>
      <w:r w:rsidR="00A54734">
        <w:rPr>
          <w:rFonts w:hint="eastAsia"/>
        </w:rPr>
        <w:t>和</w:t>
      </w:r>
      <w:r w:rsidR="00A54734">
        <w:rPr>
          <w:rFonts w:hint="eastAsia"/>
        </w:rPr>
        <w:t>Shaw</w:t>
      </w:r>
      <w:r w:rsidR="00A54734">
        <w:rPr>
          <w:rFonts w:hint="eastAsia"/>
        </w:rPr>
        <w:t>（</w:t>
      </w:r>
      <w:r w:rsidR="00A54734">
        <w:rPr>
          <w:rFonts w:hint="eastAsia"/>
        </w:rPr>
        <w:t>2003</w:t>
      </w:r>
      <w:r w:rsidR="00A54734">
        <w:rPr>
          <w:rFonts w:hint="eastAsia"/>
        </w:rPr>
        <w:t>）</w:t>
      </w:r>
      <w:r w:rsidR="00EE48D6">
        <w:rPr>
          <w:rStyle w:val="afb"/>
        </w:rPr>
        <w:t>[</w:t>
      </w:r>
      <w:r w:rsidR="00EE48D6">
        <w:rPr>
          <w:rStyle w:val="afb"/>
        </w:rPr>
        <w:endnoteReference w:id="9"/>
      </w:r>
      <w:r w:rsidR="00EE48D6">
        <w:rPr>
          <w:rStyle w:val="afb"/>
        </w:rPr>
        <w:t>]</w:t>
      </w:r>
      <w:r w:rsidR="00EB17AE">
        <w:rPr>
          <w:rFonts w:hint="eastAsia"/>
        </w:rPr>
        <w:t>进一步区分</w:t>
      </w:r>
      <w:r w:rsidR="00BA70C7">
        <w:rPr>
          <w:rFonts w:hint="eastAsia"/>
        </w:rPr>
        <w:t>公司</w:t>
      </w:r>
      <w:r w:rsidR="00EB17AE">
        <w:rPr>
          <w:rFonts w:hint="eastAsia"/>
        </w:rPr>
        <w:t>公开信息披露和非公开沟通的信息质量，</w:t>
      </w:r>
      <w:r w:rsidR="00BA70C7">
        <w:rPr>
          <w:rFonts w:hint="eastAsia"/>
        </w:rPr>
        <w:t>发现</w:t>
      </w:r>
      <w:r w:rsidR="00EB17AE">
        <w:rPr>
          <w:rFonts w:hint="eastAsia"/>
        </w:rPr>
        <w:t>预测准确性的提高主要是源于高质量的公开信息披露能够</w:t>
      </w:r>
      <w:r w:rsidR="00CD1959">
        <w:rPr>
          <w:rFonts w:hint="eastAsia"/>
        </w:rPr>
        <w:t>改善</w:t>
      </w:r>
      <w:r w:rsidR="00EB17AE">
        <w:rPr>
          <w:rFonts w:hint="eastAsia"/>
        </w:rPr>
        <w:t>分析师拥有的公共信息和私有信息的</w:t>
      </w:r>
      <w:r w:rsidR="00CD1959">
        <w:rPr>
          <w:rFonts w:hint="eastAsia"/>
        </w:rPr>
        <w:t>精度</w:t>
      </w:r>
      <w:r w:rsidR="00EB17AE">
        <w:rPr>
          <w:rFonts w:hint="eastAsia"/>
        </w:rPr>
        <w:t>。</w:t>
      </w:r>
    </w:p>
    <w:p w14:paraId="6E8D9A37" w14:textId="34A3DB0A" w:rsidR="00A54734" w:rsidRDefault="00EB17AE" w:rsidP="00A54734">
      <w:r>
        <w:rPr>
          <w:rFonts w:hint="eastAsia"/>
        </w:rPr>
        <w:t>在我国的相关研究中也发现了类似的</w:t>
      </w:r>
      <w:r w:rsidR="00BA70C7">
        <w:rPr>
          <w:rFonts w:hint="eastAsia"/>
        </w:rPr>
        <w:t>结论。</w:t>
      </w:r>
      <w:r w:rsidR="00A54734">
        <w:rPr>
          <w:rFonts w:hint="eastAsia"/>
        </w:rPr>
        <w:t>方军雄（</w:t>
      </w:r>
      <w:r w:rsidR="00A54734">
        <w:rPr>
          <w:rFonts w:hint="eastAsia"/>
        </w:rPr>
        <w:t>2007</w:t>
      </w:r>
      <w:r>
        <w:rPr>
          <w:rFonts w:hint="eastAsia"/>
        </w:rPr>
        <w:t>）</w:t>
      </w:r>
      <w:r w:rsidR="00EE48D6">
        <w:rPr>
          <w:rStyle w:val="afb"/>
        </w:rPr>
        <w:t>[</w:t>
      </w:r>
      <w:r w:rsidR="00EE48D6">
        <w:rPr>
          <w:rStyle w:val="afb"/>
        </w:rPr>
        <w:endnoteReference w:id="10"/>
      </w:r>
      <w:r w:rsidR="00EE48D6">
        <w:rPr>
          <w:rStyle w:val="afb"/>
        </w:rPr>
        <w:t>]</w:t>
      </w:r>
      <w:r w:rsidR="00341193">
        <w:rPr>
          <w:rFonts w:hint="eastAsia"/>
        </w:rPr>
        <w:t>使用深交所</w:t>
      </w:r>
      <w:r w:rsidR="00083794">
        <w:rPr>
          <w:rFonts w:hint="eastAsia"/>
        </w:rPr>
        <w:t>自</w:t>
      </w:r>
      <w:r w:rsidR="00083794">
        <w:rPr>
          <w:rFonts w:hint="eastAsia"/>
        </w:rPr>
        <w:t>2001</w:t>
      </w:r>
      <w:r w:rsidR="00083794">
        <w:rPr>
          <w:rFonts w:hint="eastAsia"/>
        </w:rPr>
        <w:t>年开始</w:t>
      </w:r>
      <w:r w:rsidR="00341193">
        <w:rPr>
          <w:rFonts w:hint="eastAsia"/>
        </w:rPr>
        <w:t>的上市公司</w:t>
      </w:r>
      <w:r w:rsidR="00A54734">
        <w:rPr>
          <w:rFonts w:hint="eastAsia"/>
        </w:rPr>
        <w:t>信息披露</w:t>
      </w:r>
      <w:r w:rsidR="00341193">
        <w:rPr>
          <w:rFonts w:hint="eastAsia"/>
        </w:rPr>
        <w:t>考核结果衡量信息披露</w:t>
      </w:r>
      <w:r w:rsidR="00A54734">
        <w:rPr>
          <w:rFonts w:hint="eastAsia"/>
        </w:rPr>
        <w:t>质量</w:t>
      </w:r>
      <w:r w:rsidR="00341193">
        <w:rPr>
          <w:rFonts w:hint="eastAsia"/>
        </w:rPr>
        <w:t>，发现信息透明度越高</w:t>
      </w:r>
      <w:r w:rsidR="00A54734">
        <w:rPr>
          <w:rFonts w:hint="eastAsia"/>
        </w:rPr>
        <w:t>，</w:t>
      </w:r>
      <w:r w:rsidR="00341193">
        <w:rPr>
          <w:rFonts w:hint="eastAsia"/>
        </w:rPr>
        <w:t>则证券分析师的</w:t>
      </w:r>
      <w:r w:rsidR="00A54734">
        <w:rPr>
          <w:rFonts w:hint="eastAsia"/>
        </w:rPr>
        <w:t>预测准确性越高，</w:t>
      </w:r>
      <w:r w:rsidR="00341193">
        <w:rPr>
          <w:rFonts w:hint="eastAsia"/>
        </w:rPr>
        <w:t>其</w:t>
      </w:r>
      <w:r w:rsidR="00A54734">
        <w:rPr>
          <w:rFonts w:hint="eastAsia"/>
        </w:rPr>
        <w:t>预测</w:t>
      </w:r>
      <w:r w:rsidR="00341193">
        <w:rPr>
          <w:rFonts w:hint="eastAsia"/>
        </w:rPr>
        <w:t>结果</w:t>
      </w:r>
      <w:r w:rsidR="00A54734">
        <w:rPr>
          <w:rFonts w:hint="eastAsia"/>
        </w:rPr>
        <w:t>和</w:t>
      </w:r>
      <w:r w:rsidR="00827EB1">
        <w:rPr>
          <w:rFonts w:hint="eastAsia"/>
        </w:rPr>
        <w:t>公司每股盈余的</w:t>
      </w:r>
      <w:r w:rsidR="00A54734">
        <w:rPr>
          <w:rFonts w:hint="eastAsia"/>
        </w:rPr>
        <w:t>相关性越低。</w:t>
      </w:r>
      <w:r w:rsidR="00083794">
        <w:rPr>
          <w:rFonts w:hint="eastAsia"/>
        </w:rPr>
        <w:t>进一步地，</w:t>
      </w:r>
      <w:r w:rsidR="00A54734">
        <w:rPr>
          <w:rFonts w:hint="eastAsia"/>
        </w:rPr>
        <w:t>谭跃等（</w:t>
      </w:r>
      <w:r w:rsidR="00A54734">
        <w:rPr>
          <w:rFonts w:hint="eastAsia"/>
        </w:rPr>
        <w:t>2013</w:t>
      </w:r>
      <w:r w:rsidR="00A54734">
        <w:rPr>
          <w:rFonts w:hint="eastAsia"/>
        </w:rPr>
        <w:t>）</w:t>
      </w:r>
      <w:r w:rsidR="00EE48D6">
        <w:rPr>
          <w:rStyle w:val="afb"/>
        </w:rPr>
        <w:t>[</w:t>
      </w:r>
      <w:r w:rsidR="00EE48D6">
        <w:rPr>
          <w:rStyle w:val="afb"/>
        </w:rPr>
        <w:endnoteReference w:id="11"/>
      </w:r>
      <w:r w:rsidR="00EE48D6">
        <w:rPr>
          <w:rStyle w:val="afb"/>
        </w:rPr>
        <w:t>]</w:t>
      </w:r>
      <w:r w:rsidR="00A54734">
        <w:rPr>
          <w:rFonts w:hint="eastAsia"/>
        </w:rPr>
        <w:t>利用</w:t>
      </w:r>
      <w:r w:rsidR="00083794">
        <w:rPr>
          <w:rFonts w:hint="eastAsia"/>
        </w:rPr>
        <w:t>2006</w:t>
      </w:r>
      <w:r w:rsidR="00083794">
        <w:rPr>
          <w:rFonts w:hint="eastAsia"/>
        </w:rPr>
        <w:t>年深交所发布的“上市公司公平信息披露指引”作为</w:t>
      </w:r>
      <w:r w:rsidR="00A54734">
        <w:rPr>
          <w:rFonts w:hint="eastAsia"/>
        </w:rPr>
        <w:t>自然实验，</w:t>
      </w:r>
      <w:r w:rsidR="00083794">
        <w:rPr>
          <w:rFonts w:hint="eastAsia"/>
        </w:rPr>
        <w:t>结合利益冲突的视角，发现该指引发布后，</w:t>
      </w:r>
      <w:r w:rsidR="00A54734">
        <w:rPr>
          <w:rFonts w:hint="eastAsia"/>
        </w:rPr>
        <w:t>利益冲突不同的群体间预测偏差差异减小，</w:t>
      </w:r>
      <w:r w:rsidR="00083794">
        <w:rPr>
          <w:rFonts w:hint="eastAsia"/>
        </w:rPr>
        <w:t>但由于指引对私人信息供给的限制影响了分析师预测的信息集，导致了</w:t>
      </w:r>
      <w:r w:rsidR="00A54734">
        <w:rPr>
          <w:rFonts w:hint="eastAsia"/>
        </w:rPr>
        <w:t>整体偏差</w:t>
      </w:r>
      <w:r w:rsidR="00083794">
        <w:rPr>
          <w:rFonts w:hint="eastAsia"/>
        </w:rPr>
        <w:t>扩大。</w:t>
      </w:r>
    </w:p>
    <w:p w14:paraId="63F0E2B7" w14:textId="5ECD5978" w:rsidR="00E02956" w:rsidRPr="00E41C7C" w:rsidRDefault="00BA70C7" w:rsidP="00E02956">
      <w:pPr>
        <w:rPr>
          <w:kern w:val="0"/>
        </w:rPr>
      </w:pPr>
      <w:r>
        <w:rPr>
          <w:rFonts w:hint="eastAsia"/>
        </w:rPr>
        <w:t>近年来</w:t>
      </w:r>
      <w:r w:rsidR="00083794">
        <w:rPr>
          <w:rFonts w:hint="eastAsia"/>
        </w:rPr>
        <w:t>的研究基本思路仍然是研究信息环境与准确性之间的关系，但是</w:t>
      </w:r>
      <w:r>
        <w:rPr>
          <w:rFonts w:hint="eastAsia"/>
        </w:rPr>
        <w:t>开始</w:t>
      </w:r>
      <w:r w:rsidR="00083794">
        <w:rPr>
          <w:rFonts w:hint="eastAsia"/>
        </w:rPr>
        <w:t>挖掘一些</w:t>
      </w:r>
      <w:r>
        <w:rPr>
          <w:rFonts w:hint="eastAsia"/>
        </w:rPr>
        <w:t>新</w:t>
      </w:r>
      <w:r w:rsidR="00083794">
        <w:rPr>
          <w:rFonts w:hint="eastAsia"/>
        </w:rPr>
        <w:t>的信息透明度代理变量，例如</w:t>
      </w:r>
      <w:r w:rsidR="00A54734">
        <w:rPr>
          <w:rFonts w:hint="eastAsia"/>
        </w:rPr>
        <w:t>蒋德权，徐巍（</w:t>
      </w:r>
      <w:r w:rsidR="00A54734">
        <w:rPr>
          <w:rFonts w:hint="eastAsia"/>
        </w:rPr>
        <w:t>2016</w:t>
      </w:r>
      <w:r w:rsidR="00A54734">
        <w:rPr>
          <w:rFonts w:hint="eastAsia"/>
        </w:rPr>
        <w:t>）</w:t>
      </w:r>
      <w:r w:rsidR="00EE48D6">
        <w:rPr>
          <w:rStyle w:val="afb"/>
        </w:rPr>
        <w:t>[</w:t>
      </w:r>
      <w:r w:rsidR="00EE48D6">
        <w:rPr>
          <w:rStyle w:val="afb"/>
        </w:rPr>
        <w:endnoteReference w:id="12"/>
      </w:r>
      <w:r w:rsidR="00EE48D6">
        <w:rPr>
          <w:rStyle w:val="afb"/>
        </w:rPr>
        <w:t>]</w:t>
      </w:r>
      <w:r w:rsidR="00A54734">
        <w:rPr>
          <w:rFonts w:hint="eastAsia"/>
        </w:rPr>
        <w:t>从企业集团的</w:t>
      </w:r>
      <w:r w:rsidR="00A54734">
        <w:rPr>
          <w:rFonts w:hint="eastAsia"/>
        </w:rPr>
        <w:lastRenderedPageBreak/>
        <w:t>角度，</w:t>
      </w:r>
      <w:r w:rsidR="000B2247">
        <w:rPr>
          <w:rFonts w:hint="eastAsia"/>
        </w:rPr>
        <w:t>发现</w:t>
      </w:r>
      <w:r w:rsidR="0034587D" w:rsidRPr="0034587D">
        <w:rPr>
          <w:rFonts w:hint="eastAsia"/>
        </w:rPr>
        <w:t>企业集团成员公司</w:t>
      </w:r>
      <w:r w:rsidR="000B2247">
        <w:rPr>
          <w:rFonts w:hint="eastAsia"/>
        </w:rPr>
        <w:t>进行内部资本市场关联交易，</w:t>
      </w:r>
      <w:r w:rsidR="0034587D" w:rsidRPr="0034587D">
        <w:rPr>
          <w:rFonts w:hint="eastAsia"/>
        </w:rPr>
        <w:t>提高了分析师对交易行为的解读成本</w:t>
      </w:r>
      <w:r w:rsidR="000B2247">
        <w:rPr>
          <w:rFonts w:hint="eastAsia"/>
        </w:rPr>
        <w:t>；</w:t>
      </w:r>
      <w:r w:rsidR="00A54734">
        <w:rPr>
          <w:rFonts w:hint="eastAsia"/>
        </w:rPr>
        <w:t>高瑜彬等（</w:t>
      </w:r>
      <w:r w:rsidR="00A54734">
        <w:rPr>
          <w:rFonts w:hint="eastAsia"/>
        </w:rPr>
        <w:t>2017</w:t>
      </w:r>
      <w:r w:rsidR="00A54734">
        <w:rPr>
          <w:rFonts w:hint="eastAsia"/>
        </w:rPr>
        <w:t>）</w:t>
      </w:r>
      <w:r w:rsidR="00EE48D6">
        <w:rPr>
          <w:rStyle w:val="afb"/>
        </w:rPr>
        <w:t>[</w:t>
      </w:r>
      <w:r w:rsidR="00EE48D6">
        <w:rPr>
          <w:rStyle w:val="afb"/>
        </w:rPr>
        <w:endnoteReference w:id="13"/>
      </w:r>
      <w:r w:rsidR="00EE48D6">
        <w:rPr>
          <w:rStyle w:val="afb"/>
        </w:rPr>
        <w:t>]</w:t>
      </w:r>
      <w:r w:rsidR="00E02956" w:rsidRPr="00E41C7C">
        <w:rPr>
          <w:kern w:val="0"/>
        </w:rPr>
        <w:t>以异常审计费用测度财务报告信息环境，</w:t>
      </w:r>
      <w:r w:rsidR="000B2247">
        <w:rPr>
          <w:rFonts w:hint="eastAsia"/>
          <w:kern w:val="0"/>
        </w:rPr>
        <w:t>也得到了相同的结论</w:t>
      </w:r>
      <w:r w:rsidR="00E02956" w:rsidRPr="00E41C7C">
        <w:rPr>
          <w:kern w:val="0"/>
        </w:rPr>
        <w:t>。</w:t>
      </w:r>
    </w:p>
    <w:p w14:paraId="1DA94E15" w14:textId="4280F26A" w:rsidR="00A54734" w:rsidRPr="00E02956" w:rsidRDefault="00A54734" w:rsidP="00A54734"/>
    <w:p w14:paraId="77548632" w14:textId="71731A94" w:rsidR="004D075B" w:rsidRDefault="004D075B" w:rsidP="004D075B">
      <w:pPr>
        <w:pStyle w:val="4"/>
      </w:pPr>
      <w:r>
        <w:rPr>
          <w:rFonts w:hint="eastAsia"/>
        </w:rPr>
        <w:t>利益冲突机制</w:t>
      </w:r>
      <w:r w:rsidR="00C20034">
        <w:rPr>
          <w:rFonts w:hint="eastAsia"/>
        </w:rPr>
        <w:t>的影响</w:t>
      </w:r>
    </w:p>
    <w:p w14:paraId="656E8B25" w14:textId="0E60EFB3" w:rsidR="00BA70C7" w:rsidRPr="00BA70C7" w:rsidRDefault="00BA70C7" w:rsidP="003E23E6">
      <w:r>
        <w:rPr>
          <w:rFonts w:hint="eastAsia"/>
        </w:rPr>
        <w:t>梳理已有文献，学界的目光主要集中于</w:t>
      </w:r>
      <w:r w:rsidRPr="00BA70C7">
        <w:rPr>
          <w:rFonts w:hint="eastAsia"/>
        </w:rPr>
        <w:t>来自于上市公司</w:t>
      </w:r>
      <w:r>
        <w:rPr>
          <w:rFonts w:hint="eastAsia"/>
        </w:rPr>
        <w:t>管理层</w:t>
      </w:r>
      <w:r w:rsidRPr="00BA70C7">
        <w:rPr>
          <w:rFonts w:hint="eastAsia"/>
        </w:rPr>
        <w:t>、</w:t>
      </w:r>
      <w:r>
        <w:rPr>
          <w:rFonts w:hint="eastAsia"/>
        </w:rPr>
        <w:t>分析师</w:t>
      </w:r>
      <w:r w:rsidRPr="00BA70C7">
        <w:rPr>
          <w:rFonts w:hint="eastAsia"/>
        </w:rPr>
        <w:t>所任职的证券公司以及其自身的声誉或职业考虑</w:t>
      </w:r>
      <w:r>
        <w:rPr>
          <w:rFonts w:hint="eastAsia"/>
        </w:rPr>
        <w:t>的利益冲突</w:t>
      </w:r>
      <w:r w:rsidR="00907F15">
        <w:rPr>
          <w:rFonts w:hint="eastAsia"/>
        </w:rPr>
        <w:t>，一个比较普遍的发现是，为了维持与各利益相关方的关系，分析师给出的预测和评级往往更加乐观，并对公司的负面消息反应不足</w:t>
      </w:r>
      <w:r w:rsidRPr="00BA70C7">
        <w:rPr>
          <w:rFonts w:hint="eastAsia"/>
        </w:rPr>
        <w:t>。</w:t>
      </w:r>
    </w:p>
    <w:p w14:paraId="28E8107C" w14:textId="5545FD66" w:rsidR="00206AFB" w:rsidRDefault="00BA70C7" w:rsidP="004D075B">
      <w:r w:rsidRPr="003054FD">
        <w:rPr>
          <w:rFonts w:hint="eastAsia"/>
        </w:rPr>
        <w:t>首先，由于分析师</w:t>
      </w:r>
      <w:r w:rsidR="003054FD" w:rsidRPr="003054FD">
        <w:rPr>
          <w:rFonts w:hint="eastAsia"/>
        </w:rPr>
        <w:t>依赖</w:t>
      </w:r>
      <w:r w:rsidRPr="003054FD">
        <w:rPr>
          <w:rFonts w:hint="eastAsia"/>
        </w:rPr>
        <w:t>上市公司</w:t>
      </w:r>
      <w:r w:rsidR="003054FD" w:rsidRPr="003054FD">
        <w:rPr>
          <w:rFonts w:hint="eastAsia"/>
        </w:rPr>
        <w:t>作为其重要的信息来源，</w:t>
      </w:r>
      <w:r w:rsidR="00F62E76">
        <w:rPr>
          <w:rFonts w:hint="eastAsia"/>
        </w:rPr>
        <w:t>导致分析师发布更加乐观的预测来迎合上市公司管理层：为了</w:t>
      </w:r>
      <w:r w:rsidR="003B4392" w:rsidRPr="003054FD">
        <w:rPr>
          <w:rFonts w:hint="eastAsia"/>
        </w:rPr>
        <w:t>维持与上市公司管理层的关系</w:t>
      </w:r>
      <w:r w:rsidR="00F83E7F">
        <w:rPr>
          <w:rFonts w:hint="eastAsia"/>
        </w:rPr>
        <w:t>以</w:t>
      </w:r>
      <w:r w:rsidR="003054FD" w:rsidRPr="003054FD">
        <w:rPr>
          <w:rFonts w:hint="eastAsia"/>
        </w:rPr>
        <w:t>获得更多公司经营信息，分析师往往</w:t>
      </w:r>
      <w:r w:rsidR="00D41182">
        <w:rPr>
          <w:rFonts w:hint="eastAsia"/>
        </w:rPr>
        <w:t>避免发布卖出评级</w:t>
      </w:r>
      <w:r w:rsidR="00C62E6F">
        <w:rPr>
          <w:rFonts w:hint="eastAsia"/>
        </w:rPr>
        <w:t>或</w:t>
      </w:r>
      <w:r w:rsidR="00D41182">
        <w:rPr>
          <w:rFonts w:hint="eastAsia"/>
        </w:rPr>
        <w:t>推迟</w:t>
      </w:r>
      <w:r w:rsidR="00907F15">
        <w:rPr>
          <w:rFonts w:hint="eastAsia"/>
        </w:rPr>
        <w:t>投资</w:t>
      </w:r>
      <w:r w:rsidR="00D41182">
        <w:rPr>
          <w:rFonts w:hint="eastAsia"/>
        </w:rPr>
        <w:t>评级</w:t>
      </w:r>
      <w:r w:rsidR="00907F15">
        <w:rPr>
          <w:rFonts w:hint="eastAsia"/>
        </w:rPr>
        <w:t>的下调</w:t>
      </w:r>
      <w:r w:rsidR="003054FD" w:rsidRPr="003054FD">
        <w:rPr>
          <w:rFonts w:hint="eastAsia"/>
        </w:rPr>
        <w:t>，通过</w:t>
      </w:r>
      <w:r w:rsidR="003B4392" w:rsidRPr="003054FD">
        <w:rPr>
          <w:rFonts w:hint="eastAsia"/>
        </w:rPr>
        <w:t>发布偏乐</w:t>
      </w:r>
      <w:r w:rsidR="003B4392">
        <w:rPr>
          <w:rFonts w:hint="eastAsia"/>
        </w:rPr>
        <w:t>观的盈余预测</w:t>
      </w:r>
      <w:r w:rsidR="00D41182">
        <w:rPr>
          <w:rFonts w:hint="eastAsia"/>
        </w:rPr>
        <w:t>和投资评级</w:t>
      </w:r>
      <w:r w:rsidR="00C2274C">
        <w:rPr>
          <w:rFonts w:hint="eastAsia"/>
        </w:rPr>
        <w:t>，证券</w:t>
      </w:r>
      <w:r w:rsidR="00D41182">
        <w:rPr>
          <w:rFonts w:hint="eastAsia"/>
        </w:rPr>
        <w:t>分析师</w:t>
      </w:r>
      <w:r w:rsidR="00907F15">
        <w:rPr>
          <w:rFonts w:hint="eastAsia"/>
        </w:rPr>
        <w:t>可以</w:t>
      </w:r>
      <w:r w:rsidR="003054FD">
        <w:rPr>
          <w:rFonts w:hint="eastAsia"/>
        </w:rPr>
        <w:t>讨好上市公司（</w:t>
      </w:r>
      <w:r w:rsidR="00A54734">
        <w:rPr>
          <w:rFonts w:hint="eastAsia"/>
        </w:rPr>
        <w:t>Fran</w:t>
      </w:r>
      <w:r w:rsidR="00A54734">
        <w:t>cis</w:t>
      </w:r>
      <w:r w:rsidR="00A54734">
        <w:rPr>
          <w:rFonts w:hint="eastAsia"/>
        </w:rPr>
        <w:t>和</w:t>
      </w:r>
      <w:r w:rsidR="00A54734">
        <w:rPr>
          <w:rFonts w:hint="eastAsia"/>
        </w:rPr>
        <w:t>Phil</w:t>
      </w:r>
      <w:r w:rsidR="00A54734">
        <w:t>brick</w:t>
      </w:r>
      <w:r w:rsidR="003054FD">
        <w:rPr>
          <w:rFonts w:hint="eastAsia"/>
        </w:rPr>
        <w:t>，</w:t>
      </w:r>
      <w:r w:rsidR="00A54734">
        <w:rPr>
          <w:rFonts w:hint="eastAsia"/>
        </w:rPr>
        <w:t>1993</w:t>
      </w:r>
      <w:r w:rsidR="00EE48D6">
        <w:rPr>
          <w:rStyle w:val="afb"/>
        </w:rPr>
        <w:t>[</w:t>
      </w:r>
      <w:r w:rsidR="00EE48D6">
        <w:rPr>
          <w:rStyle w:val="afb"/>
        </w:rPr>
        <w:endnoteReference w:id="14"/>
      </w:r>
      <w:r w:rsidR="00EE48D6">
        <w:rPr>
          <w:rStyle w:val="afb"/>
        </w:rPr>
        <w:t>]</w:t>
      </w:r>
      <w:r w:rsidR="00F83E7F">
        <w:rPr>
          <w:rFonts w:hint="eastAsia"/>
        </w:rPr>
        <w:t>，</w:t>
      </w:r>
      <w:r w:rsidR="00623441">
        <w:rPr>
          <w:rFonts w:hint="eastAsia"/>
        </w:rPr>
        <w:t>Mc</w:t>
      </w:r>
      <w:r w:rsidR="00623441">
        <w:t>Nichols</w:t>
      </w:r>
      <w:r w:rsidR="00623441">
        <w:rPr>
          <w:rFonts w:hint="eastAsia"/>
        </w:rPr>
        <w:t>和</w:t>
      </w:r>
      <w:r w:rsidR="00623441">
        <w:rPr>
          <w:rFonts w:hint="eastAsia"/>
        </w:rPr>
        <w:t>O</w:t>
      </w:r>
      <w:r w:rsidR="00623441">
        <w:t>’B</w:t>
      </w:r>
      <w:r w:rsidR="00623441">
        <w:rPr>
          <w:rFonts w:hint="eastAsia"/>
        </w:rPr>
        <w:t>rien</w:t>
      </w:r>
      <w:r w:rsidR="00C62E6F">
        <w:rPr>
          <w:rFonts w:hint="eastAsia"/>
        </w:rPr>
        <w:t>，</w:t>
      </w:r>
      <w:r w:rsidR="00623441">
        <w:rPr>
          <w:rFonts w:hint="eastAsia"/>
        </w:rPr>
        <w:t>1997</w:t>
      </w:r>
      <w:r w:rsidR="00EE48D6">
        <w:rPr>
          <w:rStyle w:val="afb"/>
        </w:rPr>
        <w:t>[</w:t>
      </w:r>
      <w:r w:rsidR="00EE48D6">
        <w:rPr>
          <w:rStyle w:val="afb"/>
        </w:rPr>
        <w:endnoteReference w:id="15"/>
      </w:r>
      <w:r w:rsidR="00EE48D6">
        <w:rPr>
          <w:rStyle w:val="afb"/>
        </w:rPr>
        <w:t>]</w:t>
      </w:r>
      <w:r w:rsidR="00F62E76">
        <w:rPr>
          <w:rFonts w:hint="eastAsia"/>
        </w:rPr>
        <w:t>）</w:t>
      </w:r>
      <w:r w:rsidR="00206AFB">
        <w:rPr>
          <w:rFonts w:hint="eastAsia"/>
        </w:rPr>
        <w:t>，但来自中国的数据发现证券分析师在发布负面的投资评级时，并没有利用更加乐观的盈余预测来维护与上市公司管理层的关系（吴超鹏等，</w:t>
      </w:r>
      <w:r w:rsidR="00206AFB">
        <w:rPr>
          <w:rFonts w:hint="eastAsia"/>
        </w:rPr>
        <w:t>2013</w:t>
      </w:r>
      <w:r w:rsidR="00206AFB">
        <w:rPr>
          <w:rFonts w:hint="eastAsia"/>
        </w:rPr>
        <w:t>）</w:t>
      </w:r>
      <w:r w:rsidR="00EE48D6">
        <w:rPr>
          <w:rStyle w:val="afb"/>
        </w:rPr>
        <w:t>[</w:t>
      </w:r>
      <w:r w:rsidR="00EE48D6">
        <w:rPr>
          <w:rStyle w:val="afb"/>
        </w:rPr>
        <w:endnoteReference w:id="16"/>
      </w:r>
      <w:r w:rsidR="00EE48D6">
        <w:rPr>
          <w:rStyle w:val="afb"/>
        </w:rPr>
        <w:t>]</w:t>
      </w:r>
      <w:r w:rsidR="00206AFB">
        <w:rPr>
          <w:rFonts w:hint="eastAsia"/>
        </w:rPr>
        <w:t>）。</w:t>
      </w:r>
    </w:p>
    <w:p w14:paraId="0978165A" w14:textId="46DA75AF" w:rsidR="003B4392" w:rsidRPr="00623441" w:rsidRDefault="00C62E6F" w:rsidP="004D075B">
      <w:r>
        <w:rPr>
          <w:rFonts w:hint="eastAsia"/>
        </w:rPr>
        <w:t>其次，如果分析师较难基于公开信息进行盈余预测，则分析师对来自管理层的非公开信息需求提高，发布更加乐观的预测可能有利于分析师获得想要的</w:t>
      </w:r>
      <w:r w:rsidR="00C403F3">
        <w:rPr>
          <w:rFonts w:hint="eastAsia"/>
        </w:rPr>
        <w:t>信息（</w:t>
      </w:r>
      <w:r w:rsidR="00A54734">
        <w:rPr>
          <w:rFonts w:hint="eastAsia"/>
        </w:rPr>
        <w:t>Das</w:t>
      </w:r>
      <w:r w:rsidR="00A54734">
        <w:rPr>
          <w:rFonts w:hint="eastAsia"/>
        </w:rPr>
        <w:t>等</w:t>
      </w:r>
      <w:r w:rsidR="00C403F3">
        <w:rPr>
          <w:rFonts w:hint="eastAsia"/>
        </w:rPr>
        <w:t>，</w:t>
      </w:r>
      <w:r w:rsidR="00A54734">
        <w:rPr>
          <w:rFonts w:hint="eastAsia"/>
        </w:rPr>
        <w:t>1998</w:t>
      </w:r>
      <w:r w:rsidR="00EE48D6">
        <w:rPr>
          <w:rStyle w:val="afb"/>
        </w:rPr>
        <w:t>[</w:t>
      </w:r>
      <w:r w:rsidR="00EE48D6">
        <w:rPr>
          <w:rStyle w:val="afb"/>
        </w:rPr>
        <w:endnoteReference w:id="17"/>
      </w:r>
      <w:r w:rsidR="00EE48D6">
        <w:rPr>
          <w:rStyle w:val="afb"/>
        </w:rPr>
        <w:t>]</w:t>
      </w:r>
      <w:r w:rsidR="00F62E76">
        <w:rPr>
          <w:rFonts w:hint="eastAsia"/>
        </w:rPr>
        <w:t>）</w:t>
      </w:r>
      <w:r w:rsidR="003E23E6">
        <w:rPr>
          <w:rFonts w:hint="eastAsia"/>
        </w:rPr>
        <w:t>。</w:t>
      </w:r>
      <w:r w:rsidR="00F62E76">
        <w:rPr>
          <w:rFonts w:hint="eastAsia"/>
        </w:rPr>
        <w:t>但这样做并非没有好处，</w:t>
      </w:r>
      <w:r w:rsidR="00623441">
        <w:rPr>
          <w:rFonts w:hint="eastAsia"/>
        </w:rPr>
        <w:t>Chen</w:t>
      </w:r>
      <w:r w:rsidR="00623441">
        <w:rPr>
          <w:rFonts w:hint="eastAsia"/>
        </w:rPr>
        <w:t>和</w:t>
      </w:r>
      <w:r w:rsidR="00623441">
        <w:rPr>
          <w:rFonts w:hint="eastAsia"/>
        </w:rPr>
        <w:t>Matsumoto</w:t>
      </w:r>
      <w:r w:rsidR="00623441">
        <w:rPr>
          <w:rFonts w:hint="eastAsia"/>
        </w:rPr>
        <w:t>（</w:t>
      </w:r>
      <w:r w:rsidR="00623441">
        <w:rPr>
          <w:rFonts w:hint="eastAsia"/>
        </w:rPr>
        <w:t>2006</w:t>
      </w:r>
      <w:r w:rsidR="00623441">
        <w:rPr>
          <w:rFonts w:hint="eastAsia"/>
        </w:rPr>
        <w:t>）</w:t>
      </w:r>
      <w:r w:rsidR="00EE48D6">
        <w:rPr>
          <w:rStyle w:val="afb"/>
        </w:rPr>
        <w:t>[</w:t>
      </w:r>
      <w:r w:rsidR="00EE48D6">
        <w:rPr>
          <w:rStyle w:val="afb"/>
        </w:rPr>
        <w:endnoteReference w:id="18"/>
      </w:r>
      <w:r w:rsidR="00EE48D6">
        <w:rPr>
          <w:rStyle w:val="afb"/>
        </w:rPr>
        <w:t>]</w:t>
      </w:r>
      <w:r w:rsidR="00623441">
        <w:rPr>
          <w:rFonts w:hint="eastAsia"/>
        </w:rPr>
        <w:t>的</w:t>
      </w:r>
      <w:r w:rsidR="00F62E76">
        <w:rPr>
          <w:rFonts w:hint="eastAsia"/>
        </w:rPr>
        <w:t>实证</w:t>
      </w:r>
      <w:r w:rsidR="003E23E6">
        <w:rPr>
          <w:rFonts w:hint="eastAsia"/>
        </w:rPr>
        <w:t>研究</w:t>
      </w:r>
      <w:r w:rsidR="00F62E76">
        <w:rPr>
          <w:rFonts w:hint="eastAsia"/>
        </w:rPr>
        <w:t>表明，尽管</w:t>
      </w:r>
      <w:r w:rsidR="00623441">
        <w:rPr>
          <w:rFonts w:hint="eastAsia"/>
        </w:rPr>
        <w:t>分析师</w:t>
      </w:r>
      <w:r w:rsidR="00F62E76">
        <w:rPr>
          <w:rFonts w:hint="eastAsia"/>
        </w:rPr>
        <w:t>存在</w:t>
      </w:r>
      <w:r w:rsidR="00623441">
        <w:rPr>
          <w:rFonts w:hint="eastAsia"/>
        </w:rPr>
        <w:t>迎合</w:t>
      </w:r>
      <w:r w:rsidR="00F62E76">
        <w:rPr>
          <w:rFonts w:hint="eastAsia"/>
        </w:rPr>
        <w:t>上市公司管理</w:t>
      </w:r>
      <w:r w:rsidR="00623441">
        <w:rPr>
          <w:rFonts w:hint="eastAsia"/>
        </w:rPr>
        <w:t>层</w:t>
      </w:r>
      <w:r w:rsidR="00F62E76">
        <w:rPr>
          <w:rFonts w:hint="eastAsia"/>
        </w:rPr>
        <w:t>的行为，但其获得更多的信息后能显著提高后续预测的准确性</w:t>
      </w:r>
      <w:r w:rsidR="00C2274C">
        <w:rPr>
          <w:rFonts w:hint="eastAsia"/>
        </w:rPr>
        <w:t>，并且这一现象在公平披露指引发布后有所减弱，进一步证实了</w:t>
      </w:r>
      <w:r w:rsidR="00907F15">
        <w:rPr>
          <w:rFonts w:hint="eastAsia"/>
        </w:rPr>
        <w:t>来自管理层的</w:t>
      </w:r>
      <w:r w:rsidR="00C2274C">
        <w:rPr>
          <w:rFonts w:hint="eastAsia"/>
        </w:rPr>
        <w:t>私人信息对分析师预测的正面作用</w:t>
      </w:r>
      <w:r w:rsidR="00F62E76">
        <w:rPr>
          <w:rFonts w:hint="eastAsia"/>
        </w:rPr>
        <w:t>。</w:t>
      </w:r>
    </w:p>
    <w:p w14:paraId="0AD043ED" w14:textId="6B2FB911" w:rsidR="00B147CA" w:rsidRDefault="00206AFB" w:rsidP="00B147CA">
      <w:r w:rsidRPr="00206AFB">
        <w:rPr>
          <w:rFonts w:hint="eastAsia"/>
        </w:rPr>
        <w:t>从证券公司的角度来说，</w:t>
      </w:r>
      <w:r w:rsidR="00F62E76" w:rsidRPr="00206AFB">
        <w:rPr>
          <w:rFonts w:hint="eastAsia"/>
        </w:rPr>
        <w:t>分析师所任职的</w:t>
      </w:r>
      <w:r w:rsidRPr="00206AFB">
        <w:rPr>
          <w:rFonts w:hint="eastAsia"/>
        </w:rPr>
        <w:t>机构</w:t>
      </w:r>
      <w:r w:rsidR="00F62E76" w:rsidRPr="00206AFB">
        <w:rPr>
          <w:rFonts w:hint="eastAsia"/>
        </w:rPr>
        <w:t>往往一并开展投行业务和经纪业务，</w:t>
      </w:r>
      <w:r w:rsidR="00805EC7" w:rsidRPr="00206AFB">
        <w:rPr>
          <w:rFonts w:hint="eastAsia"/>
        </w:rPr>
        <w:t>一方面</w:t>
      </w:r>
      <w:r w:rsidR="003B4392">
        <w:rPr>
          <w:rFonts w:hint="eastAsia"/>
        </w:rPr>
        <w:t>分析师</w:t>
      </w:r>
      <w:r w:rsidR="00805EC7">
        <w:rPr>
          <w:rFonts w:hint="eastAsia"/>
        </w:rPr>
        <w:t>会配合</w:t>
      </w:r>
      <w:r w:rsidR="003B4392">
        <w:rPr>
          <w:rFonts w:hint="eastAsia"/>
        </w:rPr>
        <w:t>投资银行部门的需求</w:t>
      </w:r>
      <w:r w:rsidR="00805EC7">
        <w:rPr>
          <w:rFonts w:hint="eastAsia"/>
        </w:rPr>
        <w:t>提高</w:t>
      </w:r>
      <w:r w:rsidR="003B4392">
        <w:rPr>
          <w:rFonts w:hint="eastAsia"/>
        </w:rPr>
        <w:t>股票评级，</w:t>
      </w:r>
      <w:r w:rsidR="00805EC7">
        <w:rPr>
          <w:rFonts w:hint="eastAsia"/>
        </w:rPr>
        <w:t>另一方面</w:t>
      </w:r>
      <w:r w:rsidR="00F62E76">
        <w:rPr>
          <w:rFonts w:hint="eastAsia"/>
        </w:rPr>
        <w:t>更高的股票评级则能帮助证券公司获得更多来自机构投资者的交易佣金</w:t>
      </w:r>
      <w:r w:rsidR="00B147CA">
        <w:rPr>
          <w:rFonts w:hint="eastAsia"/>
        </w:rPr>
        <w:t>，但事实上，投资者对于这种利益冲突导致的乐观偏差有所预期并予以定价，市场对来自承销商分析师的推荐反应更加负面，无论是短期还是长期，非承销商分析师的推荐都能获得更高的收益率。</w:t>
      </w:r>
    </w:p>
    <w:p w14:paraId="14A9B062" w14:textId="15E7F65E" w:rsidR="00B147CA" w:rsidRDefault="00FD6138" w:rsidP="00B147CA">
      <w:r>
        <w:rPr>
          <w:rFonts w:hint="eastAsia"/>
        </w:rPr>
        <w:t>许多研究对比了承销商分析师与非承销商分析师研究结果的差异，</w:t>
      </w:r>
      <w:r w:rsidR="00E02956">
        <w:rPr>
          <w:rFonts w:hint="eastAsia"/>
        </w:rPr>
        <w:t>发现承销</w:t>
      </w:r>
      <w:r w:rsidR="00E02956">
        <w:rPr>
          <w:rFonts w:hint="eastAsia"/>
        </w:rPr>
        <w:lastRenderedPageBreak/>
        <w:t>商分析师</w:t>
      </w:r>
      <w:r w:rsidR="00C75F2F">
        <w:rPr>
          <w:rFonts w:hint="eastAsia"/>
        </w:rPr>
        <w:t>给出的盈余预测</w:t>
      </w:r>
      <w:r>
        <w:rPr>
          <w:rFonts w:hint="eastAsia"/>
        </w:rPr>
        <w:t>与非承销商分析师相比</w:t>
      </w:r>
      <w:r w:rsidR="00C75F2F">
        <w:rPr>
          <w:rFonts w:hint="eastAsia"/>
        </w:rPr>
        <w:t>没有显著差异，</w:t>
      </w:r>
      <w:r w:rsidR="00512F10">
        <w:rPr>
          <w:rFonts w:hint="eastAsia"/>
        </w:rPr>
        <w:t>而</w:t>
      </w:r>
      <w:r w:rsidR="00C75F2F">
        <w:rPr>
          <w:rFonts w:hint="eastAsia"/>
        </w:rPr>
        <w:t>其给出的</w:t>
      </w:r>
      <w:r w:rsidR="00E02956">
        <w:rPr>
          <w:rFonts w:hint="eastAsia"/>
        </w:rPr>
        <w:t>股票评级</w:t>
      </w:r>
      <w:r w:rsidR="00C75F2F">
        <w:rPr>
          <w:rFonts w:hint="eastAsia"/>
        </w:rPr>
        <w:t>却</w:t>
      </w:r>
      <w:r w:rsidR="00E02956">
        <w:rPr>
          <w:rFonts w:hint="eastAsia"/>
        </w:rPr>
        <w:t>显著地更加乐观，</w:t>
      </w:r>
      <w:r>
        <w:rPr>
          <w:rFonts w:hint="eastAsia"/>
        </w:rPr>
        <w:t>如果承销商不再参与</w:t>
      </w:r>
      <w:r w:rsidR="00C75F2F">
        <w:rPr>
          <w:rFonts w:hint="eastAsia"/>
        </w:rPr>
        <w:t>公司后续的资本市场活动，</w:t>
      </w:r>
      <w:r>
        <w:rPr>
          <w:rFonts w:hint="eastAsia"/>
        </w:rPr>
        <w:t>承销商分析师在评级上表现出的乐观偏差也随之逐渐消失</w:t>
      </w:r>
      <w:r w:rsidR="006942CC">
        <w:rPr>
          <w:rFonts w:hint="eastAsia"/>
        </w:rPr>
        <w:t>（</w:t>
      </w:r>
      <w:r w:rsidR="006942CC">
        <w:rPr>
          <w:rFonts w:hint="eastAsia"/>
        </w:rPr>
        <w:t>Lin</w:t>
      </w:r>
      <w:r w:rsidR="006942CC">
        <w:rPr>
          <w:rFonts w:hint="eastAsia"/>
        </w:rPr>
        <w:t>和</w:t>
      </w:r>
      <w:r w:rsidR="006942CC">
        <w:rPr>
          <w:rFonts w:hint="eastAsia"/>
        </w:rPr>
        <w:t>McNichols</w:t>
      </w:r>
      <w:r w:rsidR="006942CC">
        <w:rPr>
          <w:rFonts w:hint="eastAsia"/>
        </w:rPr>
        <w:t>，</w:t>
      </w:r>
      <w:r w:rsidR="006942CC">
        <w:rPr>
          <w:rFonts w:hint="eastAsia"/>
        </w:rPr>
        <w:t>1998</w:t>
      </w:r>
      <w:r w:rsidR="00EE48D6">
        <w:rPr>
          <w:rStyle w:val="afb"/>
        </w:rPr>
        <w:t>[</w:t>
      </w:r>
      <w:r w:rsidR="00EE48D6">
        <w:rPr>
          <w:rStyle w:val="afb"/>
        </w:rPr>
        <w:endnoteReference w:id="19"/>
      </w:r>
      <w:r w:rsidR="00EE48D6">
        <w:rPr>
          <w:rStyle w:val="afb"/>
        </w:rPr>
        <w:t>]</w:t>
      </w:r>
      <w:r w:rsidR="006942CC">
        <w:rPr>
          <w:rFonts w:hint="eastAsia"/>
        </w:rPr>
        <w:t>；</w:t>
      </w:r>
      <w:r w:rsidR="006942CC">
        <w:rPr>
          <w:rFonts w:hint="eastAsia"/>
        </w:rPr>
        <w:t>Michaely</w:t>
      </w:r>
      <w:r w:rsidR="006942CC">
        <w:rPr>
          <w:rFonts w:hint="eastAsia"/>
        </w:rPr>
        <w:t>和</w:t>
      </w:r>
      <w:r w:rsidR="006942CC">
        <w:rPr>
          <w:rFonts w:hint="eastAsia"/>
        </w:rPr>
        <w:t>Womack</w:t>
      </w:r>
      <w:r w:rsidR="006942CC">
        <w:rPr>
          <w:rFonts w:hint="eastAsia"/>
        </w:rPr>
        <w:t>，</w:t>
      </w:r>
      <w:r w:rsidR="006942CC">
        <w:rPr>
          <w:rFonts w:hint="eastAsia"/>
        </w:rPr>
        <w:t>1999</w:t>
      </w:r>
      <w:r w:rsidR="006942CC">
        <w:rPr>
          <w:rFonts w:hint="eastAsia"/>
        </w:rPr>
        <w:t>）</w:t>
      </w:r>
      <w:r w:rsidR="00EE48D6">
        <w:rPr>
          <w:rStyle w:val="afb"/>
        </w:rPr>
        <w:t>[</w:t>
      </w:r>
      <w:r w:rsidR="00EE48D6">
        <w:rPr>
          <w:rStyle w:val="afb"/>
        </w:rPr>
        <w:endnoteReference w:id="20"/>
      </w:r>
      <w:r w:rsidR="00EE48D6">
        <w:rPr>
          <w:rStyle w:val="afb"/>
        </w:rPr>
        <w:t>]</w:t>
      </w:r>
      <w:r w:rsidR="006942CC">
        <w:rPr>
          <w:rFonts w:hint="eastAsia"/>
        </w:rPr>
        <w:t>）</w:t>
      </w:r>
      <w:r w:rsidR="00D304A9">
        <w:rPr>
          <w:rFonts w:hint="eastAsia"/>
        </w:rPr>
        <w:t>。</w:t>
      </w:r>
    </w:p>
    <w:p w14:paraId="0E94B84D" w14:textId="43AFEEC7" w:rsidR="00512F10" w:rsidRDefault="006567F1" w:rsidP="00512F10">
      <w:r>
        <w:rPr>
          <w:rFonts w:hint="eastAsia"/>
        </w:rPr>
        <w:t>但</w:t>
      </w:r>
      <w:r>
        <w:t>C</w:t>
      </w:r>
      <w:r>
        <w:rPr>
          <w:rFonts w:hint="eastAsia"/>
        </w:rPr>
        <w:t>owen</w:t>
      </w:r>
      <w:r>
        <w:rPr>
          <w:rFonts w:hint="eastAsia"/>
        </w:rPr>
        <w:t>等（</w:t>
      </w:r>
      <w:r>
        <w:rPr>
          <w:rFonts w:hint="eastAsia"/>
        </w:rPr>
        <w:t>2006</w:t>
      </w:r>
      <w:r>
        <w:rPr>
          <w:rFonts w:hint="eastAsia"/>
        </w:rPr>
        <w:t>）</w:t>
      </w:r>
      <w:r w:rsidR="00EE48D6">
        <w:rPr>
          <w:rStyle w:val="afb"/>
        </w:rPr>
        <w:t>[</w:t>
      </w:r>
      <w:r w:rsidR="00EE48D6">
        <w:rPr>
          <w:rStyle w:val="afb"/>
        </w:rPr>
        <w:endnoteReference w:id="21"/>
      </w:r>
      <w:r w:rsidR="00EE48D6">
        <w:rPr>
          <w:rStyle w:val="afb"/>
        </w:rPr>
        <w:t>]</w:t>
      </w:r>
      <w:r>
        <w:rPr>
          <w:rFonts w:hint="eastAsia"/>
        </w:rPr>
        <w:t>将分析师所任职的机构分成了投资银行和经纪商两大类，前者在证券研究之外还开展证券承销和自营交易等业务，后者主要收取交易佣金，在规模较大的投资银行中，出于对公司声誉的考虑分析师的乐观程度反而</w:t>
      </w:r>
      <w:r w:rsidR="00512F10">
        <w:rPr>
          <w:rFonts w:hint="eastAsia"/>
        </w:rPr>
        <w:t>得</w:t>
      </w:r>
      <w:r>
        <w:rPr>
          <w:rFonts w:hint="eastAsia"/>
        </w:rPr>
        <w:t>到了控制，经纪商分析师给出的预测往往是最乐观的。</w:t>
      </w:r>
      <w:r w:rsidR="00B147CA">
        <w:rPr>
          <w:rFonts w:hint="eastAsia"/>
        </w:rPr>
        <w:t>对此</w:t>
      </w:r>
      <w:r w:rsidR="00E706F0">
        <w:rPr>
          <w:rFonts w:hint="eastAsia"/>
        </w:rPr>
        <w:t>Firth</w:t>
      </w:r>
      <w:r w:rsidR="00E706F0">
        <w:rPr>
          <w:rFonts w:hint="eastAsia"/>
        </w:rPr>
        <w:t>等（</w:t>
      </w:r>
      <w:r w:rsidR="00E706F0">
        <w:rPr>
          <w:rFonts w:hint="eastAsia"/>
        </w:rPr>
        <w:t>2013</w:t>
      </w:r>
      <w:r w:rsidR="00E706F0">
        <w:rPr>
          <w:rFonts w:hint="eastAsia"/>
        </w:rPr>
        <w:t>）</w:t>
      </w:r>
      <w:r w:rsidR="00EE48D6">
        <w:rPr>
          <w:rStyle w:val="afb"/>
        </w:rPr>
        <w:t>[</w:t>
      </w:r>
      <w:r w:rsidR="00EE48D6">
        <w:rPr>
          <w:rStyle w:val="afb"/>
        </w:rPr>
        <w:endnoteReference w:id="22"/>
      </w:r>
      <w:r w:rsidR="00EE48D6">
        <w:rPr>
          <w:rStyle w:val="afb"/>
        </w:rPr>
        <w:t>]</w:t>
      </w:r>
      <w:r w:rsidR="00B147CA">
        <w:rPr>
          <w:rFonts w:hint="eastAsia"/>
        </w:rPr>
        <w:t>以及</w:t>
      </w:r>
      <w:r w:rsidR="00E706F0">
        <w:rPr>
          <w:rFonts w:hint="eastAsia"/>
        </w:rPr>
        <w:t>Gu</w:t>
      </w:r>
      <w:r w:rsidR="00E706F0">
        <w:rPr>
          <w:rFonts w:hint="eastAsia"/>
        </w:rPr>
        <w:t>等（</w:t>
      </w:r>
      <w:r w:rsidR="00E706F0">
        <w:rPr>
          <w:rFonts w:hint="eastAsia"/>
        </w:rPr>
        <w:t>2013</w:t>
      </w:r>
      <w:r w:rsidR="00E706F0">
        <w:rPr>
          <w:rFonts w:hint="eastAsia"/>
        </w:rPr>
        <w:t>）</w:t>
      </w:r>
      <w:r w:rsidR="00EE48D6">
        <w:rPr>
          <w:rStyle w:val="afb"/>
        </w:rPr>
        <w:t>[</w:t>
      </w:r>
      <w:r w:rsidR="00EE48D6">
        <w:rPr>
          <w:rStyle w:val="afb"/>
        </w:rPr>
        <w:endnoteReference w:id="23"/>
      </w:r>
      <w:r w:rsidR="00EE48D6">
        <w:rPr>
          <w:rStyle w:val="afb"/>
        </w:rPr>
        <w:t>]</w:t>
      </w:r>
      <w:r w:rsidR="00B147CA">
        <w:rPr>
          <w:rFonts w:hint="eastAsia"/>
        </w:rPr>
        <w:t>给出的解释是</w:t>
      </w:r>
      <w:r w:rsidR="00512F10">
        <w:rPr>
          <w:rFonts w:hint="eastAsia"/>
        </w:rPr>
        <w:t>，</w:t>
      </w:r>
      <w:r w:rsidR="00B147CA">
        <w:rPr>
          <w:rFonts w:hint="eastAsia"/>
        </w:rPr>
        <w:t>经纪商的一些机构投资者客户通过佣金分仓向这些分析师施加压力，要求其为投资者所持有的股票发布更加乐观的预测</w:t>
      </w:r>
      <w:r w:rsidR="00907F15">
        <w:rPr>
          <w:rFonts w:hint="eastAsia"/>
        </w:rPr>
        <w:t>，市场对这些分析师给出的买入评级反应也较弱</w:t>
      </w:r>
      <w:r w:rsidR="00B147CA">
        <w:rPr>
          <w:rFonts w:hint="eastAsia"/>
        </w:rPr>
        <w:t>。</w:t>
      </w:r>
    </w:p>
    <w:p w14:paraId="28B7BECB" w14:textId="78EFD87E" w:rsidR="00DC2295" w:rsidRDefault="00512F10" w:rsidP="00DC2295">
      <w:r>
        <w:rPr>
          <w:rFonts w:hint="eastAsia"/>
        </w:rPr>
        <w:t>此外，孔东民，王琪瑶（</w:t>
      </w:r>
      <w:r>
        <w:rPr>
          <w:rFonts w:hint="eastAsia"/>
        </w:rPr>
        <w:t>2017</w:t>
      </w:r>
      <w:r>
        <w:rPr>
          <w:rFonts w:hint="eastAsia"/>
        </w:rPr>
        <w:t>）</w:t>
      </w:r>
      <w:r w:rsidR="00EE48D6">
        <w:rPr>
          <w:rStyle w:val="afb"/>
        </w:rPr>
        <w:t>[</w:t>
      </w:r>
      <w:r w:rsidR="00EE48D6">
        <w:rPr>
          <w:rStyle w:val="afb"/>
        </w:rPr>
        <w:endnoteReference w:id="24"/>
      </w:r>
      <w:r w:rsidR="00EE48D6">
        <w:rPr>
          <w:rStyle w:val="afb"/>
        </w:rPr>
        <w:t>]</w:t>
      </w:r>
      <w:r>
        <w:rPr>
          <w:rFonts w:hint="eastAsia"/>
        </w:rPr>
        <w:t>也</w:t>
      </w:r>
      <w:r w:rsidRPr="00E41C7C">
        <w:t>发现机构</w:t>
      </w:r>
      <w:r>
        <w:rPr>
          <w:rFonts w:hint="eastAsia"/>
        </w:rPr>
        <w:t>投资者作为重要公司治理主体之一对分析师的预测行为</w:t>
      </w:r>
      <w:r w:rsidRPr="00E41C7C">
        <w:t>具</w:t>
      </w:r>
      <w:r>
        <w:t>有监督效应，</w:t>
      </w:r>
      <w:r>
        <w:rPr>
          <w:rFonts w:hint="eastAsia"/>
        </w:rPr>
        <w:t>能够</w:t>
      </w:r>
      <w:r w:rsidRPr="00E41C7C">
        <w:t>降低分析师预测乐观偏差</w:t>
      </w:r>
      <w:r w:rsidR="00E51E0C">
        <w:rPr>
          <w:rFonts w:hint="eastAsia"/>
        </w:rPr>
        <w:t>。</w:t>
      </w:r>
      <w:r>
        <w:rPr>
          <w:rFonts w:hint="eastAsia"/>
        </w:rPr>
        <w:t>这一机制主要是通过声誉机制发挥的作用</w:t>
      </w:r>
      <w:r w:rsidR="00E51E0C">
        <w:rPr>
          <w:rFonts w:hint="eastAsia"/>
        </w:rPr>
        <w:t>，</w:t>
      </w:r>
      <w:r w:rsidR="00D93656">
        <w:rPr>
          <w:rFonts w:hint="eastAsia"/>
        </w:rPr>
        <w:t>预测准确的分析师可以获得良好的声誉，</w:t>
      </w:r>
      <w:r w:rsidR="00E51E0C">
        <w:rPr>
          <w:rFonts w:hint="eastAsia"/>
        </w:rPr>
        <w:t>进而有利于分析师的职业发展</w:t>
      </w:r>
      <w:r w:rsidR="00DC2295">
        <w:rPr>
          <w:rFonts w:hint="eastAsia"/>
        </w:rPr>
        <w:t>，但对分析师的推荐行为依然存在扭曲效应</w:t>
      </w:r>
      <w:r w:rsidR="00E51E0C">
        <w:rPr>
          <w:rFonts w:hint="eastAsia"/>
        </w:rPr>
        <w:t>。</w:t>
      </w:r>
    </w:p>
    <w:p w14:paraId="2019451F" w14:textId="1D21CFA6" w:rsidR="00A54734" w:rsidRDefault="00DC2295" w:rsidP="00DC2295">
      <w:r>
        <w:rPr>
          <w:rFonts w:hint="eastAsia"/>
        </w:rPr>
        <w:t>这里的预测是否</w:t>
      </w:r>
      <w:r w:rsidR="00D97B4E">
        <w:rPr>
          <w:rFonts w:hint="eastAsia"/>
        </w:rPr>
        <w:t>准确</w:t>
      </w:r>
      <w:r w:rsidR="000D30FC">
        <w:rPr>
          <w:rFonts w:hint="eastAsia"/>
        </w:rPr>
        <w:t>主要</w:t>
      </w:r>
      <w:r w:rsidR="00D97B4E">
        <w:rPr>
          <w:rFonts w:hint="eastAsia"/>
        </w:rPr>
        <w:t>是与同行的表现相比，预测质量低于同行的分析师更容易被辞退或被迫辞职（</w:t>
      </w:r>
      <w:r w:rsidR="00623441">
        <w:rPr>
          <w:rFonts w:hint="eastAsia"/>
        </w:rPr>
        <w:t>Mikhail</w:t>
      </w:r>
      <w:r w:rsidR="00623441">
        <w:rPr>
          <w:rFonts w:hint="eastAsia"/>
        </w:rPr>
        <w:t>等</w:t>
      </w:r>
      <w:r w:rsidR="00D97B4E">
        <w:rPr>
          <w:rFonts w:hint="eastAsia"/>
        </w:rPr>
        <w:t>，</w:t>
      </w:r>
      <w:r w:rsidR="00623441">
        <w:rPr>
          <w:rFonts w:hint="eastAsia"/>
        </w:rPr>
        <w:t>1999</w:t>
      </w:r>
      <w:r w:rsidR="00EE48D6">
        <w:rPr>
          <w:rStyle w:val="afb"/>
        </w:rPr>
        <w:t>[</w:t>
      </w:r>
      <w:r w:rsidR="00EE48D6">
        <w:rPr>
          <w:rStyle w:val="afb"/>
        </w:rPr>
        <w:endnoteReference w:id="25"/>
      </w:r>
      <w:r w:rsidR="00EE48D6">
        <w:rPr>
          <w:rStyle w:val="afb"/>
        </w:rPr>
        <w:t>]</w:t>
      </w:r>
      <w:r w:rsidR="00D97B4E">
        <w:rPr>
          <w:rFonts w:hint="eastAsia"/>
        </w:rPr>
        <w:t>），而那些表现比同行更好的分析师则更可能跳槽到更好的公司，</w:t>
      </w:r>
      <w:r w:rsidR="000D30FC">
        <w:rPr>
          <w:rFonts w:hint="eastAsia"/>
        </w:rPr>
        <w:t>同时经纪商也偏好</w:t>
      </w:r>
      <w:r w:rsidR="001060C1">
        <w:rPr>
          <w:rFonts w:hint="eastAsia"/>
        </w:rPr>
        <w:t>并且提拔</w:t>
      </w:r>
      <w:r w:rsidR="000D30FC">
        <w:rPr>
          <w:rFonts w:hint="eastAsia"/>
        </w:rPr>
        <w:t>那些观点比较乐观的分析师</w:t>
      </w:r>
      <w:r w:rsidR="00D97B4E">
        <w:rPr>
          <w:rFonts w:hint="eastAsia"/>
        </w:rPr>
        <w:t>（</w:t>
      </w:r>
      <w:r w:rsidR="00623441">
        <w:rPr>
          <w:rFonts w:hint="eastAsia"/>
        </w:rPr>
        <w:t>Hong</w:t>
      </w:r>
      <w:r w:rsidR="00623441">
        <w:rPr>
          <w:rFonts w:hint="eastAsia"/>
        </w:rPr>
        <w:t>和</w:t>
      </w:r>
      <w:r w:rsidR="00623441">
        <w:rPr>
          <w:rFonts w:hint="eastAsia"/>
        </w:rPr>
        <w:t>Kubik</w:t>
      </w:r>
      <w:r w:rsidR="00D97B4E">
        <w:rPr>
          <w:rFonts w:hint="eastAsia"/>
        </w:rPr>
        <w:t>，</w:t>
      </w:r>
      <w:r w:rsidR="00623441">
        <w:rPr>
          <w:rFonts w:hint="eastAsia"/>
        </w:rPr>
        <w:t>2003</w:t>
      </w:r>
      <w:r w:rsidR="00EE48D6">
        <w:rPr>
          <w:rStyle w:val="afb"/>
        </w:rPr>
        <w:t>[</w:t>
      </w:r>
      <w:r w:rsidR="00EE48D6">
        <w:rPr>
          <w:rStyle w:val="afb"/>
        </w:rPr>
        <w:endnoteReference w:id="26"/>
      </w:r>
      <w:r w:rsidR="00EE48D6">
        <w:rPr>
          <w:rStyle w:val="afb"/>
        </w:rPr>
        <w:t>]</w:t>
      </w:r>
      <w:r w:rsidR="00D97B4E">
        <w:rPr>
          <w:rFonts w:hint="eastAsia"/>
        </w:rPr>
        <w:t>）</w:t>
      </w:r>
      <w:r w:rsidR="000D30FC">
        <w:rPr>
          <w:rFonts w:hint="eastAsia"/>
        </w:rPr>
        <w:t>。</w:t>
      </w:r>
      <w:r w:rsidR="00206AFB">
        <w:rPr>
          <w:rFonts w:hint="eastAsia"/>
        </w:rPr>
        <w:t>尽管分析师出于声誉的考虑避免做出过于乐观的盈余预测，却会</w:t>
      </w:r>
      <w:r>
        <w:rPr>
          <w:rFonts w:hint="eastAsia"/>
        </w:rPr>
        <w:t>为了维持与机构投资者的关系而给出更加正面的股票评级（</w:t>
      </w:r>
      <w:r w:rsidR="00206AFB">
        <w:rPr>
          <w:rFonts w:hint="eastAsia"/>
        </w:rPr>
        <w:t>吴超鹏等</w:t>
      </w:r>
      <w:r>
        <w:rPr>
          <w:rFonts w:hint="eastAsia"/>
        </w:rPr>
        <w:t>，</w:t>
      </w:r>
      <w:r w:rsidR="00206AFB">
        <w:rPr>
          <w:rFonts w:hint="eastAsia"/>
        </w:rPr>
        <w:t>2013</w:t>
      </w:r>
      <w:r>
        <w:rPr>
          <w:rFonts w:hint="eastAsia"/>
          <w:vertAlign w:val="superscript"/>
        </w:rPr>
        <w:t>15</w:t>
      </w:r>
      <w:r w:rsidR="00206AFB">
        <w:rPr>
          <w:rFonts w:hint="eastAsia"/>
        </w:rPr>
        <w:t>）</w:t>
      </w:r>
      <w:r>
        <w:rPr>
          <w:rFonts w:hint="eastAsia"/>
        </w:rPr>
        <w:t>。</w:t>
      </w:r>
    </w:p>
    <w:p w14:paraId="2E364983" w14:textId="77777777" w:rsidR="00A54734" w:rsidRPr="00A54734" w:rsidRDefault="00A54734" w:rsidP="00A54734"/>
    <w:p w14:paraId="7788D88D" w14:textId="06036FDE" w:rsidR="004D075B" w:rsidRDefault="004D075B" w:rsidP="004D075B">
      <w:pPr>
        <w:pStyle w:val="4"/>
      </w:pPr>
      <w:r>
        <w:rPr>
          <w:rFonts w:hint="eastAsia"/>
        </w:rPr>
        <w:t>分析师特征</w:t>
      </w:r>
      <w:r w:rsidR="00C20034">
        <w:rPr>
          <w:rFonts w:hint="eastAsia"/>
        </w:rPr>
        <w:t>的影响</w:t>
      </w:r>
    </w:p>
    <w:p w14:paraId="68DA0BB9" w14:textId="3AB4A9E3" w:rsidR="002F12A1" w:rsidRDefault="00D93656" w:rsidP="00DB3523">
      <w:r>
        <w:rPr>
          <w:rFonts w:hint="eastAsia"/>
        </w:rPr>
        <w:t>就分析师特征而言，目前</w:t>
      </w:r>
      <w:r w:rsidR="002F12A1">
        <w:rPr>
          <w:rFonts w:hint="eastAsia"/>
        </w:rPr>
        <w:t>主要</w:t>
      </w:r>
      <w:r>
        <w:rPr>
          <w:rFonts w:hint="eastAsia"/>
        </w:rPr>
        <w:t>的相关研究</w:t>
      </w:r>
      <w:r w:rsidR="00C31353">
        <w:rPr>
          <w:rFonts w:hint="eastAsia"/>
        </w:rPr>
        <w:t>包括</w:t>
      </w:r>
      <w:r>
        <w:rPr>
          <w:rFonts w:hint="eastAsia"/>
        </w:rPr>
        <w:t>分析师</w:t>
      </w:r>
      <w:r w:rsidR="002F12A1">
        <w:rPr>
          <w:rFonts w:hint="eastAsia"/>
        </w:rPr>
        <w:t>行业经验</w:t>
      </w:r>
      <w:r w:rsidR="00C31353">
        <w:rPr>
          <w:rFonts w:hint="eastAsia"/>
        </w:rPr>
        <w:t>和分析师天赋对准确性的影响</w:t>
      </w:r>
      <w:r>
        <w:rPr>
          <w:rFonts w:hint="eastAsia"/>
        </w:rPr>
        <w:t>，</w:t>
      </w:r>
      <w:r w:rsidR="00C31353">
        <w:rPr>
          <w:rFonts w:hint="eastAsia"/>
        </w:rPr>
        <w:t>但结果说法不一</w:t>
      </w:r>
      <w:r w:rsidR="00B82AE2">
        <w:rPr>
          <w:rFonts w:hint="eastAsia"/>
        </w:rPr>
        <w:t>，</w:t>
      </w:r>
      <w:r w:rsidR="00C31353">
        <w:rPr>
          <w:rFonts w:hint="eastAsia"/>
        </w:rPr>
        <w:t>一些研究认为</w:t>
      </w:r>
      <w:r w:rsidR="00B82AE2">
        <w:rPr>
          <w:rFonts w:hint="eastAsia"/>
        </w:rPr>
        <w:t>分析师的经验对预测质量有着显著的正面作用</w:t>
      </w:r>
      <w:r w:rsidR="00127E62">
        <w:rPr>
          <w:rFonts w:hint="eastAsia"/>
        </w:rPr>
        <w:t>，且投资者能够识别分析师经验创造的价值</w:t>
      </w:r>
      <w:r w:rsidR="00C31353">
        <w:rPr>
          <w:rFonts w:hint="eastAsia"/>
        </w:rPr>
        <w:t>，另一些研究则认为分析师天赋对准确性的作用更大</w:t>
      </w:r>
      <w:r w:rsidR="00DC2295">
        <w:rPr>
          <w:rFonts w:hint="eastAsia"/>
        </w:rPr>
        <w:t>。</w:t>
      </w:r>
    </w:p>
    <w:p w14:paraId="190EEA58" w14:textId="672E0417" w:rsidR="003368BC" w:rsidRDefault="00C31353" w:rsidP="003368BC">
      <w:r>
        <w:rPr>
          <w:rFonts w:hint="eastAsia"/>
        </w:rPr>
        <w:t>前者的相关文献，例如</w:t>
      </w:r>
      <w:r w:rsidRPr="00E41C7C">
        <w:t>Mikhail</w:t>
      </w:r>
      <w:r>
        <w:rPr>
          <w:rFonts w:hint="eastAsia"/>
        </w:rPr>
        <w:t>等（</w:t>
      </w:r>
      <w:r w:rsidRPr="00E41C7C">
        <w:t>1997</w:t>
      </w:r>
      <w:r>
        <w:rPr>
          <w:rFonts w:hint="eastAsia"/>
        </w:rPr>
        <w:t>）</w:t>
      </w:r>
      <w:r w:rsidR="00EE48D6">
        <w:rPr>
          <w:rStyle w:val="afb"/>
        </w:rPr>
        <w:t>[</w:t>
      </w:r>
      <w:r w:rsidR="00EE48D6">
        <w:rPr>
          <w:rStyle w:val="afb"/>
        </w:rPr>
        <w:endnoteReference w:id="27"/>
      </w:r>
      <w:r w:rsidR="00EE48D6">
        <w:rPr>
          <w:rStyle w:val="afb"/>
        </w:rPr>
        <w:t>]</w:t>
      </w:r>
      <w:r w:rsidR="00B01023">
        <w:rPr>
          <w:rFonts w:hint="eastAsia"/>
        </w:rPr>
        <w:t>首次</w:t>
      </w:r>
      <w:r>
        <w:rPr>
          <w:rFonts w:hint="eastAsia"/>
        </w:rPr>
        <w:t>发现</w:t>
      </w:r>
      <w:r w:rsidR="00127E62">
        <w:rPr>
          <w:rFonts w:hint="eastAsia"/>
        </w:rPr>
        <w:t>随着分析师跟随某一上市公司的时间</w:t>
      </w:r>
      <w:r w:rsidR="0015641E">
        <w:rPr>
          <w:rFonts w:hint="eastAsia"/>
        </w:rPr>
        <w:t>增加</w:t>
      </w:r>
      <w:r w:rsidR="00127E62">
        <w:rPr>
          <w:rFonts w:hint="eastAsia"/>
        </w:rPr>
        <w:t>，其季度盈余预测的绝对误差逐渐降低，并且在市场期望盈</w:t>
      </w:r>
      <w:r w:rsidR="00127E62">
        <w:rPr>
          <w:rFonts w:hint="eastAsia"/>
        </w:rPr>
        <w:lastRenderedPageBreak/>
        <w:t>余水平中获得了更好的权重，也即意味着市场更加相信拥有丰富经验的分析师做出的盈余预测。</w:t>
      </w:r>
      <w:r w:rsidR="000D30FC">
        <w:rPr>
          <w:rFonts w:hint="eastAsia"/>
        </w:rPr>
        <w:t>事实上，分析师的择券能力</w:t>
      </w:r>
      <w:r w:rsidR="00D722BB">
        <w:rPr>
          <w:rFonts w:hint="eastAsia"/>
        </w:rPr>
        <w:t>具有</w:t>
      </w:r>
      <w:r w:rsidR="000D30FC">
        <w:rPr>
          <w:rFonts w:hint="eastAsia"/>
        </w:rPr>
        <w:t>一定的持续性，历史评级获得高收益的分析师在未来依然能获得优于同行的</w:t>
      </w:r>
      <w:r w:rsidR="00A87DFD">
        <w:rPr>
          <w:rFonts w:hint="eastAsia"/>
        </w:rPr>
        <w:t>收益，并获得市场的认可（</w:t>
      </w:r>
      <w:r w:rsidR="00A87DFD">
        <w:rPr>
          <w:rFonts w:hint="eastAsia"/>
        </w:rPr>
        <w:t>Mikhail</w:t>
      </w:r>
      <w:r w:rsidR="00A87DFD">
        <w:rPr>
          <w:rFonts w:hint="eastAsia"/>
        </w:rPr>
        <w:t>等，</w:t>
      </w:r>
      <w:r w:rsidR="00A87DFD">
        <w:rPr>
          <w:rFonts w:hint="eastAsia"/>
        </w:rPr>
        <w:t>2004</w:t>
      </w:r>
      <w:r w:rsidR="00EE48D6">
        <w:rPr>
          <w:rStyle w:val="afb"/>
        </w:rPr>
        <w:t>[</w:t>
      </w:r>
      <w:r w:rsidR="00EE48D6">
        <w:rPr>
          <w:rStyle w:val="afb"/>
        </w:rPr>
        <w:endnoteReference w:id="28"/>
      </w:r>
      <w:r w:rsidR="00EE48D6">
        <w:rPr>
          <w:rStyle w:val="afb"/>
        </w:rPr>
        <w:t>]</w:t>
      </w:r>
      <w:r w:rsidR="00A87DFD">
        <w:rPr>
          <w:rFonts w:hint="eastAsia"/>
        </w:rPr>
        <w:t>）</w:t>
      </w:r>
      <w:r w:rsidR="000D30FC">
        <w:rPr>
          <w:rFonts w:hint="eastAsia"/>
        </w:rPr>
        <w:t>。</w:t>
      </w:r>
      <w:r w:rsidR="00B3298E">
        <w:rPr>
          <w:rFonts w:hint="eastAsia"/>
        </w:rPr>
        <w:t>Ka</w:t>
      </w:r>
      <w:r w:rsidR="00B3298E">
        <w:t>dan</w:t>
      </w:r>
      <w:r w:rsidR="00B3298E">
        <w:rPr>
          <w:rFonts w:hint="eastAsia"/>
        </w:rPr>
        <w:t>等（</w:t>
      </w:r>
      <w:r w:rsidR="00B3298E">
        <w:rPr>
          <w:rFonts w:hint="eastAsia"/>
        </w:rPr>
        <w:t>2012</w:t>
      </w:r>
      <w:r w:rsidR="00B3298E">
        <w:rPr>
          <w:rFonts w:hint="eastAsia"/>
        </w:rPr>
        <w:t>）</w:t>
      </w:r>
      <w:r w:rsidR="00EE48D6">
        <w:rPr>
          <w:rStyle w:val="afb"/>
        </w:rPr>
        <w:t>[</w:t>
      </w:r>
      <w:r w:rsidR="00EE48D6">
        <w:rPr>
          <w:rStyle w:val="afb"/>
        </w:rPr>
        <w:endnoteReference w:id="29"/>
      </w:r>
      <w:r w:rsidR="00EE48D6">
        <w:rPr>
          <w:rStyle w:val="afb"/>
        </w:rPr>
        <w:t>]</w:t>
      </w:r>
      <w:r w:rsidR="00B3298E">
        <w:rPr>
          <w:rFonts w:hint="eastAsia"/>
        </w:rPr>
        <w:t>利用</w:t>
      </w:r>
      <w:r w:rsidR="00652DEB">
        <w:rPr>
          <w:rFonts w:hint="eastAsia"/>
        </w:rPr>
        <w:t>分析师</w:t>
      </w:r>
      <w:r w:rsidR="00B3298E">
        <w:rPr>
          <w:rFonts w:hint="eastAsia"/>
        </w:rPr>
        <w:t>的</w:t>
      </w:r>
      <w:r w:rsidR="00652DEB">
        <w:rPr>
          <w:rFonts w:hint="eastAsia"/>
        </w:rPr>
        <w:t>行业</w:t>
      </w:r>
      <w:r w:rsidR="00B3298E">
        <w:rPr>
          <w:rFonts w:hint="eastAsia"/>
        </w:rPr>
        <w:t>数据</w:t>
      </w:r>
      <w:r w:rsidR="00652DEB">
        <w:rPr>
          <w:rFonts w:hint="eastAsia"/>
        </w:rPr>
        <w:t>，同样发现随着分析师关于行业的经验积累，控制了动量效应后他们的推荐评级在短期和长期仍然能获得更高的超额收益。</w:t>
      </w:r>
      <w:r w:rsidR="003368BC" w:rsidRPr="00E41C7C">
        <w:t>刘永泽，高嵩（</w:t>
      </w:r>
      <w:r w:rsidR="003368BC" w:rsidRPr="00E41C7C">
        <w:t>2015</w:t>
      </w:r>
      <w:r w:rsidR="003368BC" w:rsidRPr="00E41C7C">
        <w:t>）</w:t>
      </w:r>
      <w:r w:rsidR="00EE48D6">
        <w:rPr>
          <w:rStyle w:val="afb"/>
        </w:rPr>
        <w:t>[</w:t>
      </w:r>
      <w:r w:rsidR="00EE48D6">
        <w:rPr>
          <w:rStyle w:val="afb"/>
        </w:rPr>
        <w:endnoteReference w:id="30"/>
      </w:r>
      <w:r w:rsidR="00EE48D6">
        <w:rPr>
          <w:rStyle w:val="afb"/>
        </w:rPr>
        <w:t>]</w:t>
      </w:r>
      <w:r w:rsidR="003368BC" w:rsidRPr="00E41C7C">
        <w:t>利用我国</w:t>
      </w:r>
      <w:r w:rsidR="003368BC" w:rsidRPr="00E41C7C">
        <w:t>A</w:t>
      </w:r>
      <w:r w:rsidR="003368BC" w:rsidRPr="00E41C7C">
        <w:t>股</w:t>
      </w:r>
      <w:r w:rsidR="003368BC" w:rsidRPr="00E41C7C">
        <w:t>2007</w:t>
      </w:r>
      <w:r w:rsidR="003368BC">
        <w:rPr>
          <w:rFonts w:hint="eastAsia"/>
        </w:rPr>
        <w:t>年至</w:t>
      </w:r>
      <w:r w:rsidR="003368BC" w:rsidRPr="00E41C7C">
        <w:t>2012</w:t>
      </w:r>
      <w:r w:rsidR="003368BC" w:rsidRPr="00E41C7C">
        <w:t>年的分析师预测数据</w:t>
      </w:r>
      <w:r w:rsidR="003368BC">
        <w:rPr>
          <w:rFonts w:hint="eastAsia"/>
        </w:rPr>
        <w:t>也得到了相同的</w:t>
      </w:r>
      <w:r w:rsidR="00303356">
        <w:rPr>
          <w:rFonts w:hint="eastAsia"/>
        </w:rPr>
        <w:t>结论。</w:t>
      </w:r>
    </w:p>
    <w:p w14:paraId="32619F79" w14:textId="423CAC89" w:rsidR="00DB3523" w:rsidRDefault="00652DEB" w:rsidP="00DB3523">
      <w:r>
        <w:rPr>
          <w:rFonts w:hint="eastAsia"/>
        </w:rPr>
        <w:t>但是</w:t>
      </w:r>
      <w:r w:rsidR="002F12A1">
        <w:rPr>
          <w:rFonts w:hint="eastAsia"/>
        </w:rPr>
        <w:t>Jacob</w:t>
      </w:r>
      <w:r w:rsidR="002F12A1">
        <w:rPr>
          <w:rFonts w:hint="eastAsia"/>
        </w:rPr>
        <w:t>等（</w:t>
      </w:r>
      <w:r w:rsidR="002F12A1">
        <w:rPr>
          <w:rFonts w:hint="eastAsia"/>
        </w:rPr>
        <w:t>1999</w:t>
      </w:r>
      <w:r w:rsidR="002F12A1">
        <w:rPr>
          <w:rFonts w:hint="eastAsia"/>
        </w:rPr>
        <w:t>）</w:t>
      </w:r>
      <w:r w:rsidR="00EE48D6">
        <w:rPr>
          <w:rStyle w:val="afb"/>
        </w:rPr>
        <w:t>[</w:t>
      </w:r>
      <w:r w:rsidR="00EE48D6">
        <w:rPr>
          <w:rStyle w:val="afb"/>
        </w:rPr>
        <w:endnoteReference w:id="31"/>
      </w:r>
      <w:r w:rsidR="00EE48D6">
        <w:rPr>
          <w:rStyle w:val="afb"/>
        </w:rPr>
        <w:t>]</w:t>
      </w:r>
      <w:r w:rsidR="006E2AC8">
        <w:rPr>
          <w:rFonts w:hint="eastAsia"/>
        </w:rPr>
        <w:t>把分析师的经验进一步细分为盈余预测经验、</w:t>
      </w:r>
      <w:r w:rsidR="00357DD7">
        <w:rPr>
          <w:rFonts w:hint="eastAsia"/>
        </w:rPr>
        <w:t>关于公司的特定经验以及</w:t>
      </w:r>
      <w:r w:rsidR="00303356">
        <w:rPr>
          <w:rFonts w:hint="eastAsia"/>
        </w:rPr>
        <w:t>依托于所任职机构的平台经验，但是并没有观测到经验对预测准确性的影响，分析师的其他特征例如天赋以及经纪商规模等环境因素对于准确性有更显著的作用。与其类似地，</w:t>
      </w:r>
      <w:r w:rsidR="00303356" w:rsidRPr="00E41C7C">
        <w:t>张宗新，姚佩怡（</w:t>
      </w:r>
      <w:r w:rsidR="00303356" w:rsidRPr="00E41C7C">
        <w:t>2017</w:t>
      </w:r>
      <w:r w:rsidR="00303356" w:rsidRPr="00E41C7C">
        <w:t>）</w:t>
      </w:r>
      <w:r w:rsidR="00EE48D6">
        <w:rPr>
          <w:rStyle w:val="afb"/>
        </w:rPr>
        <w:t>[</w:t>
      </w:r>
      <w:r w:rsidR="00EE48D6">
        <w:rPr>
          <w:rStyle w:val="afb"/>
        </w:rPr>
        <w:endnoteReference w:id="32"/>
      </w:r>
      <w:r w:rsidR="00EE48D6">
        <w:rPr>
          <w:rStyle w:val="afb"/>
        </w:rPr>
        <w:t>]</w:t>
      </w:r>
      <w:r w:rsidR="00303356">
        <w:rPr>
          <w:rFonts w:hint="eastAsia"/>
        </w:rPr>
        <w:t>对分析师经验作用于预测准确性地机理进行了挖掘，他们发现过去观测到的分析师经验能够提高预测的准确度并非是由于分析师研究能力的提高，而是因为</w:t>
      </w:r>
      <w:r w:rsidR="00303356" w:rsidRPr="00E41C7C">
        <w:t>分析师</w:t>
      </w:r>
      <w:r w:rsidR="00303356">
        <w:rPr>
          <w:rFonts w:hint="eastAsia"/>
        </w:rPr>
        <w:t>在长期的跟踪过程中</w:t>
      </w:r>
      <w:r w:rsidR="00303356" w:rsidRPr="00E41C7C">
        <w:t>与覆盖公司建立了良好的关系，能更有效的处理私有信息。</w:t>
      </w:r>
    </w:p>
    <w:p w14:paraId="3C364062" w14:textId="77777777" w:rsidR="00CD1959" w:rsidRPr="00E41C7C" w:rsidRDefault="00CD1959" w:rsidP="002F12A1"/>
    <w:p w14:paraId="59A3AFAA" w14:textId="3901F8E3" w:rsidR="004D075B" w:rsidRPr="004D075B" w:rsidRDefault="004D075B" w:rsidP="0034587D">
      <w:pPr>
        <w:pStyle w:val="4"/>
      </w:pPr>
      <w:r>
        <w:rPr>
          <w:rFonts w:hint="eastAsia"/>
        </w:rPr>
        <w:t>行为金融角度的解释</w:t>
      </w:r>
    </w:p>
    <w:p w14:paraId="3294E368" w14:textId="440289D5" w:rsidR="006F683A" w:rsidRDefault="006F683A" w:rsidP="006F683A">
      <w:r>
        <w:rPr>
          <w:rFonts w:hint="eastAsia"/>
        </w:rPr>
        <w:t>自</w:t>
      </w:r>
      <w:r>
        <w:rPr>
          <w:rFonts w:hint="eastAsia"/>
        </w:rPr>
        <w:t>Scharf</w:t>
      </w:r>
      <w:r>
        <w:t>stein</w:t>
      </w:r>
      <w:r>
        <w:rPr>
          <w:rFonts w:hint="eastAsia"/>
        </w:rPr>
        <w:t>和</w:t>
      </w:r>
      <w:r>
        <w:rPr>
          <w:rFonts w:hint="eastAsia"/>
        </w:rPr>
        <w:t>Stein</w:t>
      </w:r>
      <w:r>
        <w:rPr>
          <w:rFonts w:hint="eastAsia"/>
        </w:rPr>
        <w:t>（</w:t>
      </w:r>
      <w:r>
        <w:rPr>
          <w:rFonts w:hint="eastAsia"/>
        </w:rPr>
        <w:t>1990</w:t>
      </w:r>
      <w:r>
        <w:rPr>
          <w:rFonts w:hint="eastAsia"/>
        </w:rPr>
        <w:t>）将“羊群行为”与职业经理人的职业考虑联系起来，出现了不少以证券分析师羊群行为为主题的文献。</w:t>
      </w:r>
      <w:r>
        <w:rPr>
          <w:rFonts w:hint="eastAsia"/>
        </w:rPr>
        <w:t>True</w:t>
      </w:r>
      <w:r>
        <w:t>man</w:t>
      </w:r>
      <w:r>
        <w:rPr>
          <w:rFonts w:hint="eastAsia"/>
        </w:rPr>
        <w:t>（</w:t>
      </w:r>
      <w:r>
        <w:rPr>
          <w:rFonts w:hint="eastAsia"/>
        </w:rPr>
        <w:t>1994</w:t>
      </w:r>
      <w:r>
        <w:rPr>
          <w:rFonts w:hint="eastAsia"/>
        </w:rPr>
        <w:t>）</w:t>
      </w:r>
      <w:r w:rsidR="00EE48D6">
        <w:rPr>
          <w:rStyle w:val="afb"/>
        </w:rPr>
        <w:t>[</w:t>
      </w:r>
      <w:r w:rsidR="00EE48D6">
        <w:rPr>
          <w:rStyle w:val="afb"/>
        </w:rPr>
        <w:endnoteReference w:id="33"/>
      </w:r>
      <w:r w:rsidR="00EE48D6">
        <w:rPr>
          <w:rStyle w:val="afb"/>
        </w:rPr>
        <w:t>]</w:t>
      </w:r>
      <w:r>
        <w:rPr>
          <w:rFonts w:hint="eastAsia"/>
        </w:rPr>
        <w:t>发现，分析师总是倾向于给出接近于其他分析师先前预测水平的结果而不是提供自己拥有的新信息，即使这些新信息表明其他分析师的预测并不准确。</w:t>
      </w:r>
      <w:r>
        <w:rPr>
          <w:rFonts w:hint="eastAsia"/>
        </w:rPr>
        <w:t>Welch</w:t>
      </w:r>
      <w:r>
        <w:rPr>
          <w:rFonts w:hint="eastAsia"/>
        </w:rPr>
        <w:t>（</w:t>
      </w:r>
      <w:r>
        <w:rPr>
          <w:rFonts w:hint="eastAsia"/>
        </w:rPr>
        <w:t>2000</w:t>
      </w:r>
      <w:r>
        <w:rPr>
          <w:rFonts w:hint="eastAsia"/>
        </w:rPr>
        <w:t>）</w:t>
      </w:r>
      <w:r w:rsidR="00EE48D6">
        <w:rPr>
          <w:rStyle w:val="afb"/>
        </w:rPr>
        <w:t>[</w:t>
      </w:r>
      <w:r w:rsidR="00EE48D6">
        <w:rPr>
          <w:rStyle w:val="afb"/>
        </w:rPr>
        <w:endnoteReference w:id="34"/>
      </w:r>
      <w:r w:rsidR="00EE48D6">
        <w:rPr>
          <w:rStyle w:val="afb"/>
        </w:rPr>
        <w:t>]</w:t>
      </w:r>
      <w:r>
        <w:rPr>
          <w:rFonts w:hint="eastAsia"/>
        </w:rPr>
        <w:t>在分析师的评级调整行为上也发现了类似的倾向，他认为这是分析师基于评级调整包含了短效的新信息的判断做出的策略性选择。</w:t>
      </w:r>
    </w:p>
    <w:p w14:paraId="2B5C3FDA" w14:textId="1AC9BD57" w:rsidR="006F683A" w:rsidRPr="00E41C7C" w:rsidRDefault="006F683A" w:rsidP="006F683A">
      <w:r>
        <w:rPr>
          <w:rFonts w:hint="eastAsia"/>
        </w:rPr>
        <w:t>至于哪些分析师更容易出现羊群行为，</w:t>
      </w:r>
      <w:r>
        <w:rPr>
          <w:rFonts w:hint="eastAsia"/>
        </w:rPr>
        <w:t>Hong</w:t>
      </w:r>
      <w:r>
        <w:rPr>
          <w:rFonts w:hint="eastAsia"/>
        </w:rPr>
        <w:t>等（</w:t>
      </w:r>
      <w:r>
        <w:rPr>
          <w:rFonts w:hint="eastAsia"/>
        </w:rPr>
        <w:t>2000</w:t>
      </w:r>
      <w:r>
        <w:rPr>
          <w:rFonts w:hint="eastAsia"/>
        </w:rPr>
        <w:t>）</w:t>
      </w:r>
      <w:r w:rsidR="00EE48D6">
        <w:rPr>
          <w:rStyle w:val="afb"/>
        </w:rPr>
        <w:t>[</w:t>
      </w:r>
      <w:r w:rsidR="00EE48D6">
        <w:rPr>
          <w:rStyle w:val="afb"/>
        </w:rPr>
        <w:endnoteReference w:id="35"/>
      </w:r>
      <w:r w:rsidR="00EE48D6">
        <w:rPr>
          <w:rStyle w:val="afb"/>
        </w:rPr>
        <w:t>]</w:t>
      </w:r>
      <w:r>
        <w:rPr>
          <w:rFonts w:hint="eastAsia"/>
        </w:rPr>
        <w:t>发现，由于缺乏经验的分析师更易因为盈余预测不准确或大幅偏离一致预测而离职，出于职业生涯的考虑，他们相对一致预测的误差更小，更倾向于推迟发布预测，并且频繁更新他们的预测</w:t>
      </w:r>
      <w:r>
        <w:rPr>
          <w:rFonts w:hint="eastAsia"/>
        </w:rPr>
        <w:t>Clement</w:t>
      </w:r>
      <w:r>
        <w:rPr>
          <w:rFonts w:hint="eastAsia"/>
        </w:rPr>
        <w:t>和</w:t>
      </w:r>
      <w:r>
        <w:rPr>
          <w:rFonts w:hint="eastAsia"/>
        </w:rPr>
        <w:t>Tse</w:t>
      </w:r>
      <w:r>
        <w:rPr>
          <w:rFonts w:hint="eastAsia"/>
        </w:rPr>
        <w:t>（</w:t>
      </w:r>
      <w:r>
        <w:rPr>
          <w:rFonts w:hint="eastAsia"/>
        </w:rPr>
        <w:t>2005</w:t>
      </w:r>
      <w:r>
        <w:rPr>
          <w:rFonts w:hint="eastAsia"/>
        </w:rPr>
        <w:t>）</w:t>
      </w:r>
      <w:r w:rsidR="00EE48D6">
        <w:rPr>
          <w:rStyle w:val="afb"/>
        </w:rPr>
        <w:t>[</w:t>
      </w:r>
      <w:r w:rsidR="00EE48D6">
        <w:rPr>
          <w:rStyle w:val="afb"/>
        </w:rPr>
        <w:endnoteReference w:id="36"/>
      </w:r>
      <w:r w:rsidR="00EE48D6">
        <w:rPr>
          <w:rStyle w:val="afb"/>
        </w:rPr>
        <w:t>]</w:t>
      </w:r>
      <w:r>
        <w:rPr>
          <w:rFonts w:hint="eastAsia"/>
        </w:rPr>
        <w:t>发现如果分析师历史预测准确性较高、任职于规模较大的经纪商并拥有丰富的经验时，其羊群行为的倾向减弱，并且能为市场提供更多的私人信息。但这些研究并没有对分析师使用相同的信息进行预测的情况加以考虑，</w:t>
      </w:r>
      <w:r>
        <w:rPr>
          <w:rFonts w:hint="eastAsia"/>
        </w:rPr>
        <w:t>Jega</w:t>
      </w:r>
      <w:r>
        <w:t>deesh</w:t>
      </w:r>
      <w:r>
        <w:rPr>
          <w:rFonts w:hint="eastAsia"/>
        </w:rPr>
        <w:t>和</w:t>
      </w:r>
      <w:r>
        <w:rPr>
          <w:rFonts w:hint="eastAsia"/>
        </w:rPr>
        <w:t>Kim</w:t>
      </w:r>
      <w:r>
        <w:rPr>
          <w:rFonts w:hint="eastAsia"/>
        </w:rPr>
        <w:t>（</w:t>
      </w:r>
      <w:r>
        <w:rPr>
          <w:rFonts w:hint="eastAsia"/>
        </w:rPr>
        <w:t>2010</w:t>
      </w:r>
      <w:r>
        <w:rPr>
          <w:rFonts w:hint="eastAsia"/>
        </w:rPr>
        <w:t>）</w:t>
      </w:r>
      <w:r w:rsidR="00EE48D6">
        <w:rPr>
          <w:rStyle w:val="afb"/>
        </w:rPr>
        <w:t>[</w:t>
      </w:r>
      <w:r w:rsidR="00EE48D6">
        <w:rPr>
          <w:rStyle w:val="afb"/>
        </w:rPr>
        <w:endnoteReference w:id="37"/>
      </w:r>
      <w:r w:rsidR="00EE48D6">
        <w:rPr>
          <w:rStyle w:val="afb"/>
        </w:rPr>
        <w:t>]</w:t>
      </w:r>
      <w:r>
        <w:rPr>
          <w:rFonts w:hint="eastAsia"/>
        </w:rPr>
        <w:t>在控制信息集后发现了相反的</w:t>
      </w:r>
      <w:r>
        <w:rPr>
          <w:rFonts w:hint="eastAsia"/>
        </w:rPr>
        <w:lastRenderedPageBreak/>
        <w:t>结论，即来自大规模券商、预测修正频率较低的分析师跟随倾向更明显。中国市场的实证证据则表明明星分析师的跟随倾向弱于非明星分析师（张玮倩，方军雄，</w:t>
      </w:r>
      <w:r>
        <w:rPr>
          <w:rFonts w:hint="eastAsia"/>
        </w:rPr>
        <w:t>2017</w:t>
      </w:r>
      <w:r w:rsidR="00EE48D6">
        <w:rPr>
          <w:rStyle w:val="afb"/>
        </w:rPr>
        <w:t>[</w:t>
      </w:r>
      <w:r w:rsidR="00EE48D6">
        <w:rPr>
          <w:rStyle w:val="afb"/>
        </w:rPr>
        <w:endnoteReference w:id="38"/>
      </w:r>
      <w:r w:rsidR="00EE48D6">
        <w:rPr>
          <w:rStyle w:val="afb"/>
        </w:rPr>
        <w:t>]</w:t>
      </w:r>
      <w:r>
        <w:rPr>
          <w:rFonts w:hint="eastAsia"/>
        </w:rPr>
        <w:t>）。</w:t>
      </w:r>
    </w:p>
    <w:p w14:paraId="50798B2F" w14:textId="142537C9" w:rsidR="00652DEB" w:rsidRDefault="001060C1" w:rsidP="001060C1">
      <w:r>
        <w:rPr>
          <w:rFonts w:hint="eastAsia"/>
        </w:rPr>
        <w:t>关于</w:t>
      </w:r>
      <w:r w:rsidR="002F12A1">
        <w:rPr>
          <w:rFonts w:hint="eastAsia"/>
        </w:rPr>
        <w:t>投资者情绪</w:t>
      </w:r>
      <w:r>
        <w:rPr>
          <w:rFonts w:hint="eastAsia"/>
        </w:rPr>
        <w:t>与证券分析师预测的关系，</w:t>
      </w:r>
      <w:r w:rsidR="00D27AAA">
        <w:rPr>
          <w:rFonts w:hint="eastAsia"/>
        </w:rPr>
        <w:t>Bergman</w:t>
      </w:r>
      <w:r w:rsidR="00D27AAA">
        <w:rPr>
          <w:rFonts w:hint="eastAsia"/>
        </w:rPr>
        <w:t>和</w:t>
      </w:r>
      <w:r w:rsidR="00D27AAA">
        <w:rPr>
          <w:rFonts w:hint="eastAsia"/>
        </w:rPr>
        <w:t>Roychowdhury</w:t>
      </w:r>
      <w:r w:rsidR="00652DEB">
        <w:rPr>
          <w:rFonts w:hint="eastAsia"/>
        </w:rPr>
        <w:t>（</w:t>
      </w:r>
      <w:r w:rsidR="00D27AAA">
        <w:rPr>
          <w:rFonts w:hint="eastAsia"/>
        </w:rPr>
        <w:t>2008</w:t>
      </w:r>
      <w:r w:rsidR="00D27AAA">
        <w:rPr>
          <w:rFonts w:hint="eastAsia"/>
        </w:rPr>
        <w:t>）</w:t>
      </w:r>
      <w:r w:rsidR="00EE48D6">
        <w:rPr>
          <w:rStyle w:val="afb"/>
        </w:rPr>
        <w:t>[</w:t>
      </w:r>
      <w:r w:rsidR="00EE48D6">
        <w:rPr>
          <w:rStyle w:val="afb"/>
        </w:rPr>
        <w:endnoteReference w:id="39"/>
      </w:r>
      <w:r w:rsidR="00EE48D6">
        <w:rPr>
          <w:rStyle w:val="afb"/>
        </w:rPr>
        <w:t>]</w:t>
      </w:r>
      <w:r w:rsidR="00303356">
        <w:rPr>
          <w:rFonts w:hint="eastAsia"/>
        </w:rPr>
        <w:t>的研究</w:t>
      </w:r>
      <w:r w:rsidR="007B5B67">
        <w:rPr>
          <w:rFonts w:hint="eastAsia"/>
        </w:rPr>
        <w:t>首次</w:t>
      </w:r>
      <w:r w:rsidR="00303356">
        <w:rPr>
          <w:rFonts w:hint="eastAsia"/>
        </w:rPr>
        <w:t>指出，</w:t>
      </w:r>
      <w:r w:rsidR="00D92123">
        <w:rPr>
          <w:rFonts w:hint="eastAsia"/>
        </w:rPr>
        <w:t>投资者情绪</w:t>
      </w:r>
      <w:r w:rsidR="00A14D04">
        <w:rPr>
          <w:rFonts w:hint="eastAsia"/>
        </w:rPr>
        <w:t>与</w:t>
      </w:r>
      <w:r w:rsidR="00D92123">
        <w:rPr>
          <w:rFonts w:hint="eastAsia"/>
        </w:rPr>
        <w:t>分析师预测偏差</w:t>
      </w:r>
      <w:r w:rsidR="00A14D04">
        <w:rPr>
          <w:rFonts w:hint="eastAsia"/>
        </w:rPr>
        <w:t>显著正</w:t>
      </w:r>
      <w:r w:rsidR="00D92123">
        <w:rPr>
          <w:rFonts w:hint="eastAsia"/>
        </w:rPr>
        <w:t>相关</w:t>
      </w:r>
      <w:r w:rsidR="0043656D">
        <w:rPr>
          <w:rFonts w:hint="eastAsia"/>
        </w:rPr>
        <w:t>。在投资者情绪较高的时期，投资者更加看好未来的市场形势，从而分析师比较容易使投资者接受偏乐观的预测，而投资者情绪较低时，分析师则很难扭转投资者对公司价值的低估，另一个侧面的证据是，</w:t>
      </w:r>
      <w:r>
        <w:rPr>
          <w:rFonts w:hint="eastAsia"/>
        </w:rPr>
        <w:t>对于</w:t>
      </w:r>
      <w:r w:rsidR="0043656D">
        <w:rPr>
          <w:rFonts w:hint="eastAsia"/>
        </w:rPr>
        <w:t>受投资者情绪影响更大的小公司</w:t>
      </w:r>
      <w:r>
        <w:rPr>
          <w:rFonts w:hint="eastAsia"/>
        </w:rPr>
        <w:t>，分析师给出的预测也更加乐观（</w:t>
      </w:r>
      <w:r w:rsidR="00834275">
        <w:t>Qian</w:t>
      </w:r>
      <w:r>
        <w:rPr>
          <w:rFonts w:hint="eastAsia"/>
        </w:rPr>
        <w:t>，</w:t>
      </w:r>
      <w:r w:rsidR="00834275">
        <w:rPr>
          <w:rFonts w:hint="eastAsia"/>
        </w:rPr>
        <w:t>2009</w:t>
      </w:r>
      <w:r w:rsidR="00EE48D6">
        <w:rPr>
          <w:rStyle w:val="afb"/>
        </w:rPr>
        <w:t>[</w:t>
      </w:r>
      <w:r w:rsidR="00EE48D6">
        <w:rPr>
          <w:rStyle w:val="afb"/>
        </w:rPr>
        <w:endnoteReference w:id="40"/>
      </w:r>
      <w:r w:rsidR="00EE48D6">
        <w:rPr>
          <w:rStyle w:val="afb"/>
        </w:rPr>
        <w:t>]</w:t>
      </w:r>
      <w:r>
        <w:rPr>
          <w:rFonts w:hint="eastAsia"/>
        </w:rPr>
        <w:t>）</w:t>
      </w:r>
      <w:r w:rsidR="00405D23">
        <w:rPr>
          <w:rFonts w:hint="eastAsia"/>
        </w:rPr>
        <w:t>。</w:t>
      </w:r>
    </w:p>
    <w:p w14:paraId="33BED113" w14:textId="4BE36038" w:rsidR="00834275" w:rsidRDefault="00405D23" w:rsidP="00834275">
      <w:pPr>
        <w:tabs>
          <w:tab w:val="left" w:pos="2520"/>
        </w:tabs>
      </w:pPr>
      <w:r>
        <w:rPr>
          <w:rFonts w:hint="eastAsia"/>
        </w:rPr>
        <w:t>除了美国市场以外，</w:t>
      </w:r>
      <w:r w:rsidR="00011564">
        <w:rPr>
          <w:rFonts w:hint="eastAsia"/>
        </w:rPr>
        <w:t>伍燕然等（</w:t>
      </w:r>
      <w:r w:rsidR="00011564">
        <w:rPr>
          <w:rFonts w:hint="eastAsia"/>
        </w:rPr>
        <w:t>2012</w:t>
      </w:r>
      <w:r w:rsidR="00011564">
        <w:rPr>
          <w:rFonts w:hint="eastAsia"/>
        </w:rPr>
        <w:t>）</w:t>
      </w:r>
      <w:r w:rsidR="00EE48D6">
        <w:rPr>
          <w:rStyle w:val="afb"/>
        </w:rPr>
        <w:t>[</w:t>
      </w:r>
      <w:r w:rsidR="00EE48D6">
        <w:rPr>
          <w:rStyle w:val="afb"/>
        </w:rPr>
        <w:endnoteReference w:id="41"/>
      </w:r>
      <w:r w:rsidR="00EE48D6">
        <w:rPr>
          <w:rStyle w:val="afb"/>
        </w:rPr>
        <w:t>]</w:t>
      </w:r>
      <w:r w:rsidR="00011564">
        <w:rPr>
          <w:rFonts w:hint="eastAsia"/>
        </w:rPr>
        <w:t>、游家兴等（</w:t>
      </w:r>
      <w:r w:rsidR="00011564">
        <w:rPr>
          <w:rFonts w:hint="eastAsia"/>
        </w:rPr>
        <w:t>2013</w:t>
      </w:r>
      <w:r w:rsidR="00011564">
        <w:rPr>
          <w:rFonts w:hint="eastAsia"/>
        </w:rPr>
        <w:t>）</w:t>
      </w:r>
      <w:r w:rsidR="00EE48D6">
        <w:rPr>
          <w:rStyle w:val="afb"/>
        </w:rPr>
        <w:t>[</w:t>
      </w:r>
      <w:r w:rsidR="00EE48D6">
        <w:rPr>
          <w:rStyle w:val="afb"/>
        </w:rPr>
        <w:endnoteReference w:id="42"/>
      </w:r>
      <w:r w:rsidR="00EE48D6">
        <w:rPr>
          <w:rStyle w:val="afb"/>
        </w:rPr>
        <w:t>]</w:t>
      </w:r>
      <w:r w:rsidR="00011564">
        <w:rPr>
          <w:rFonts w:hint="eastAsia"/>
        </w:rPr>
        <w:t>使用来自中国的数据验证了这一结论，</w:t>
      </w:r>
      <w:r w:rsidR="00834275">
        <w:rPr>
          <w:rFonts w:hint="eastAsia"/>
        </w:rPr>
        <w:t>Corredor</w:t>
      </w:r>
      <w:r w:rsidR="00B82AE2">
        <w:rPr>
          <w:rFonts w:hint="eastAsia"/>
        </w:rPr>
        <w:t>等（</w:t>
      </w:r>
      <w:r w:rsidR="00834275">
        <w:rPr>
          <w:rFonts w:hint="eastAsia"/>
        </w:rPr>
        <w:t>2014</w:t>
      </w:r>
      <w:r w:rsidR="00B82AE2">
        <w:rPr>
          <w:rFonts w:hint="eastAsia"/>
        </w:rPr>
        <w:t>）</w:t>
      </w:r>
      <w:r w:rsidR="00EE48D6">
        <w:rPr>
          <w:rStyle w:val="afb"/>
        </w:rPr>
        <w:t>[</w:t>
      </w:r>
      <w:r w:rsidR="00EE48D6">
        <w:rPr>
          <w:rStyle w:val="afb"/>
        </w:rPr>
        <w:endnoteReference w:id="43"/>
      </w:r>
      <w:r w:rsidR="00EE48D6">
        <w:rPr>
          <w:rStyle w:val="afb"/>
        </w:rPr>
        <w:t>]</w:t>
      </w:r>
      <w:r>
        <w:rPr>
          <w:rFonts w:hint="eastAsia"/>
        </w:rPr>
        <w:t>使用来自</w:t>
      </w:r>
      <w:r w:rsidR="00834275">
        <w:rPr>
          <w:rFonts w:hint="eastAsia"/>
        </w:rPr>
        <w:t>法国、德国、西班牙、英国等欧洲四个主要经济体</w:t>
      </w:r>
      <w:r>
        <w:rPr>
          <w:rFonts w:hint="eastAsia"/>
        </w:rPr>
        <w:t>的数据</w:t>
      </w:r>
      <w:r w:rsidR="00011564">
        <w:rPr>
          <w:rFonts w:hint="eastAsia"/>
        </w:rPr>
        <w:t>也得到了类似的结论</w:t>
      </w:r>
      <w:r>
        <w:rPr>
          <w:rFonts w:hint="eastAsia"/>
        </w:rPr>
        <w:t>，</w:t>
      </w:r>
      <w:r w:rsidR="00011564">
        <w:rPr>
          <w:rFonts w:hint="eastAsia"/>
        </w:rPr>
        <w:t>他们还发现，除了</w:t>
      </w:r>
      <w:r>
        <w:rPr>
          <w:rFonts w:hint="eastAsia"/>
        </w:rPr>
        <w:t>分析师</w:t>
      </w:r>
      <w:r w:rsidR="00011564">
        <w:rPr>
          <w:rFonts w:hint="eastAsia"/>
        </w:rPr>
        <w:t>的</w:t>
      </w:r>
      <w:r>
        <w:rPr>
          <w:rFonts w:hint="eastAsia"/>
        </w:rPr>
        <w:t>策略性选择</w:t>
      </w:r>
      <w:r w:rsidR="00E85D40">
        <w:rPr>
          <w:rFonts w:hint="eastAsia"/>
        </w:rPr>
        <w:t>以外，分析师的</w:t>
      </w:r>
      <w:r w:rsidR="00011564">
        <w:rPr>
          <w:rFonts w:hint="eastAsia"/>
        </w:rPr>
        <w:t>认知偏差</w:t>
      </w:r>
      <w:r w:rsidR="00E85D40">
        <w:rPr>
          <w:rFonts w:hint="eastAsia"/>
        </w:rPr>
        <w:t>也是造成</w:t>
      </w:r>
      <w:r w:rsidR="00011564">
        <w:rPr>
          <w:rFonts w:hint="eastAsia"/>
        </w:rPr>
        <w:t>乐观偏差的</w:t>
      </w:r>
      <w:r w:rsidR="00E85D40">
        <w:rPr>
          <w:rFonts w:hint="eastAsia"/>
        </w:rPr>
        <w:t>原因之一</w:t>
      </w:r>
      <w:r w:rsidR="00834275">
        <w:rPr>
          <w:rFonts w:hint="eastAsia"/>
        </w:rPr>
        <w:t>。</w:t>
      </w:r>
    </w:p>
    <w:p w14:paraId="45F52D2E" w14:textId="600259CE" w:rsidR="002F12A1" w:rsidRPr="00E02060" w:rsidRDefault="00011564" w:rsidP="002F12A1">
      <w:r>
        <w:rPr>
          <w:rFonts w:hint="eastAsia"/>
        </w:rPr>
        <w:t>在已有研究的基础上，</w:t>
      </w:r>
      <w:r w:rsidR="002F12A1">
        <w:rPr>
          <w:rFonts w:hint="eastAsia"/>
        </w:rPr>
        <w:t>孔令飞，刘轶（</w:t>
      </w:r>
      <w:r w:rsidR="002F12A1">
        <w:rPr>
          <w:rFonts w:hint="eastAsia"/>
        </w:rPr>
        <w:t>2016</w:t>
      </w:r>
      <w:r w:rsidR="002F12A1">
        <w:rPr>
          <w:rFonts w:hint="eastAsia"/>
        </w:rPr>
        <w:t>）</w:t>
      </w:r>
      <w:r w:rsidR="00EE48D6">
        <w:rPr>
          <w:rStyle w:val="afb"/>
        </w:rPr>
        <w:t>[</w:t>
      </w:r>
      <w:r w:rsidR="00EE48D6">
        <w:rPr>
          <w:rStyle w:val="afb"/>
        </w:rPr>
        <w:endnoteReference w:id="44"/>
      </w:r>
      <w:r w:rsidR="00EE48D6">
        <w:rPr>
          <w:rStyle w:val="afb"/>
        </w:rPr>
        <w:t>]</w:t>
      </w:r>
      <w:r>
        <w:rPr>
          <w:rFonts w:hint="eastAsia"/>
        </w:rPr>
        <w:t>将投资者情绪分解为</w:t>
      </w:r>
      <w:r w:rsidR="002F12A1">
        <w:rPr>
          <w:rFonts w:hint="eastAsia"/>
        </w:rPr>
        <w:t>机构投资者</w:t>
      </w:r>
      <w:r>
        <w:rPr>
          <w:rFonts w:hint="eastAsia"/>
        </w:rPr>
        <w:t>和个人投资者</w:t>
      </w:r>
      <w:r w:rsidR="002F12A1">
        <w:rPr>
          <w:rFonts w:hint="eastAsia"/>
        </w:rPr>
        <w:t>情绪</w:t>
      </w:r>
      <w:r>
        <w:rPr>
          <w:rFonts w:hint="eastAsia"/>
        </w:rPr>
        <w:t>，</w:t>
      </w:r>
      <w:r w:rsidR="00E02060" w:rsidRPr="00E41C7C">
        <w:t>发现机构投资者情绪的波动比个人投资者更为剧烈，且对证券分析师</w:t>
      </w:r>
      <w:r>
        <w:rPr>
          <w:rFonts w:hint="eastAsia"/>
        </w:rPr>
        <w:t>一致预测</w:t>
      </w:r>
      <w:r w:rsidR="00E02060" w:rsidRPr="00E41C7C">
        <w:t>的影响也大于</w:t>
      </w:r>
      <w:r>
        <w:rPr>
          <w:rFonts w:hint="eastAsia"/>
        </w:rPr>
        <w:t>后者</w:t>
      </w:r>
      <w:r w:rsidR="00E02060" w:rsidRPr="00E41C7C">
        <w:t>。</w:t>
      </w:r>
      <w:r w:rsidR="002F12A1">
        <w:rPr>
          <w:rFonts w:hint="eastAsia"/>
        </w:rPr>
        <w:t>廖明情等（</w:t>
      </w:r>
      <w:r w:rsidR="002F12A1">
        <w:rPr>
          <w:rFonts w:hint="eastAsia"/>
        </w:rPr>
        <w:t>2016</w:t>
      </w:r>
      <w:r w:rsidR="002F12A1">
        <w:rPr>
          <w:rFonts w:hint="eastAsia"/>
        </w:rPr>
        <w:t>）</w:t>
      </w:r>
      <w:r w:rsidR="00EE48D6">
        <w:rPr>
          <w:rStyle w:val="afb"/>
        </w:rPr>
        <w:t>[</w:t>
      </w:r>
      <w:r w:rsidR="00EE48D6">
        <w:rPr>
          <w:rStyle w:val="afb"/>
        </w:rPr>
        <w:endnoteReference w:id="45"/>
      </w:r>
      <w:r w:rsidR="00EE48D6">
        <w:rPr>
          <w:rStyle w:val="afb"/>
        </w:rPr>
        <w:t>]</w:t>
      </w:r>
      <w:r>
        <w:rPr>
          <w:rFonts w:hint="eastAsia"/>
        </w:rPr>
        <w:t>则发现</w:t>
      </w:r>
      <w:r w:rsidR="002F12A1">
        <w:rPr>
          <w:rFonts w:hint="eastAsia"/>
        </w:rPr>
        <w:t>市场情绪</w:t>
      </w:r>
      <w:r>
        <w:rPr>
          <w:rFonts w:hint="eastAsia"/>
        </w:rPr>
        <w:t>主要导致了</w:t>
      </w:r>
      <w:r w:rsidR="002F12A1">
        <w:rPr>
          <w:rFonts w:hint="eastAsia"/>
        </w:rPr>
        <w:t>卖方分析师</w:t>
      </w:r>
      <w:r>
        <w:rPr>
          <w:rFonts w:hint="eastAsia"/>
        </w:rPr>
        <w:t>在股票推荐和盈利预测上的</w:t>
      </w:r>
      <w:r w:rsidR="002F12A1">
        <w:rPr>
          <w:rFonts w:hint="eastAsia"/>
        </w:rPr>
        <w:t>乐观</w:t>
      </w:r>
      <w:r>
        <w:rPr>
          <w:rFonts w:hint="eastAsia"/>
        </w:rPr>
        <w:t>偏差，但</w:t>
      </w:r>
      <w:r w:rsidR="002F12A1">
        <w:rPr>
          <w:rFonts w:hint="eastAsia"/>
        </w:rPr>
        <w:t>买方分析师</w:t>
      </w:r>
      <w:r>
        <w:rPr>
          <w:rFonts w:hint="eastAsia"/>
        </w:rPr>
        <w:t>拥有不同的</w:t>
      </w:r>
      <w:r w:rsidR="004A3CBB">
        <w:rPr>
          <w:rFonts w:hint="eastAsia"/>
        </w:rPr>
        <w:t>服务目标和</w:t>
      </w:r>
      <w:r>
        <w:rPr>
          <w:rFonts w:hint="eastAsia"/>
        </w:rPr>
        <w:t>激励机制，因此可以在一定程度上纠正卖方分析师</w:t>
      </w:r>
      <w:r w:rsidR="00E02060" w:rsidRPr="00E41C7C">
        <w:t>羊群行为</w:t>
      </w:r>
      <w:r>
        <w:rPr>
          <w:rFonts w:hint="eastAsia"/>
        </w:rPr>
        <w:t>造成的</w:t>
      </w:r>
      <w:r w:rsidR="00E02060" w:rsidRPr="00E41C7C">
        <w:t>偏差。</w:t>
      </w:r>
    </w:p>
    <w:p w14:paraId="6CD9BFE7" w14:textId="4E20E064" w:rsidR="00C92EB1" w:rsidRPr="0034587D" w:rsidRDefault="00C92EB1" w:rsidP="000C7406"/>
    <w:p w14:paraId="78A3EF95" w14:textId="12EFFE26" w:rsidR="006408EE" w:rsidRDefault="006408EE" w:rsidP="00447DB7">
      <w:pPr>
        <w:pStyle w:val="3"/>
      </w:pPr>
      <w:bookmarkStart w:id="8" w:name="_Toc509527747"/>
      <w:r w:rsidRPr="00EE2202">
        <w:rPr>
          <w:rFonts w:hint="eastAsia"/>
        </w:rPr>
        <w:t>盈余预测的</w:t>
      </w:r>
      <w:r w:rsidR="00667F6B">
        <w:rPr>
          <w:rFonts w:hint="eastAsia"/>
        </w:rPr>
        <w:t>有效性</w:t>
      </w:r>
      <w:bookmarkEnd w:id="8"/>
    </w:p>
    <w:p w14:paraId="1BF5BC84" w14:textId="06D2ADCC" w:rsidR="006801CC" w:rsidRPr="006801CC" w:rsidRDefault="004A3CBB" w:rsidP="006801CC">
      <w:r w:rsidRPr="004A3CBB">
        <w:rPr>
          <w:rFonts w:hint="eastAsia"/>
        </w:rPr>
        <w:t>关于盈余预测的有效性，主要是从分析师报告的</w:t>
      </w:r>
      <w:r w:rsidR="006801CC" w:rsidRPr="004A3CBB">
        <w:t>信息含量及市场反应</w:t>
      </w:r>
      <w:r w:rsidRPr="004A3CBB">
        <w:rPr>
          <w:rFonts w:hint="eastAsia"/>
        </w:rPr>
        <w:t>出发进行评级，</w:t>
      </w:r>
      <w:r w:rsidR="006801CC" w:rsidRPr="004A3CBB">
        <w:t>相关研究大多利用事件研究法考察报告发布后的股票价格同步性</w:t>
      </w:r>
      <w:r w:rsidR="00FA7DD7">
        <w:rPr>
          <w:rStyle w:val="afe"/>
        </w:rPr>
        <w:footnoteReference w:id="2"/>
      </w:r>
      <w:r w:rsidR="006801CC" w:rsidRPr="004A3CBB">
        <w:t>、股票超额收益率等指标</w:t>
      </w:r>
      <w:r w:rsidR="006801CC" w:rsidRPr="004A3CBB">
        <w:rPr>
          <w:rFonts w:hint="eastAsia"/>
        </w:rPr>
        <w:t>，从而判断证券分析师</w:t>
      </w:r>
      <w:r w:rsidR="00586F79">
        <w:rPr>
          <w:rFonts w:hint="eastAsia"/>
        </w:rPr>
        <w:t>预测</w:t>
      </w:r>
      <w:r w:rsidR="006801CC" w:rsidRPr="004A3CBB">
        <w:rPr>
          <w:rFonts w:hint="eastAsia"/>
        </w:rPr>
        <w:t>是否向市场提供了增量信息</w:t>
      </w:r>
      <w:r w:rsidR="006801CC" w:rsidRPr="004A3CBB">
        <w:t>。</w:t>
      </w:r>
    </w:p>
    <w:p w14:paraId="2B24EBF2" w14:textId="5B032152" w:rsidR="00187338" w:rsidRDefault="00834275" w:rsidP="00834275">
      <w:pPr>
        <w:pStyle w:val="4"/>
        <w:numPr>
          <w:ilvl w:val="0"/>
          <w:numId w:val="17"/>
        </w:numPr>
      </w:pPr>
      <w:r>
        <w:rPr>
          <w:rFonts w:hint="eastAsia"/>
        </w:rPr>
        <w:t>分析师预测</w:t>
      </w:r>
      <w:r w:rsidR="00475809">
        <w:rPr>
          <w:rFonts w:hint="eastAsia"/>
        </w:rPr>
        <w:t>是否</w:t>
      </w:r>
      <w:r w:rsidR="00A55810">
        <w:rPr>
          <w:rFonts w:hint="eastAsia"/>
        </w:rPr>
        <w:t>具有投资价值</w:t>
      </w:r>
    </w:p>
    <w:p w14:paraId="278D799D" w14:textId="5FDA7572" w:rsidR="00586F79" w:rsidRDefault="00FF457B" w:rsidP="00187338">
      <w:r>
        <w:rPr>
          <w:rFonts w:hint="eastAsia"/>
        </w:rPr>
        <w:t>对这一问题，大部分研究结果都给出了比较肯定的结果。</w:t>
      </w:r>
      <w:r>
        <w:t>L</w:t>
      </w:r>
      <w:r>
        <w:rPr>
          <w:rFonts w:hint="eastAsia"/>
        </w:rPr>
        <w:t>ys</w:t>
      </w:r>
      <w:r>
        <w:rPr>
          <w:rFonts w:hint="eastAsia"/>
        </w:rPr>
        <w:t>和</w:t>
      </w:r>
      <w:r>
        <w:rPr>
          <w:rFonts w:hint="eastAsia"/>
        </w:rPr>
        <w:t>Sohn</w:t>
      </w:r>
      <w:r>
        <w:rPr>
          <w:rFonts w:hint="eastAsia"/>
        </w:rPr>
        <w:t>（</w:t>
      </w:r>
      <w:r>
        <w:rPr>
          <w:rFonts w:hint="eastAsia"/>
        </w:rPr>
        <w:t>1990</w:t>
      </w:r>
      <w:r>
        <w:rPr>
          <w:rFonts w:hint="eastAsia"/>
        </w:rPr>
        <w:t>）</w:t>
      </w:r>
      <w:r w:rsidR="00EE48D6">
        <w:rPr>
          <w:rStyle w:val="afb"/>
        </w:rPr>
        <w:t>[</w:t>
      </w:r>
      <w:r w:rsidR="00EE48D6">
        <w:rPr>
          <w:rStyle w:val="afb"/>
        </w:rPr>
        <w:endnoteReference w:id="46"/>
      </w:r>
      <w:r w:rsidR="00EE48D6">
        <w:rPr>
          <w:rStyle w:val="afb"/>
        </w:rPr>
        <w:t>]</w:t>
      </w:r>
      <w:r>
        <w:rPr>
          <w:rFonts w:hint="eastAsia"/>
        </w:rPr>
        <w:t>发现，即使是在其他</w:t>
      </w:r>
      <w:r w:rsidR="00FA7DD7">
        <w:rPr>
          <w:rFonts w:hint="eastAsia"/>
        </w:rPr>
        <w:t>分析师预测或公司财务报告披露之后发布的盈余预测同</w:t>
      </w:r>
      <w:r w:rsidR="00FA7DD7">
        <w:rPr>
          <w:rFonts w:hint="eastAsia"/>
        </w:rPr>
        <w:lastRenderedPageBreak/>
        <w:t>样具有信息含量。</w:t>
      </w:r>
      <w:r w:rsidR="005A2B2E" w:rsidRPr="005A2B2E">
        <w:rPr>
          <w:rFonts w:hint="eastAsia"/>
        </w:rPr>
        <w:t>Elton</w:t>
      </w:r>
      <w:r w:rsidR="005A2B2E">
        <w:rPr>
          <w:rFonts w:hint="eastAsia"/>
        </w:rPr>
        <w:t>等</w:t>
      </w:r>
      <w:r w:rsidR="005A2B2E" w:rsidRPr="005A2B2E">
        <w:rPr>
          <w:rFonts w:hint="eastAsia"/>
        </w:rPr>
        <w:t>（</w:t>
      </w:r>
      <w:r w:rsidR="005A2B2E" w:rsidRPr="005A2B2E">
        <w:rPr>
          <w:rFonts w:hint="eastAsia"/>
        </w:rPr>
        <w:t>1986</w:t>
      </w:r>
      <w:r w:rsidR="005A2B2E" w:rsidRPr="005A2B2E">
        <w:rPr>
          <w:rFonts w:hint="eastAsia"/>
        </w:rPr>
        <w:t>）</w:t>
      </w:r>
      <w:r w:rsidR="00EE48D6">
        <w:rPr>
          <w:rStyle w:val="afb"/>
        </w:rPr>
        <w:t>[</w:t>
      </w:r>
      <w:r w:rsidR="00EE48D6">
        <w:rPr>
          <w:rStyle w:val="afb"/>
        </w:rPr>
        <w:endnoteReference w:id="47"/>
      </w:r>
      <w:r w:rsidR="00EE48D6">
        <w:rPr>
          <w:rStyle w:val="afb"/>
        </w:rPr>
        <w:t>]</w:t>
      </w:r>
      <w:r w:rsidR="005A2B2E" w:rsidRPr="005A2B2E">
        <w:rPr>
          <w:rFonts w:hint="eastAsia"/>
        </w:rPr>
        <w:t>发现</w:t>
      </w:r>
      <w:r>
        <w:rPr>
          <w:rFonts w:hint="eastAsia"/>
        </w:rPr>
        <w:t>分析师</w:t>
      </w:r>
      <w:r w:rsidR="005A2B2E" w:rsidRPr="005A2B2E">
        <w:rPr>
          <w:rFonts w:hint="eastAsia"/>
        </w:rPr>
        <w:t>评级</w:t>
      </w:r>
      <w:r>
        <w:rPr>
          <w:rFonts w:hint="eastAsia"/>
        </w:rPr>
        <w:t>和评级调整都</w:t>
      </w:r>
      <w:r w:rsidR="005A2B2E" w:rsidRPr="005A2B2E">
        <w:rPr>
          <w:rFonts w:hint="eastAsia"/>
        </w:rPr>
        <w:t>具有信息含量，且</w:t>
      </w:r>
      <w:r>
        <w:rPr>
          <w:rFonts w:hint="eastAsia"/>
        </w:rPr>
        <w:t>后者的</w:t>
      </w:r>
      <w:r w:rsidR="005A2B2E" w:rsidRPr="005A2B2E">
        <w:rPr>
          <w:rFonts w:hint="eastAsia"/>
        </w:rPr>
        <w:t>信息含量</w:t>
      </w:r>
      <w:r>
        <w:rPr>
          <w:rFonts w:hint="eastAsia"/>
        </w:rPr>
        <w:t>更高</w:t>
      </w:r>
      <w:r w:rsidR="00FA7DD7">
        <w:rPr>
          <w:rFonts w:hint="eastAsia"/>
        </w:rPr>
        <w:t>，</w:t>
      </w:r>
      <w:r w:rsidR="006361B9" w:rsidRPr="006361B9">
        <w:rPr>
          <w:rFonts w:hint="eastAsia"/>
        </w:rPr>
        <w:t>Womack</w:t>
      </w:r>
      <w:r w:rsidR="006361B9" w:rsidRPr="006361B9">
        <w:rPr>
          <w:rFonts w:hint="eastAsia"/>
        </w:rPr>
        <w:t>（</w:t>
      </w:r>
      <w:r w:rsidR="006361B9" w:rsidRPr="006361B9">
        <w:rPr>
          <w:rFonts w:hint="eastAsia"/>
        </w:rPr>
        <w:t>1996</w:t>
      </w:r>
      <w:r w:rsidR="006361B9" w:rsidRPr="006361B9">
        <w:rPr>
          <w:rFonts w:hint="eastAsia"/>
        </w:rPr>
        <w:t>）</w:t>
      </w:r>
      <w:r w:rsidR="00EE48D6">
        <w:rPr>
          <w:rStyle w:val="afb"/>
        </w:rPr>
        <w:t>[</w:t>
      </w:r>
      <w:r w:rsidR="00EE48D6">
        <w:rPr>
          <w:rStyle w:val="afb"/>
        </w:rPr>
        <w:endnoteReference w:id="48"/>
      </w:r>
      <w:r w:rsidR="00EE48D6">
        <w:rPr>
          <w:rStyle w:val="afb"/>
        </w:rPr>
        <w:t>]</w:t>
      </w:r>
      <w:r>
        <w:rPr>
          <w:rFonts w:hint="eastAsia"/>
        </w:rPr>
        <w:t>根据不同的评级水平对此进行了更加细致的检验，</w:t>
      </w:r>
      <w:r w:rsidR="006361B9" w:rsidRPr="006361B9">
        <w:rPr>
          <w:rFonts w:hint="eastAsia"/>
        </w:rPr>
        <w:t>发现</w:t>
      </w:r>
      <w:r>
        <w:rPr>
          <w:rFonts w:hint="eastAsia"/>
        </w:rPr>
        <w:t>被撤出</w:t>
      </w:r>
      <w:r w:rsidR="006361B9" w:rsidRPr="006361B9">
        <w:rPr>
          <w:rFonts w:hint="eastAsia"/>
        </w:rPr>
        <w:t>“买入”</w:t>
      </w:r>
      <w:r>
        <w:rPr>
          <w:rFonts w:hint="eastAsia"/>
        </w:rPr>
        <w:t>（</w:t>
      </w:r>
      <w:r w:rsidR="006361B9" w:rsidRPr="006361B9">
        <w:rPr>
          <w:rFonts w:hint="eastAsia"/>
        </w:rPr>
        <w:t>“卖出”</w:t>
      </w:r>
      <w:r>
        <w:rPr>
          <w:rFonts w:hint="eastAsia"/>
        </w:rPr>
        <w:t>）</w:t>
      </w:r>
      <w:r w:rsidR="006361B9" w:rsidRPr="006361B9">
        <w:rPr>
          <w:rFonts w:hint="eastAsia"/>
        </w:rPr>
        <w:t>评级的公司，</w:t>
      </w:r>
      <w:r w:rsidR="00FA7DD7">
        <w:rPr>
          <w:rFonts w:hint="eastAsia"/>
        </w:rPr>
        <w:t>在</w:t>
      </w:r>
      <w:r w:rsidR="006361B9" w:rsidRPr="006361B9">
        <w:rPr>
          <w:rFonts w:hint="eastAsia"/>
        </w:rPr>
        <w:t>评级更新前</w:t>
      </w:r>
      <w:r w:rsidR="006361B9" w:rsidRPr="006361B9">
        <w:rPr>
          <w:rFonts w:hint="eastAsia"/>
        </w:rPr>
        <w:t>6</w:t>
      </w:r>
      <w:r w:rsidR="006361B9" w:rsidRPr="006361B9">
        <w:rPr>
          <w:rFonts w:hint="eastAsia"/>
        </w:rPr>
        <w:t>个月的超额收益率显著</w:t>
      </w:r>
      <w:r w:rsidR="00FA7DD7">
        <w:rPr>
          <w:rFonts w:hint="eastAsia"/>
        </w:rPr>
        <w:t>大于（小于）</w:t>
      </w:r>
      <w:r w:rsidR="006361B9" w:rsidRPr="006361B9">
        <w:rPr>
          <w:rFonts w:hint="eastAsia"/>
        </w:rPr>
        <w:t>0</w:t>
      </w:r>
      <w:r w:rsidR="00FA7DD7">
        <w:rPr>
          <w:rFonts w:hint="eastAsia"/>
        </w:rPr>
        <w:t>，</w:t>
      </w:r>
      <w:r w:rsidR="006361B9" w:rsidRPr="006361B9">
        <w:rPr>
          <w:rFonts w:hint="eastAsia"/>
        </w:rPr>
        <w:t>评级更新前后</w:t>
      </w:r>
      <w:r w:rsidR="006361B9" w:rsidRPr="006361B9">
        <w:rPr>
          <w:rFonts w:hint="eastAsia"/>
        </w:rPr>
        <w:t>3</w:t>
      </w:r>
      <w:r w:rsidR="006361B9" w:rsidRPr="006361B9">
        <w:rPr>
          <w:rFonts w:hint="eastAsia"/>
        </w:rPr>
        <w:t>天</w:t>
      </w:r>
      <w:r w:rsidR="00FA7DD7">
        <w:rPr>
          <w:rFonts w:hint="eastAsia"/>
        </w:rPr>
        <w:t>均有显著的</w:t>
      </w:r>
      <w:r w:rsidR="006361B9" w:rsidRPr="006361B9">
        <w:rPr>
          <w:rFonts w:hint="eastAsia"/>
        </w:rPr>
        <w:t>超额收益率</w:t>
      </w:r>
      <w:r w:rsidR="00FA7DD7">
        <w:rPr>
          <w:rFonts w:hint="eastAsia"/>
        </w:rPr>
        <w:t>且</w:t>
      </w:r>
      <w:r w:rsidR="006361B9" w:rsidRPr="006361B9">
        <w:rPr>
          <w:rFonts w:hint="eastAsia"/>
        </w:rPr>
        <w:t>呈现漂移</w:t>
      </w:r>
      <w:r w:rsidR="00586F79">
        <w:rPr>
          <w:rFonts w:hint="eastAsia"/>
        </w:rPr>
        <w:t>，中国市场上也发现了类似结论（朱红军等，</w:t>
      </w:r>
      <w:r w:rsidR="00586F79">
        <w:rPr>
          <w:rFonts w:hint="eastAsia"/>
        </w:rPr>
        <w:t>2008</w:t>
      </w:r>
      <w:r w:rsidR="00586F79">
        <w:rPr>
          <w:rFonts w:hint="eastAsia"/>
        </w:rPr>
        <w:t>）</w:t>
      </w:r>
      <w:r w:rsidR="00EE48D6">
        <w:rPr>
          <w:rStyle w:val="afb"/>
        </w:rPr>
        <w:t>[</w:t>
      </w:r>
      <w:r w:rsidR="00EE48D6">
        <w:rPr>
          <w:rStyle w:val="afb"/>
        </w:rPr>
        <w:endnoteReference w:id="49"/>
      </w:r>
      <w:r w:rsidR="00EE48D6">
        <w:rPr>
          <w:rStyle w:val="afb"/>
        </w:rPr>
        <w:t>]</w:t>
      </w:r>
      <w:r w:rsidR="00586F79">
        <w:rPr>
          <w:rFonts w:hint="eastAsia"/>
        </w:rPr>
        <w:t>）</w:t>
      </w:r>
      <w:r w:rsidR="006361B9" w:rsidRPr="006361B9">
        <w:rPr>
          <w:rFonts w:hint="eastAsia"/>
        </w:rPr>
        <w:t>。</w:t>
      </w:r>
      <w:r w:rsidR="00586F79">
        <w:rPr>
          <w:rFonts w:hint="eastAsia"/>
        </w:rPr>
        <w:t>除了分析师个体的预测和评级数据以外，</w:t>
      </w:r>
      <w:r w:rsidR="00586F79" w:rsidRPr="00187338">
        <w:rPr>
          <w:rFonts w:hint="eastAsia"/>
        </w:rPr>
        <w:t>分析师一致评级</w:t>
      </w:r>
      <w:r w:rsidR="00586F79">
        <w:rPr>
          <w:rFonts w:hint="eastAsia"/>
        </w:rPr>
        <w:t>的月度</w:t>
      </w:r>
      <w:r w:rsidR="00586F79" w:rsidRPr="00187338">
        <w:rPr>
          <w:rFonts w:hint="eastAsia"/>
        </w:rPr>
        <w:t>变化</w:t>
      </w:r>
      <w:r w:rsidR="00586F79">
        <w:rPr>
          <w:rFonts w:hint="eastAsia"/>
        </w:rPr>
        <w:t>对未来一个月内的</w:t>
      </w:r>
      <w:r w:rsidR="00586F79" w:rsidRPr="00187338">
        <w:rPr>
          <w:rFonts w:hint="eastAsia"/>
        </w:rPr>
        <w:t>市场和行业超额回报</w:t>
      </w:r>
      <w:r w:rsidR="00586F79">
        <w:rPr>
          <w:rFonts w:hint="eastAsia"/>
        </w:rPr>
        <w:t>也</w:t>
      </w:r>
      <w:r w:rsidR="00586F79" w:rsidRPr="00187338">
        <w:rPr>
          <w:rFonts w:hint="eastAsia"/>
        </w:rPr>
        <w:t>具有一定的预测能力</w:t>
      </w:r>
      <w:r w:rsidR="00586F79">
        <w:rPr>
          <w:rFonts w:hint="eastAsia"/>
        </w:rPr>
        <w:t>（肖萌，朱宏泉，</w:t>
      </w:r>
      <w:r w:rsidR="00586F79">
        <w:rPr>
          <w:rFonts w:hint="eastAsia"/>
        </w:rPr>
        <w:t>2011</w:t>
      </w:r>
      <w:r w:rsidR="00EE48D6">
        <w:rPr>
          <w:rStyle w:val="afb"/>
        </w:rPr>
        <w:t>[</w:t>
      </w:r>
      <w:r w:rsidR="00EE48D6">
        <w:rPr>
          <w:rStyle w:val="afb"/>
        </w:rPr>
        <w:endnoteReference w:id="50"/>
      </w:r>
      <w:r w:rsidR="00EE48D6">
        <w:rPr>
          <w:rStyle w:val="afb"/>
        </w:rPr>
        <w:t>]</w:t>
      </w:r>
      <w:r w:rsidR="00586F79">
        <w:rPr>
          <w:rFonts w:hint="eastAsia"/>
        </w:rPr>
        <w:t>）</w:t>
      </w:r>
      <w:r w:rsidR="00586F79" w:rsidRPr="00187338">
        <w:rPr>
          <w:rFonts w:hint="eastAsia"/>
        </w:rPr>
        <w:t>。</w:t>
      </w:r>
    </w:p>
    <w:p w14:paraId="7A37ECAF" w14:textId="09FA6C5E" w:rsidR="00E9503A" w:rsidRDefault="00FA7DD7" w:rsidP="00E9503A">
      <w:r>
        <w:rPr>
          <w:rFonts w:hint="eastAsia"/>
        </w:rPr>
        <w:t>但是</w:t>
      </w:r>
      <w:r w:rsidR="00586F79">
        <w:rPr>
          <w:rFonts w:hint="eastAsia"/>
        </w:rPr>
        <w:t>，</w:t>
      </w:r>
      <w:r w:rsidR="006801CC">
        <w:rPr>
          <w:rFonts w:hint="eastAsia"/>
        </w:rPr>
        <w:t>Barber</w:t>
      </w:r>
      <w:r w:rsidR="006801CC">
        <w:rPr>
          <w:rFonts w:hint="eastAsia"/>
        </w:rPr>
        <w:t>等（</w:t>
      </w:r>
      <w:r w:rsidR="006801CC">
        <w:rPr>
          <w:rFonts w:hint="eastAsia"/>
        </w:rPr>
        <w:t>2001</w:t>
      </w:r>
      <w:r w:rsidR="006801CC">
        <w:rPr>
          <w:rFonts w:hint="eastAsia"/>
        </w:rPr>
        <w:t>）</w:t>
      </w:r>
      <w:r w:rsidR="00EE48D6">
        <w:rPr>
          <w:rStyle w:val="afb"/>
        </w:rPr>
        <w:t>[</w:t>
      </w:r>
      <w:r w:rsidR="00EE48D6">
        <w:rPr>
          <w:rStyle w:val="afb"/>
        </w:rPr>
        <w:endnoteReference w:id="51"/>
      </w:r>
      <w:r w:rsidR="00EE48D6">
        <w:rPr>
          <w:rStyle w:val="afb"/>
        </w:rPr>
        <w:t>]</w:t>
      </w:r>
      <w:r w:rsidR="00B67772" w:rsidRPr="00B67772">
        <w:rPr>
          <w:rFonts w:hint="eastAsia"/>
        </w:rPr>
        <w:t>发现</w:t>
      </w:r>
      <w:r>
        <w:rPr>
          <w:rFonts w:hint="eastAsia"/>
        </w:rPr>
        <w:t>如果</w:t>
      </w:r>
      <w:r w:rsidR="00B67772" w:rsidRPr="00B67772">
        <w:rPr>
          <w:rFonts w:hint="eastAsia"/>
        </w:rPr>
        <w:t>考虑交易成本</w:t>
      </w:r>
      <w:r>
        <w:rPr>
          <w:rFonts w:hint="eastAsia"/>
        </w:rPr>
        <w:t>，则依据分析师评级构建的投资组合并不能取得显著大于</w:t>
      </w:r>
      <w:r>
        <w:rPr>
          <w:rFonts w:hint="eastAsia"/>
        </w:rPr>
        <w:t>0</w:t>
      </w:r>
      <w:r>
        <w:rPr>
          <w:rFonts w:hint="eastAsia"/>
        </w:rPr>
        <w:t>的</w:t>
      </w:r>
      <w:r w:rsidR="00B67772" w:rsidRPr="00B67772">
        <w:rPr>
          <w:rFonts w:hint="eastAsia"/>
        </w:rPr>
        <w:t>超额净收益。</w:t>
      </w:r>
      <w:r w:rsidR="00827D5C">
        <w:rPr>
          <w:rFonts w:hint="eastAsia"/>
        </w:rPr>
        <w:t>从评级调整样本的角度考虑，</w:t>
      </w:r>
      <w:r w:rsidR="00E9503A">
        <w:t>Loh</w:t>
      </w:r>
      <w:r w:rsidR="00E9503A">
        <w:rPr>
          <w:rFonts w:hint="eastAsia"/>
        </w:rPr>
        <w:t>和</w:t>
      </w:r>
      <w:r w:rsidR="00E9503A">
        <w:rPr>
          <w:rFonts w:hint="eastAsia"/>
        </w:rPr>
        <w:t>Stulz</w:t>
      </w:r>
      <w:r w:rsidR="00E9503A">
        <w:rPr>
          <w:rFonts w:hint="eastAsia"/>
        </w:rPr>
        <w:t>（</w:t>
      </w:r>
      <w:r w:rsidR="00E9503A">
        <w:rPr>
          <w:rFonts w:hint="eastAsia"/>
        </w:rPr>
        <w:t>2011</w:t>
      </w:r>
      <w:r w:rsidR="00E9503A">
        <w:rPr>
          <w:rFonts w:hint="eastAsia"/>
        </w:rPr>
        <w:t>）</w:t>
      </w:r>
      <w:r w:rsidR="00EE48D6">
        <w:rPr>
          <w:rStyle w:val="afb"/>
        </w:rPr>
        <w:t>[</w:t>
      </w:r>
      <w:r w:rsidR="00EE48D6">
        <w:rPr>
          <w:rStyle w:val="afb"/>
        </w:rPr>
        <w:endnoteReference w:id="52"/>
      </w:r>
      <w:r w:rsidR="00EE48D6">
        <w:rPr>
          <w:rStyle w:val="afb"/>
        </w:rPr>
        <w:t>]</w:t>
      </w:r>
      <w:r w:rsidR="00E9503A">
        <w:rPr>
          <w:rFonts w:hint="eastAsia"/>
        </w:rPr>
        <w:t>发现实际产生显著的</w:t>
      </w:r>
      <w:r w:rsidR="00827D5C">
        <w:rPr>
          <w:rFonts w:hint="eastAsia"/>
        </w:rPr>
        <w:t>超额</w:t>
      </w:r>
      <w:r w:rsidR="00E9503A">
        <w:rPr>
          <w:rFonts w:hint="eastAsia"/>
        </w:rPr>
        <w:t>收益率和</w:t>
      </w:r>
      <w:r w:rsidR="00827D5C">
        <w:rPr>
          <w:rFonts w:hint="eastAsia"/>
        </w:rPr>
        <w:t>超额</w:t>
      </w:r>
      <w:r w:rsidR="00E9503A">
        <w:rPr>
          <w:rFonts w:hint="eastAsia"/>
        </w:rPr>
        <w:t>换手率的评级修正比例分别</w:t>
      </w:r>
      <w:r w:rsidR="00827D5C">
        <w:rPr>
          <w:rFonts w:hint="eastAsia"/>
        </w:rPr>
        <w:t>只有</w:t>
      </w:r>
      <w:r w:rsidR="00E9503A">
        <w:rPr>
          <w:rFonts w:hint="eastAsia"/>
        </w:rPr>
        <w:t>12%</w:t>
      </w:r>
      <w:r w:rsidR="00E9503A">
        <w:rPr>
          <w:rFonts w:hint="eastAsia"/>
        </w:rPr>
        <w:t>和</w:t>
      </w:r>
      <w:r w:rsidR="00E9503A">
        <w:rPr>
          <w:rFonts w:hint="eastAsia"/>
        </w:rPr>
        <w:t>13%</w:t>
      </w:r>
      <w:r w:rsidR="00E9503A">
        <w:rPr>
          <w:rFonts w:hint="eastAsia"/>
        </w:rPr>
        <w:t>，而且这些评级修正拥有一些共同的特征，包括领先发布、明星分析师以及过去曾经影响过收益率或换手率的分析师，同时领先发布效应和明星分析师效应在那些小规模、高增长、高机构投资者持股比例的公司中更加明显。</w:t>
      </w:r>
      <w:r w:rsidR="003F7B52" w:rsidRPr="0034587D">
        <w:rPr>
          <w:rFonts w:hint="eastAsia"/>
        </w:rPr>
        <w:t>鞠娟等（</w:t>
      </w:r>
      <w:r w:rsidR="003F7B52" w:rsidRPr="0034587D">
        <w:rPr>
          <w:rFonts w:hint="eastAsia"/>
        </w:rPr>
        <w:t>2014</w:t>
      </w:r>
      <w:r w:rsidR="003F7B52" w:rsidRPr="0034587D">
        <w:rPr>
          <w:rFonts w:hint="eastAsia"/>
        </w:rPr>
        <w:t>）</w:t>
      </w:r>
      <w:r w:rsidR="00EE48D6">
        <w:rPr>
          <w:rStyle w:val="afb"/>
        </w:rPr>
        <w:t>[</w:t>
      </w:r>
      <w:r w:rsidR="00EE48D6">
        <w:rPr>
          <w:rStyle w:val="afb"/>
        </w:rPr>
        <w:endnoteReference w:id="53"/>
      </w:r>
      <w:r w:rsidR="00EE48D6">
        <w:rPr>
          <w:rStyle w:val="afb"/>
        </w:rPr>
        <w:t>]</w:t>
      </w:r>
      <w:r w:rsidR="003F7B52" w:rsidRPr="0034587D">
        <w:rPr>
          <w:rFonts w:hint="eastAsia"/>
        </w:rPr>
        <w:t>使用手工收集的样本</w:t>
      </w:r>
      <w:r w:rsidR="003F7B52">
        <w:rPr>
          <w:rFonts w:hint="eastAsia"/>
        </w:rPr>
        <w:t>集</w:t>
      </w:r>
      <w:r w:rsidR="003F7B52" w:rsidRPr="0034587D">
        <w:rPr>
          <w:rFonts w:hint="eastAsia"/>
        </w:rPr>
        <w:t>考察深度报告的影响</w:t>
      </w:r>
      <w:r w:rsidR="003F7B52">
        <w:rPr>
          <w:rFonts w:hint="eastAsia"/>
        </w:rPr>
        <w:t>时</w:t>
      </w:r>
      <w:r w:rsidR="003F7B52" w:rsidRPr="0034587D">
        <w:rPr>
          <w:rFonts w:hint="eastAsia"/>
        </w:rPr>
        <w:t>，重新定义</w:t>
      </w:r>
      <w:r w:rsidR="003F7B52" w:rsidRPr="0034587D">
        <w:rPr>
          <w:rFonts w:hint="eastAsia"/>
        </w:rPr>
        <w:t>60-30-2</w:t>
      </w:r>
      <w:r w:rsidR="003F7B52" w:rsidRPr="0034587D">
        <w:rPr>
          <w:rFonts w:hint="eastAsia"/>
        </w:rPr>
        <w:t>的事件窗口，使用同步性测度增量信息的情况，发现</w:t>
      </w:r>
      <w:r w:rsidR="003F7B52">
        <w:rPr>
          <w:rFonts w:hint="eastAsia"/>
        </w:rPr>
        <w:t>信息释放</w:t>
      </w:r>
      <w:r w:rsidR="003F7B52" w:rsidRPr="0034587D">
        <w:rPr>
          <w:rFonts w:hint="eastAsia"/>
        </w:rPr>
        <w:t>提前</w:t>
      </w:r>
      <w:r w:rsidR="003F7B52">
        <w:rPr>
          <w:rFonts w:hint="eastAsia"/>
        </w:rPr>
        <w:t>于分析师报告发布的时间，在一定程度上解释了为什么部分实证检验发现分析师推荐没有投资价值。</w:t>
      </w:r>
    </w:p>
    <w:p w14:paraId="112A2A30" w14:textId="716358EC" w:rsidR="00B95D80" w:rsidRDefault="00586F79" w:rsidP="004D1C8E">
      <w:r>
        <w:rPr>
          <w:rFonts w:hint="eastAsia"/>
        </w:rPr>
        <w:t>而且</w:t>
      </w:r>
      <w:r w:rsidR="006F683A">
        <w:rPr>
          <w:rFonts w:hint="eastAsia"/>
        </w:rPr>
        <w:t>，</w:t>
      </w:r>
      <w:r w:rsidR="002F6189">
        <w:rPr>
          <w:rFonts w:hint="eastAsia"/>
        </w:rPr>
        <w:t>分析师预测的投资价值存</w:t>
      </w:r>
      <w:r w:rsidR="002F6189" w:rsidRPr="00EE6484">
        <w:rPr>
          <w:rFonts w:hint="eastAsia"/>
        </w:rPr>
        <w:t>在</w:t>
      </w:r>
      <w:r w:rsidR="0054005C" w:rsidRPr="00EE6484">
        <w:rPr>
          <w:rFonts w:hint="eastAsia"/>
        </w:rPr>
        <w:t>群体间差异</w:t>
      </w:r>
      <w:r w:rsidR="002F6189" w:rsidRPr="00EE6484">
        <w:rPr>
          <w:rFonts w:hint="eastAsia"/>
        </w:rPr>
        <w:t>，</w:t>
      </w:r>
      <w:r w:rsidR="00804A8D">
        <w:rPr>
          <w:rFonts w:hint="eastAsia"/>
        </w:rPr>
        <w:t>Sti</w:t>
      </w:r>
      <w:r w:rsidR="00804A8D">
        <w:t>ckel</w:t>
      </w:r>
      <w:r w:rsidR="00804A8D">
        <w:rPr>
          <w:rFonts w:hint="eastAsia"/>
        </w:rPr>
        <w:t>（</w:t>
      </w:r>
      <w:r w:rsidR="00804A8D">
        <w:rPr>
          <w:rFonts w:hint="eastAsia"/>
        </w:rPr>
        <w:t>1992</w:t>
      </w:r>
      <w:r w:rsidR="00804A8D">
        <w:rPr>
          <w:rFonts w:hint="eastAsia"/>
        </w:rPr>
        <w:t>）</w:t>
      </w:r>
      <w:r w:rsidR="00EE48D6">
        <w:rPr>
          <w:rStyle w:val="afb"/>
        </w:rPr>
        <w:t>[</w:t>
      </w:r>
      <w:r w:rsidR="00EE48D6">
        <w:rPr>
          <w:rStyle w:val="afb"/>
        </w:rPr>
        <w:endnoteReference w:id="54"/>
      </w:r>
      <w:r w:rsidR="00EE48D6">
        <w:rPr>
          <w:rStyle w:val="afb"/>
        </w:rPr>
        <w:t>]</w:t>
      </w:r>
      <w:r w:rsidR="00804A8D">
        <w:rPr>
          <w:rFonts w:hint="eastAsia"/>
        </w:rPr>
        <w:t>发现“全美明星分析师”在大幅上调预测后立即引起了市场价格的回升，在下调时则没有显著不同的市场反应。来自中国的证据则相反，</w:t>
      </w:r>
      <w:r w:rsidR="002F6189" w:rsidRPr="00EE6484">
        <w:rPr>
          <w:rFonts w:hint="eastAsia"/>
        </w:rPr>
        <w:t>王宇熹等（</w:t>
      </w:r>
      <w:r w:rsidR="002F6189" w:rsidRPr="00EE6484">
        <w:rPr>
          <w:rFonts w:hint="eastAsia"/>
        </w:rPr>
        <w:t>2012</w:t>
      </w:r>
      <w:r w:rsidR="002F6189" w:rsidRPr="00EE6484">
        <w:rPr>
          <w:rFonts w:hint="eastAsia"/>
        </w:rPr>
        <w:t>）</w:t>
      </w:r>
      <w:r w:rsidR="00EE48D6">
        <w:rPr>
          <w:rStyle w:val="afb"/>
        </w:rPr>
        <w:t>[</w:t>
      </w:r>
      <w:r w:rsidR="00EE48D6" w:rsidRPr="00EE6484">
        <w:rPr>
          <w:rStyle w:val="afb"/>
        </w:rPr>
        <w:endnoteReference w:id="55"/>
      </w:r>
      <w:r w:rsidR="00EE48D6">
        <w:rPr>
          <w:rStyle w:val="afb"/>
        </w:rPr>
        <w:t>]</w:t>
      </w:r>
      <w:r w:rsidR="00EE6484" w:rsidRPr="00EE6484">
        <w:rPr>
          <w:rFonts w:hint="eastAsia"/>
        </w:rPr>
        <w:t>、张宗新和杨万成（</w:t>
      </w:r>
      <w:r w:rsidR="00EE6484" w:rsidRPr="00EE6484">
        <w:rPr>
          <w:rFonts w:hint="eastAsia"/>
        </w:rPr>
        <w:t>2016</w:t>
      </w:r>
      <w:r w:rsidR="00EE6484" w:rsidRPr="00EE6484">
        <w:rPr>
          <w:rFonts w:hint="eastAsia"/>
        </w:rPr>
        <w:t>）</w:t>
      </w:r>
      <w:r w:rsidR="00EE48D6">
        <w:rPr>
          <w:rStyle w:val="afb"/>
        </w:rPr>
        <w:t>[</w:t>
      </w:r>
      <w:r w:rsidR="00EE48D6" w:rsidRPr="00EE6484">
        <w:rPr>
          <w:rStyle w:val="afb"/>
        </w:rPr>
        <w:endnoteReference w:id="56"/>
      </w:r>
      <w:r w:rsidR="00EE48D6">
        <w:rPr>
          <w:rStyle w:val="afb"/>
        </w:rPr>
        <w:t>]</w:t>
      </w:r>
      <w:r w:rsidR="00EE6484" w:rsidRPr="00EE6484">
        <w:rPr>
          <w:rFonts w:hint="eastAsia"/>
        </w:rPr>
        <w:t>均</w:t>
      </w:r>
      <w:r w:rsidR="002F6189" w:rsidRPr="00EE6484">
        <w:rPr>
          <w:rFonts w:hint="eastAsia"/>
        </w:rPr>
        <w:t>发现非顶级</w:t>
      </w:r>
      <w:r w:rsidR="002F6189" w:rsidRPr="005A2B2E">
        <w:rPr>
          <w:rFonts w:hint="eastAsia"/>
        </w:rPr>
        <w:t>券商明星分析师买入评级的投资价值高于顶级券商明星分析师，</w:t>
      </w:r>
      <w:r w:rsidR="002F6189">
        <w:rPr>
          <w:rFonts w:hint="eastAsia"/>
        </w:rPr>
        <w:t>而</w:t>
      </w:r>
      <w:r w:rsidR="002F6189" w:rsidRPr="005A2B2E">
        <w:rPr>
          <w:rFonts w:hint="eastAsia"/>
        </w:rPr>
        <w:t>顶级券商明星分析师的卖出评级投资价值高于非顶级券商明星分析师</w:t>
      </w:r>
      <w:r w:rsidR="0054005C">
        <w:rPr>
          <w:rFonts w:hint="eastAsia"/>
        </w:rPr>
        <w:t>。冯体一等（</w:t>
      </w:r>
      <w:r w:rsidR="0054005C">
        <w:rPr>
          <w:rFonts w:hint="eastAsia"/>
        </w:rPr>
        <w:t>2013</w:t>
      </w:r>
      <w:r w:rsidR="0054005C">
        <w:rPr>
          <w:rFonts w:hint="eastAsia"/>
        </w:rPr>
        <w:t>）</w:t>
      </w:r>
      <w:r w:rsidR="00EE48D6">
        <w:rPr>
          <w:rStyle w:val="afb"/>
        </w:rPr>
        <w:t>[</w:t>
      </w:r>
      <w:r w:rsidR="00EE48D6">
        <w:rPr>
          <w:rStyle w:val="afb"/>
        </w:rPr>
        <w:endnoteReference w:id="57"/>
      </w:r>
      <w:r w:rsidR="00EE48D6">
        <w:rPr>
          <w:rStyle w:val="afb"/>
        </w:rPr>
        <w:t>]</w:t>
      </w:r>
      <w:r w:rsidR="0054005C">
        <w:rPr>
          <w:rFonts w:hint="eastAsia"/>
        </w:rPr>
        <w:t>结合市场周期进行的分析发现，牛市中的投资者对所有评级均有显著的正向反应，而熊市中则对中性和卖出评级都有显著的负向反应，因此分析师评级并非持续地具有投资价值。</w:t>
      </w:r>
    </w:p>
    <w:p w14:paraId="154BE96F" w14:textId="77777777" w:rsidR="0054005C" w:rsidRPr="00BA2AA2" w:rsidRDefault="0054005C" w:rsidP="005A2B2E"/>
    <w:p w14:paraId="76FD9494" w14:textId="71291109" w:rsidR="00187338" w:rsidRPr="00EA180B" w:rsidRDefault="00C20034" w:rsidP="00187338">
      <w:pPr>
        <w:pStyle w:val="4"/>
      </w:pPr>
      <w:r>
        <w:rPr>
          <w:rFonts w:hint="eastAsia"/>
        </w:rPr>
        <w:t>分析师预测</w:t>
      </w:r>
      <w:r w:rsidR="00187338" w:rsidRPr="00EA180B">
        <w:rPr>
          <w:rFonts w:hint="eastAsia"/>
        </w:rPr>
        <w:t>是否提高市场效率</w:t>
      </w:r>
    </w:p>
    <w:p w14:paraId="063E540D" w14:textId="4691646A" w:rsidR="0054005C" w:rsidRPr="00EA180B" w:rsidRDefault="0054005C" w:rsidP="0054005C">
      <w:r w:rsidRPr="00EA180B">
        <w:rPr>
          <w:rFonts w:hint="eastAsia"/>
        </w:rPr>
        <w:t>就市场流动性而言，分析师跟踪能够降低信息不对称，提升股票流动性</w:t>
      </w:r>
      <w:r w:rsidR="003449BF" w:rsidRPr="00EA180B">
        <w:rPr>
          <w:rFonts w:hint="eastAsia"/>
        </w:rPr>
        <w:t>和价格中的信息含量</w:t>
      </w:r>
      <w:r w:rsidRPr="00EA180B">
        <w:rPr>
          <w:rFonts w:hint="eastAsia"/>
        </w:rPr>
        <w:t>。</w:t>
      </w:r>
      <w:r w:rsidR="003449BF" w:rsidRPr="00EA180B">
        <w:rPr>
          <w:rFonts w:hint="eastAsia"/>
        </w:rPr>
        <w:t>关于前者有两种主流的解释，</w:t>
      </w:r>
      <w:r w:rsidRPr="00EA180B">
        <w:rPr>
          <w:rFonts w:hint="eastAsia"/>
        </w:rPr>
        <w:t>Brennan</w:t>
      </w:r>
      <w:r w:rsidRPr="00EA180B">
        <w:rPr>
          <w:rFonts w:hint="eastAsia"/>
        </w:rPr>
        <w:t>和</w:t>
      </w:r>
      <w:r w:rsidRPr="00EA180B">
        <w:rPr>
          <w:rFonts w:hint="eastAsia"/>
        </w:rPr>
        <w:t>Subrahmanyam</w:t>
      </w:r>
      <w:r w:rsidRPr="00EA180B">
        <w:rPr>
          <w:rFonts w:hint="eastAsia"/>
        </w:rPr>
        <w:t>（</w:t>
      </w:r>
      <w:r w:rsidRPr="00EA180B">
        <w:rPr>
          <w:rFonts w:hint="eastAsia"/>
        </w:rPr>
        <w:t>1995</w:t>
      </w:r>
      <w:r w:rsidRPr="00EA180B">
        <w:rPr>
          <w:rFonts w:hint="eastAsia"/>
        </w:rPr>
        <w:t>）</w:t>
      </w:r>
      <w:r w:rsidR="00EE48D6">
        <w:rPr>
          <w:rStyle w:val="afb"/>
        </w:rPr>
        <w:lastRenderedPageBreak/>
        <w:t>[</w:t>
      </w:r>
      <w:r w:rsidR="00EE48D6" w:rsidRPr="00EA180B">
        <w:rPr>
          <w:rStyle w:val="afb"/>
        </w:rPr>
        <w:endnoteReference w:id="58"/>
      </w:r>
      <w:r w:rsidR="00EE48D6">
        <w:rPr>
          <w:rStyle w:val="afb"/>
        </w:rPr>
        <w:t>]</w:t>
      </w:r>
      <w:r w:rsidR="003449BF" w:rsidRPr="00EA180B">
        <w:rPr>
          <w:rFonts w:hint="eastAsia"/>
        </w:rPr>
        <w:t>认为，当</w:t>
      </w:r>
      <w:r w:rsidRPr="00EA180B">
        <w:rPr>
          <w:rFonts w:hint="eastAsia"/>
        </w:rPr>
        <w:t>分析师</w:t>
      </w:r>
      <w:r w:rsidR="003449BF" w:rsidRPr="00EA180B">
        <w:rPr>
          <w:rFonts w:hint="eastAsia"/>
        </w:rPr>
        <w:t>跟踪人数增加时，分析师之间的竞争关系加强，因此使价格更快的反映了信息，从而</w:t>
      </w:r>
      <w:r w:rsidRPr="00EA180B">
        <w:rPr>
          <w:rFonts w:hint="eastAsia"/>
        </w:rPr>
        <w:t>降低逆向选择成本，提高了股票流动性。</w:t>
      </w:r>
      <w:r w:rsidRPr="00EA180B">
        <w:rPr>
          <w:rFonts w:hint="eastAsia"/>
        </w:rPr>
        <w:t>Roulstone</w:t>
      </w:r>
      <w:r w:rsidRPr="00EA180B">
        <w:rPr>
          <w:rFonts w:hint="eastAsia"/>
        </w:rPr>
        <w:t>（</w:t>
      </w:r>
      <w:r w:rsidRPr="00EA180B">
        <w:rPr>
          <w:rFonts w:hint="eastAsia"/>
        </w:rPr>
        <w:t>2003</w:t>
      </w:r>
      <w:r w:rsidRPr="00EA180B">
        <w:rPr>
          <w:rFonts w:hint="eastAsia"/>
        </w:rPr>
        <w:t>）</w:t>
      </w:r>
      <w:r w:rsidR="00EE48D6">
        <w:rPr>
          <w:rStyle w:val="afb"/>
        </w:rPr>
        <w:t>[</w:t>
      </w:r>
      <w:r w:rsidR="00EE48D6" w:rsidRPr="00EA180B">
        <w:rPr>
          <w:rStyle w:val="afb"/>
        </w:rPr>
        <w:endnoteReference w:id="59"/>
      </w:r>
      <w:r w:rsidR="00EE48D6">
        <w:rPr>
          <w:rStyle w:val="afb"/>
        </w:rPr>
        <w:t>]</w:t>
      </w:r>
      <w:r w:rsidR="00BA2AA2" w:rsidRPr="00EA180B">
        <w:rPr>
          <w:rFonts w:hint="eastAsia"/>
        </w:rPr>
        <w:t>则</w:t>
      </w:r>
      <w:r w:rsidR="00DE3225" w:rsidRPr="00EA180B">
        <w:rPr>
          <w:rFonts w:hint="eastAsia"/>
        </w:rPr>
        <w:t>认为</w:t>
      </w:r>
      <w:r w:rsidR="00BA2AA2" w:rsidRPr="00EA180B">
        <w:rPr>
          <w:rFonts w:hint="eastAsia"/>
        </w:rPr>
        <w:t>是由于</w:t>
      </w:r>
      <w:r w:rsidR="00DE3225" w:rsidRPr="00EA180B">
        <w:rPr>
          <w:rFonts w:hint="eastAsia"/>
        </w:rPr>
        <w:t>分析师</w:t>
      </w:r>
      <w:r w:rsidR="00BA2AA2" w:rsidRPr="00EA180B">
        <w:rPr>
          <w:rFonts w:hint="eastAsia"/>
        </w:rPr>
        <w:t>向市场</w:t>
      </w:r>
      <w:r w:rsidR="00DE3225" w:rsidRPr="00EA180B">
        <w:rPr>
          <w:rFonts w:hint="eastAsia"/>
        </w:rPr>
        <w:t>提供</w:t>
      </w:r>
      <w:r w:rsidR="00BA2AA2" w:rsidRPr="00EA180B">
        <w:rPr>
          <w:rFonts w:hint="eastAsia"/>
        </w:rPr>
        <w:t>了</w:t>
      </w:r>
      <w:r w:rsidR="00DE3225" w:rsidRPr="00EA180B">
        <w:rPr>
          <w:rFonts w:hint="eastAsia"/>
        </w:rPr>
        <w:t>公共信息而</w:t>
      </w:r>
      <w:r w:rsidR="00BA2AA2" w:rsidRPr="00EA180B">
        <w:rPr>
          <w:rFonts w:hint="eastAsia"/>
        </w:rPr>
        <w:t>非私人信息，从而能够减轻投资者的逆向选择</w:t>
      </w:r>
      <w:r w:rsidRPr="00EA180B">
        <w:rPr>
          <w:rFonts w:hint="eastAsia"/>
        </w:rPr>
        <w:t>。</w:t>
      </w:r>
    </w:p>
    <w:p w14:paraId="202B367D" w14:textId="2A3058D2" w:rsidR="0054005C" w:rsidRPr="008022F8" w:rsidRDefault="0054005C" w:rsidP="0054005C">
      <w:r w:rsidRPr="00EA180B">
        <w:rPr>
          <w:rFonts w:hint="eastAsia"/>
        </w:rPr>
        <w:t>陈辉，汪前元（</w:t>
      </w:r>
      <w:r w:rsidRPr="00EA180B">
        <w:rPr>
          <w:rFonts w:hint="eastAsia"/>
        </w:rPr>
        <w:t>2013</w:t>
      </w:r>
      <w:r w:rsidRPr="00EA180B">
        <w:rPr>
          <w:rFonts w:hint="eastAsia"/>
        </w:rPr>
        <w:t>）</w:t>
      </w:r>
      <w:r w:rsidR="00EE48D6">
        <w:rPr>
          <w:rStyle w:val="afb"/>
        </w:rPr>
        <w:t>[</w:t>
      </w:r>
      <w:r w:rsidR="00EE48D6" w:rsidRPr="00EA180B">
        <w:rPr>
          <w:rStyle w:val="afb"/>
        </w:rPr>
        <w:endnoteReference w:id="60"/>
      </w:r>
      <w:r w:rsidR="00EE48D6">
        <w:rPr>
          <w:rStyle w:val="afb"/>
        </w:rPr>
        <w:t>]</w:t>
      </w:r>
      <w:r w:rsidR="000D3997" w:rsidRPr="00EA180B">
        <w:rPr>
          <w:rFonts w:hint="eastAsia"/>
        </w:rPr>
        <w:t>使用</w:t>
      </w:r>
      <w:r>
        <w:rPr>
          <w:rFonts w:hint="eastAsia"/>
        </w:rPr>
        <w:t>价差</w:t>
      </w:r>
      <w:r w:rsidR="000D3997">
        <w:rPr>
          <w:rFonts w:hint="eastAsia"/>
        </w:rPr>
        <w:t>指标</w:t>
      </w:r>
      <w:r>
        <w:rPr>
          <w:rFonts w:hint="eastAsia"/>
        </w:rPr>
        <w:t>衡量流动性，采用价差分解方法构造逆向选择指标以衡量信息不对称，</w:t>
      </w:r>
      <w:r w:rsidR="000D3997">
        <w:rPr>
          <w:rFonts w:hint="eastAsia"/>
        </w:rPr>
        <w:t>发现</w:t>
      </w:r>
      <w:r>
        <w:rPr>
          <w:rFonts w:hint="eastAsia"/>
        </w:rPr>
        <w:t>分析师跟踪导致了逆向选择效应</w:t>
      </w:r>
      <w:r w:rsidR="000D3997">
        <w:rPr>
          <w:rFonts w:hint="eastAsia"/>
        </w:rPr>
        <w:t>，信息不对称程度上升，</w:t>
      </w:r>
      <w:r>
        <w:rPr>
          <w:rFonts w:hint="eastAsia"/>
        </w:rPr>
        <w:t>但</w:t>
      </w:r>
      <w:r w:rsidR="000D3997">
        <w:rPr>
          <w:rFonts w:hint="eastAsia"/>
        </w:rPr>
        <w:t>另一方面</w:t>
      </w:r>
      <w:r>
        <w:rPr>
          <w:rFonts w:hint="eastAsia"/>
        </w:rPr>
        <w:t>分析师跟踪</w:t>
      </w:r>
      <w:r w:rsidR="000D3997">
        <w:rPr>
          <w:rFonts w:hint="eastAsia"/>
        </w:rPr>
        <w:t>使私有信息更快地反映在股票价格之中，</w:t>
      </w:r>
      <w:r>
        <w:rPr>
          <w:rFonts w:hint="eastAsia"/>
        </w:rPr>
        <w:t>提升了信息效率，从整体来看，</w:t>
      </w:r>
      <w:r w:rsidR="00BA2AA2">
        <w:rPr>
          <w:rFonts w:hint="eastAsia"/>
        </w:rPr>
        <w:t>在中国市场上</w:t>
      </w:r>
      <w:r w:rsidR="000D3997">
        <w:rPr>
          <w:rFonts w:hint="eastAsia"/>
        </w:rPr>
        <w:t>仍然是信息效率效应占据支配地位</w:t>
      </w:r>
      <w:r>
        <w:rPr>
          <w:rFonts w:hint="eastAsia"/>
        </w:rPr>
        <w:t>。</w:t>
      </w:r>
      <w:r w:rsidR="008022F8" w:rsidRPr="008022F8">
        <w:rPr>
          <w:rFonts w:hint="eastAsia"/>
        </w:rPr>
        <w:t>罗衎</w:t>
      </w:r>
      <w:r w:rsidR="008022F8">
        <w:rPr>
          <w:rFonts w:hint="eastAsia"/>
        </w:rPr>
        <w:t>等（</w:t>
      </w:r>
      <w:r w:rsidR="008022F8">
        <w:rPr>
          <w:rFonts w:hint="eastAsia"/>
        </w:rPr>
        <w:t>2017</w:t>
      </w:r>
      <w:r w:rsidR="008022F8">
        <w:rPr>
          <w:rFonts w:hint="eastAsia"/>
        </w:rPr>
        <w:t>）</w:t>
      </w:r>
      <w:r w:rsidR="00EE48D6">
        <w:rPr>
          <w:rStyle w:val="afb"/>
        </w:rPr>
        <w:t>[</w:t>
      </w:r>
      <w:r w:rsidR="00EE48D6">
        <w:rPr>
          <w:rStyle w:val="afb"/>
        </w:rPr>
        <w:endnoteReference w:id="61"/>
      </w:r>
      <w:r w:rsidR="00EE48D6">
        <w:rPr>
          <w:rStyle w:val="afb"/>
        </w:rPr>
        <w:t>]</w:t>
      </w:r>
      <w:r w:rsidR="008022F8">
        <w:rPr>
          <w:rFonts w:hint="eastAsia"/>
        </w:rPr>
        <w:t>使用高频数据进行的微观结构实证研究则发现，因为我国的噪声交易者比例高，因此分析师报告通过提高投资者关注度增加流动性，这是产生超额收益率的主要原因。</w:t>
      </w:r>
    </w:p>
    <w:p w14:paraId="5EEB8AB2" w14:textId="7D1CF485" w:rsidR="0034587D" w:rsidRDefault="00363B0A" w:rsidP="0034587D">
      <w:r>
        <w:rPr>
          <w:rFonts w:hint="eastAsia"/>
        </w:rPr>
        <w:t>另一方面，</w:t>
      </w:r>
      <w:r w:rsidR="00BA2AA2">
        <w:rPr>
          <w:rFonts w:hint="eastAsia"/>
        </w:rPr>
        <w:t>分析师对于同步性的影响则结果不一。</w:t>
      </w:r>
      <w:r w:rsidR="006408EE" w:rsidRPr="006408EE">
        <w:rPr>
          <w:rFonts w:hint="eastAsia"/>
        </w:rPr>
        <w:t>Chan</w:t>
      </w:r>
      <w:r w:rsidR="006408EE" w:rsidRPr="006408EE">
        <w:rPr>
          <w:rFonts w:hint="eastAsia"/>
        </w:rPr>
        <w:t>和</w:t>
      </w:r>
      <w:r w:rsidR="006408EE" w:rsidRPr="006408EE">
        <w:rPr>
          <w:rFonts w:hint="eastAsia"/>
        </w:rPr>
        <w:t>Hameed</w:t>
      </w:r>
      <w:r w:rsidR="006408EE" w:rsidRPr="006408EE">
        <w:rPr>
          <w:rFonts w:hint="eastAsia"/>
        </w:rPr>
        <w:t>（</w:t>
      </w:r>
      <w:r w:rsidR="006408EE" w:rsidRPr="006408EE">
        <w:rPr>
          <w:rFonts w:hint="eastAsia"/>
        </w:rPr>
        <w:t>2006</w:t>
      </w:r>
      <w:r w:rsidR="006408EE" w:rsidRPr="006408EE">
        <w:rPr>
          <w:rFonts w:hint="eastAsia"/>
        </w:rPr>
        <w:t>）</w:t>
      </w:r>
      <w:r w:rsidR="00EE48D6">
        <w:rPr>
          <w:rStyle w:val="afb"/>
        </w:rPr>
        <w:t>[</w:t>
      </w:r>
      <w:r w:rsidR="00EE48D6">
        <w:rPr>
          <w:rStyle w:val="afb"/>
        </w:rPr>
        <w:endnoteReference w:id="62"/>
      </w:r>
      <w:r w:rsidR="00EE48D6">
        <w:rPr>
          <w:rStyle w:val="afb"/>
        </w:rPr>
        <w:t>]</w:t>
      </w:r>
      <w:r w:rsidR="000D3997">
        <w:rPr>
          <w:rFonts w:hint="eastAsia"/>
        </w:rPr>
        <w:t>针对</w:t>
      </w:r>
      <w:r w:rsidR="006408EE" w:rsidRPr="006408EE">
        <w:rPr>
          <w:rFonts w:hint="eastAsia"/>
        </w:rPr>
        <w:t>新兴证券市场</w:t>
      </w:r>
      <w:r w:rsidR="000D3997">
        <w:rPr>
          <w:rFonts w:hint="eastAsia"/>
        </w:rPr>
        <w:t>的</w:t>
      </w:r>
      <w:r w:rsidR="006408EE" w:rsidRPr="006408EE">
        <w:rPr>
          <w:rFonts w:hint="eastAsia"/>
        </w:rPr>
        <w:t>实证研究发现分析师</w:t>
      </w:r>
      <w:r w:rsidR="00BA2AA2">
        <w:rPr>
          <w:rFonts w:hint="eastAsia"/>
        </w:rPr>
        <w:t>跟踪人数</w:t>
      </w:r>
      <w:r w:rsidR="006408EE" w:rsidRPr="006408EE">
        <w:rPr>
          <w:rFonts w:hint="eastAsia"/>
        </w:rPr>
        <w:t>越多的公司股价同步性越强，当分析师盈余预测分歧程度提高时，分析师跟随对价格同步性的影响减弱</w:t>
      </w:r>
      <w:r w:rsidR="00BA2AA2">
        <w:rPr>
          <w:rFonts w:hint="eastAsia"/>
        </w:rPr>
        <w:t>，他们</w:t>
      </w:r>
      <w:r w:rsidR="006408EE" w:rsidRPr="006408EE">
        <w:rPr>
          <w:rFonts w:hint="eastAsia"/>
        </w:rPr>
        <w:t>认为这是由于新兴市场信息披露不充分，公司信息缺乏透明度</w:t>
      </w:r>
      <w:r w:rsidR="00BA2AA2">
        <w:rPr>
          <w:rFonts w:hint="eastAsia"/>
        </w:rPr>
        <w:t>，</w:t>
      </w:r>
      <w:r w:rsidR="006408EE" w:rsidRPr="006408EE">
        <w:rPr>
          <w:rFonts w:hint="eastAsia"/>
        </w:rPr>
        <w:t>增加了分析师的信息收集成本。</w:t>
      </w:r>
      <w:r w:rsidR="00BA2AA2">
        <w:rPr>
          <w:rFonts w:hint="eastAsia"/>
        </w:rPr>
        <w:t>国内比较早期的研究</w:t>
      </w:r>
      <w:r>
        <w:rPr>
          <w:rFonts w:hint="eastAsia"/>
        </w:rPr>
        <w:t>发现</w:t>
      </w:r>
      <w:r w:rsidR="00BA2AA2">
        <w:rPr>
          <w:rFonts w:hint="eastAsia"/>
        </w:rPr>
        <w:t>分析师跟踪人数增加时</w:t>
      </w:r>
      <w:r>
        <w:rPr>
          <w:rFonts w:hint="eastAsia"/>
        </w:rPr>
        <w:t>股票同步性下降，同时盈余公告后漂移现象减弱，这意味着分析师跟踪提高了</w:t>
      </w:r>
      <w:r w:rsidR="00BA2AA2">
        <w:rPr>
          <w:rFonts w:hint="eastAsia"/>
        </w:rPr>
        <w:t>价格的信息含量</w:t>
      </w:r>
      <w:r>
        <w:rPr>
          <w:rFonts w:hint="eastAsia"/>
        </w:rPr>
        <w:t>（</w:t>
      </w:r>
      <w:r w:rsidR="0034587D">
        <w:rPr>
          <w:rFonts w:hint="eastAsia"/>
        </w:rPr>
        <w:t>朱红军等</w:t>
      </w:r>
      <w:r>
        <w:rPr>
          <w:rFonts w:hint="eastAsia"/>
        </w:rPr>
        <w:t>，</w:t>
      </w:r>
      <w:r w:rsidR="0034587D">
        <w:rPr>
          <w:rFonts w:hint="eastAsia"/>
        </w:rPr>
        <w:t>2007</w:t>
      </w:r>
      <w:r w:rsidR="00EE48D6">
        <w:rPr>
          <w:rStyle w:val="afb"/>
        </w:rPr>
        <w:t>[</w:t>
      </w:r>
      <w:r w:rsidR="00EE48D6">
        <w:rPr>
          <w:rStyle w:val="afb"/>
        </w:rPr>
        <w:endnoteReference w:id="63"/>
      </w:r>
      <w:r w:rsidR="00EE48D6">
        <w:rPr>
          <w:rStyle w:val="afb"/>
        </w:rPr>
        <w:t>]</w:t>
      </w:r>
      <w:r>
        <w:rPr>
          <w:rFonts w:hint="eastAsia"/>
        </w:rPr>
        <w:t>）。</w:t>
      </w:r>
      <w:r w:rsidR="00164B60">
        <w:rPr>
          <w:rFonts w:hint="eastAsia"/>
        </w:rPr>
        <w:t>但是</w:t>
      </w:r>
      <w:r w:rsidR="0034587D">
        <w:rPr>
          <w:rFonts w:hint="eastAsia"/>
        </w:rPr>
        <w:t>冯旭南</w:t>
      </w:r>
      <w:r>
        <w:rPr>
          <w:rFonts w:hint="eastAsia"/>
        </w:rPr>
        <w:t>，</w:t>
      </w:r>
      <w:r w:rsidR="0034587D">
        <w:rPr>
          <w:rFonts w:hint="eastAsia"/>
        </w:rPr>
        <w:t>李心愉（</w:t>
      </w:r>
      <w:r w:rsidR="0034587D">
        <w:rPr>
          <w:rFonts w:hint="eastAsia"/>
        </w:rPr>
        <w:t>2011</w:t>
      </w:r>
      <w:r w:rsidR="0034587D">
        <w:rPr>
          <w:rFonts w:hint="eastAsia"/>
        </w:rPr>
        <w:t>）</w:t>
      </w:r>
      <w:r w:rsidR="00EE48D6">
        <w:rPr>
          <w:rStyle w:val="afb"/>
        </w:rPr>
        <w:t>[</w:t>
      </w:r>
      <w:r w:rsidR="00EE48D6">
        <w:rPr>
          <w:rStyle w:val="afb"/>
        </w:rPr>
        <w:endnoteReference w:id="64"/>
      </w:r>
      <w:r w:rsidR="00EE48D6">
        <w:rPr>
          <w:rStyle w:val="afb"/>
        </w:rPr>
        <w:t>]</w:t>
      </w:r>
      <w:r>
        <w:rPr>
          <w:rFonts w:hint="eastAsia"/>
        </w:rPr>
        <w:t>在扩大的样本基础上重新</w:t>
      </w:r>
      <w:r w:rsidR="0034587D">
        <w:rPr>
          <w:rFonts w:hint="eastAsia"/>
        </w:rPr>
        <w:t>考察分析师跟进行为对股价同步性的影响</w:t>
      </w:r>
      <w:r>
        <w:rPr>
          <w:rFonts w:hint="eastAsia"/>
        </w:rPr>
        <w:t>，</w:t>
      </w:r>
      <w:r w:rsidR="00164B60">
        <w:rPr>
          <w:rFonts w:hint="eastAsia"/>
        </w:rPr>
        <w:t>采用两阶段最小二乘法控制内生性后，</w:t>
      </w:r>
      <w:r>
        <w:rPr>
          <w:rFonts w:hint="eastAsia"/>
        </w:rPr>
        <w:t>得到了与</w:t>
      </w:r>
      <w:r>
        <w:rPr>
          <w:rFonts w:hint="eastAsia"/>
        </w:rPr>
        <w:t>Chan</w:t>
      </w:r>
      <w:r>
        <w:rPr>
          <w:rFonts w:hint="eastAsia"/>
        </w:rPr>
        <w:t>和</w:t>
      </w:r>
      <w:r>
        <w:rPr>
          <w:rFonts w:hint="eastAsia"/>
        </w:rPr>
        <w:t>Hameed</w:t>
      </w:r>
      <w:r>
        <w:rPr>
          <w:rFonts w:hint="eastAsia"/>
        </w:rPr>
        <w:t>（</w:t>
      </w:r>
      <w:r>
        <w:rPr>
          <w:rFonts w:hint="eastAsia"/>
        </w:rPr>
        <w:t>2006</w:t>
      </w:r>
      <w:r>
        <w:rPr>
          <w:rFonts w:hint="eastAsia"/>
        </w:rPr>
        <w:t>）类似的</w:t>
      </w:r>
      <w:r w:rsidR="00164B60">
        <w:rPr>
          <w:rFonts w:hint="eastAsia"/>
        </w:rPr>
        <w:t>结论。</w:t>
      </w:r>
      <w:r w:rsidR="00534A58">
        <w:rPr>
          <w:rFonts w:hint="eastAsia"/>
        </w:rPr>
        <w:t>蔡庆丰，杨侃（</w:t>
      </w:r>
      <w:r w:rsidR="00534A58">
        <w:rPr>
          <w:rFonts w:hint="eastAsia"/>
        </w:rPr>
        <w:t>2013</w:t>
      </w:r>
      <w:r w:rsidR="00534A58">
        <w:rPr>
          <w:rFonts w:hint="eastAsia"/>
        </w:rPr>
        <w:t>）发现分析师关注度度越高，同步性越高。</w:t>
      </w:r>
      <w:r w:rsidR="00250D99" w:rsidRPr="004D1C8E">
        <w:rPr>
          <w:rFonts w:hint="eastAsia"/>
          <w:highlight w:val="yellow"/>
        </w:rPr>
        <w:t>Xu</w:t>
      </w:r>
      <w:r w:rsidR="00250D99" w:rsidRPr="004D1C8E">
        <w:rPr>
          <w:rFonts w:hint="eastAsia"/>
          <w:highlight w:val="yellow"/>
        </w:rPr>
        <w:t>等（</w:t>
      </w:r>
      <w:r w:rsidR="00250D99" w:rsidRPr="004D1C8E">
        <w:rPr>
          <w:rFonts w:hint="eastAsia"/>
          <w:highlight w:val="yellow"/>
        </w:rPr>
        <w:t>2013</w:t>
      </w:r>
      <w:r w:rsidR="004D1C8E" w:rsidRPr="004D1C8E">
        <w:rPr>
          <w:rFonts w:hint="eastAsia"/>
          <w:highlight w:val="yellow"/>
        </w:rPr>
        <w:t>）</w:t>
      </w:r>
      <w:r w:rsidR="00EE48D6">
        <w:rPr>
          <w:rStyle w:val="afb"/>
          <w:highlight w:val="yellow"/>
        </w:rPr>
        <w:t>[</w:t>
      </w:r>
      <w:r w:rsidR="00EE48D6" w:rsidRPr="004D1C8E">
        <w:rPr>
          <w:rStyle w:val="afb"/>
          <w:highlight w:val="yellow"/>
        </w:rPr>
        <w:endnoteReference w:id="65"/>
      </w:r>
      <w:r w:rsidR="00EE48D6">
        <w:rPr>
          <w:rStyle w:val="afb"/>
          <w:highlight w:val="yellow"/>
        </w:rPr>
        <w:t>]</w:t>
      </w:r>
      <w:r w:rsidR="00250D99" w:rsidRPr="004D1C8E">
        <w:rPr>
          <w:rFonts w:hint="eastAsia"/>
          <w:highlight w:val="yellow"/>
        </w:rPr>
        <w:t>发现，明星分析师</w:t>
      </w:r>
      <w:r w:rsidR="00B36CA1" w:rsidRPr="004D1C8E">
        <w:rPr>
          <w:rFonts w:hint="eastAsia"/>
          <w:highlight w:val="yellow"/>
        </w:rPr>
        <w:t>跟踪的公司股价同步性较低。</w:t>
      </w:r>
      <w:r w:rsidR="00482F4E" w:rsidRPr="004D1C8E">
        <w:rPr>
          <w:rFonts w:hint="eastAsia"/>
          <w:highlight w:val="yellow"/>
        </w:rPr>
        <w:t>伊志宏，江轩宇（</w:t>
      </w:r>
      <w:r w:rsidR="00482F4E" w:rsidRPr="004D1C8E">
        <w:rPr>
          <w:rFonts w:hint="eastAsia"/>
          <w:highlight w:val="yellow"/>
        </w:rPr>
        <w:t>2013</w:t>
      </w:r>
      <w:r w:rsidR="00482F4E" w:rsidRPr="004D1C8E">
        <w:rPr>
          <w:rFonts w:hint="eastAsia"/>
          <w:highlight w:val="yellow"/>
        </w:rPr>
        <w:t>）</w:t>
      </w:r>
      <w:r w:rsidR="00EE48D6">
        <w:rPr>
          <w:rStyle w:val="afb"/>
          <w:highlight w:val="yellow"/>
        </w:rPr>
        <w:t>[</w:t>
      </w:r>
      <w:r w:rsidR="00EE48D6">
        <w:rPr>
          <w:rStyle w:val="afb"/>
          <w:highlight w:val="yellow"/>
        </w:rPr>
        <w:endnoteReference w:id="66"/>
      </w:r>
      <w:r w:rsidR="00EE48D6">
        <w:rPr>
          <w:rStyle w:val="afb"/>
          <w:highlight w:val="yellow"/>
        </w:rPr>
        <w:t>]</w:t>
      </w:r>
      <w:r w:rsidR="00482F4E" w:rsidRPr="004D1C8E">
        <w:rPr>
          <w:rFonts w:hint="eastAsia"/>
          <w:highlight w:val="yellow"/>
        </w:rPr>
        <w:t>发现明星分析师</w:t>
      </w:r>
      <w:r w:rsidR="004D1C8E" w:rsidRPr="004D1C8E">
        <w:rPr>
          <w:rFonts w:hint="eastAsia"/>
          <w:highlight w:val="yellow"/>
        </w:rPr>
        <w:t>相比其他分析师更加专注地持续跟踪公司，从而</w:t>
      </w:r>
      <w:r w:rsidR="000977D3">
        <w:rPr>
          <w:rFonts w:hint="eastAsia"/>
          <w:highlight w:val="yellow"/>
        </w:rPr>
        <w:t>其调整评级时</w:t>
      </w:r>
      <w:r w:rsidR="00482F4E" w:rsidRPr="004D1C8E">
        <w:rPr>
          <w:rFonts w:hint="eastAsia"/>
          <w:highlight w:val="yellow"/>
        </w:rPr>
        <w:t>能够</w:t>
      </w:r>
      <w:r w:rsidR="004D1C8E" w:rsidRPr="004D1C8E">
        <w:rPr>
          <w:rFonts w:hint="eastAsia"/>
          <w:highlight w:val="yellow"/>
        </w:rPr>
        <w:t>向市场</w:t>
      </w:r>
      <w:r w:rsidR="00482F4E" w:rsidRPr="004D1C8E">
        <w:rPr>
          <w:rFonts w:hint="eastAsia"/>
          <w:highlight w:val="yellow"/>
        </w:rPr>
        <w:t>提供更多的公司特质信息</w:t>
      </w:r>
      <w:r w:rsidR="004D1C8E" w:rsidRPr="004D1C8E">
        <w:rPr>
          <w:rFonts w:hint="eastAsia"/>
          <w:highlight w:val="yellow"/>
        </w:rPr>
        <w:t>。</w:t>
      </w:r>
    </w:p>
    <w:p w14:paraId="6BE98270" w14:textId="77777777" w:rsidR="008B7006" w:rsidRPr="00164B60" w:rsidRDefault="008B7006" w:rsidP="00EE2202">
      <w:pPr>
        <w:rPr>
          <w:kern w:val="0"/>
        </w:rPr>
      </w:pPr>
    </w:p>
    <w:p w14:paraId="783DFDDE" w14:textId="1915D798" w:rsidR="00B704F5" w:rsidRDefault="00732044" w:rsidP="002E3E1D">
      <w:pPr>
        <w:pStyle w:val="2"/>
      </w:pPr>
      <w:bookmarkStart w:id="9" w:name="_Toc509527748"/>
      <w:r>
        <w:rPr>
          <w:rFonts w:hint="eastAsia"/>
        </w:rPr>
        <w:t>分析师</w:t>
      </w:r>
      <w:r w:rsidR="003E23E6">
        <w:rPr>
          <w:rFonts w:hint="eastAsia"/>
        </w:rPr>
        <w:t>行为模式分析</w:t>
      </w:r>
      <w:bookmarkEnd w:id="9"/>
    </w:p>
    <w:p w14:paraId="4C5F3E26" w14:textId="0755142A" w:rsidR="00EA180B" w:rsidRPr="00EB65A3" w:rsidRDefault="00EB65A3" w:rsidP="00EB65A3">
      <w:r>
        <w:rPr>
          <w:rFonts w:hint="eastAsia"/>
        </w:rPr>
        <w:t>与分析师预测质量相比，对分析师行为模式的分析</w:t>
      </w:r>
      <w:r w:rsidR="008433A0">
        <w:rPr>
          <w:rFonts w:hint="eastAsia"/>
        </w:rPr>
        <w:t>源于</w:t>
      </w:r>
      <w:r w:rsidR="00585326">
        <w:rPr>
          <w:rFonts w:hint="eastAsia"/>
        </w:rPr>
        <w:t>对预测质量的研究衍生出的分支，</w:t>
      </w:r>
      <w:r w:rsidR="008433A0">
        <w:rPr>
          <w:rFonts w:hint="eastAsia"/>
        </w:rPr>
        <w:t>目前为止尚</w:t>
      </w:r>
      <w:r>
        <w:rPr>
          <w:rFonts w:hint="eastAsia"/>
        </w:rPr>
        <w:t>没有吸引太多学术界的目光，</w:t>
      </w:r>
      <w:r w:rsidR="00585326">
        <w:rPr>
          <w:rFonts w:hint="eastAsia"/>
        </w:rPr>
        <w:t>但是随着研究</w:t>
      </w:r>
      <w:r w:rsidR="00CC2489">
        <w:rPr>
          <w:rFonts w:hint="eastAsia"/>
        </w:rPr>
        <w:t>的</w:t>
      </w:r>
      <w:r w:rsidR="00585326">
        <w:rPr>
          <w:rFonts w:hint="eastAsia"/>
        </w:rPr>
        <w:t>不断深入，</w:t>
      </w:r>
      <w:r w:rsidR="00585326">
        <w:rPr>
          <w:rFonts w:hint="eastAsia"/>
        </w:rPr>
        <w:lastRenderedPageBreak/>
        <w:t>焦点有逐渐向分析师行为模式及动因转变的趋势。当前</w:t>
      </w:r>
      <w:r>
        <w:rPr>
          <w:rFonts w:hint="eastAsia"/>
        </w:rPr>
        <w:t>相对热门的</w:t>
      </w:r>
      <w:r w:rsidR="00585326">
        <w:rPr>
          <w:rFonts w:hint="eastAsia"/>
        </w:rPr>
        <w:t>研究主题</w:t>
      </w:r>
      <w:r>
        <w:rPr>
          <w:rFonts w:hint="eastAsia"/>
        </w:rPr>
        <w:t>集中在分析师跟踪和分析师报告的发布时间上，前者主要探究了分析师进行跟踪时偏好的公司特征，后者的内容与盈余预测则略有重叠，因为预测发布时间也是一个影响预测准确性的重要因素。</w:t>
      </w:r>
    </w:p>
    <w:p w14:paraId="5488FADA" w14:textId="55211CC5" w:rsidR="00980F1D" w:rsidRDefault="00E02060" w:rsidP="00834275">
      <w:pPr>
        <w:pStyle w:val="3"/>
        <w:numPr>
          <w:ilvl w:val="0"/>
          <w:numId w:val="18"/>
        </w:numPr>
        <w:ind w:firstLineChars="0"/>
      </w:pPr>
      <w:bookmarkStart w:id="10" w:name="_Toc509527749"/>
      <w:r>
        <w:rPr>
          <w:rFonts w:hint="eastAsia"/>
        </w:rPr>
        <w:t>分析师跟踪决策</w:t>
      </w:r>
      <w:bookmarkEnd w:id="10"/>
    </w:p>
    <w:p w14:paraId="4089886C" w14:textId="3E2DA9F8" w:rsidR="00AA1221" w:rsidRDefault="00552EA2" w:rsidP="00E02060">
      <w:r>
        <w:rPr>
          <w:rFonts w:hint="eastAsia"/>
        </w:rPr>
        <w:t>在</w:t>
      </w:r>
      <w:r w:rsidR="0020470E">
        <w:rPr>
          <w:rFonts w:hint="eastAsia"/>
        </w:rPr>
        <w:t>早期对分析师预测的优越性进行</w:t>
      </w:r>
      <w:r w:rsidR="00FA7210">
        <w:rPr>
          <w:rFonts w:hint="eastAsia"/>
        </w:rPr>
        <w:t>实证</w:t>
      </w:r>
      <w:r w:rsidR="0020470E">
        <w:rPr>
          <w:rFonts w:hint="eastAsia"/>
        </w:rPr>
        <w:t>研究时，</w:t>
      </w:r>
      <w:r w:rsidR="00FA7210">
        <w:rPr>
          <w:rFonts w:hint="eastAsia"/>
        </w:rPr>
        <w:t>许多研究发现分析师预测相对统计模型的优越性在大公司中表现得更为明显，学者们认为这是因为</w:t>
      </w:r>
      <w:r w:rsidR="00EB65A3">
        <w:rPr>
          <w:rFonts w:hint="eastAsia"/>
        </w:rPr>
        <w:t>分析师</w:t>
      </w:r>
      <w:r w:rsidR="00652C39">
        <w:rPr>
          <w:rFonts w:hint="eastAsia"/>
        </w:rPr>
        <w:t>对大规模的公司</w:t>
      </w:r>
      <w:r w:rsidR="00FA7210">
        <w:rPr>
          <w:rFonts w:hint="eastAsia"/>
        </w:rPr>
        <w:t>存在</w:t>
      </w:r>
      <w:r w:rsidR="00652C39">
        <w:rPr>
          <w:rFonts w:hint="eastAsia"/>
        </w:rPr>
        <w:t>偏好</w:t>
      </w:r>
      <w:r w:rsidR="00FA7210">
        <w:rPr>
          <w:rFonts w:hint="eastAsia"/>
        </w:rPr>
        <w:t>，有更多的分析师对大公司进行跟踪。</w:t>
      </w:r>
      <w:r w:rsidR="00F15A24">
        <w:rPr>
          <w:rFonts w:hint="eastAsia"/>
        </w:rPr>
        <w:t>Bhushan</w:t>
      </w:r>
      <w:r w:rsidR="00F15A24">
        <w:rPr>
          <w:rFonts w:hint="eastAsia"/>
        </w:rPr>
        <w:t>（</w:t>
      </w:r>
      <w:r w:rsidR="00F15A24">
        <w:rPr>
          <w:rFonts w:hint="eastAsia"/>
        </w:rPr>
        <w:t>1989</w:t>
      </w:r>
      <w:r w:rsidR="00F15A24">
        <w:rPr>
          <w:rFonts w:hint="eastAsia"/>
        </w:rPr>
        <w:t>）</w:t>
      </w:r>
      <w:r w:rsidR="00EE48D6">
        <w:rPr>
          <w:rStyle w:val="afb"/>
        </w:rPr>
        <w:t>[</w:t>
      </w:r>
      <w:r w:rsidR="00EE48D6">
        <w:rPr>
          <w:rStyle w:val="afb"/>
        </w:rPr>
        <w:endnoteReference w:id="67"/>
      </w:r>
      <w:r w:rsidR="00EE48D6">
        <w:rPr>
          <w:rStyle w:val="afb"/>
        </w:rPr>
        <w:t>]</w:t>
      </w:r>
      <w:r>
        <w:rPr>
          <w:rFonts w:hint="eastAsia"/>
        </w:rPr>
        <w:t>假定分析师向市场提供了非公开信息，</w:t>
      </w:r>
      <w:r w:rsidR="00FA7210">
        <w:rPr>
          <w:rFonts w:hint="eastAsia"/>
        </w:rPr>
        <w:t>首次</w:t>
      </w:r>
      <w:r w:rsidR="00AA1221">
        <w:rPr>
          <w:rFonts w:hint="eastAsia"/>
        </w:rPr>
        <w:t>从分析师研究服务供求关系的角度</w:t>
      </w:r>
      <w:r w:rsidR="00FA7210">
        <w:rPr>
          <w:rFonts w:hint="eastAsia"/>
        </w:rPr>
        <w:t>对这种论点进行了检验，发现</w:t>
      </w:r>
      <w:r w:rsidR="00AA1221">
        <w:rPr>
          <w:rFonts w:hint="eastAsia"/>
        </w:rPr>
        <w:t>除了</w:t>
      </w:r>
      <w:r w:rsidR="00F15A24">
        <w:rPr>
          <w:rFonts w:hint="eastAsia"/>
        </w:rPr>
        <w:t>公司规模</w:t>
      </w:r>
      <w:r w:rsidR="00AA1221">
        <w:rPr>
          <w:rFonts w:hint="eastAsia"/>
        </w:rPr>
        <w:t>，</w:t>
      </w:r>
      <w:r w:rsidR="00F15A24">
        <w:rPr>
          <w:rFonts w:hint="eastAsia"/>
        </w:rPr>
        <w:t>机构投资者持股比例</w:t>
      </w:r>
      <w:r w:rsidR="00AA1221">
        <w:rPr>
          <w:rFonts w:hint="eastAsia"/>
        </w:rPr>
        <w:t>和</w:t>
      </w:r>
      <w:r w:rsidR="00F15A24">
        <w:rPr>
          <w:rFonts w:hint="eastAsia"/>
        </w:rPr>
        <w:t>回报率的波动性</w:t>
      </w:r>
      <w:r w:rsidR="00AA1221">
        <w:rPr>
          <w:rFonts w:hint="eastAsia"/>
        </w:rPr>
        <w:t>也</w:t>
      </w:r>
      <w:r w:rsidR="00F15A24">
        <w:rPr>
          <w:rFonts w:hint="eastAsia"/>
        </w:rPr>
        <w:t>与分析师</w:t>
      </w:r>
      <w:r w:rsidR="00FA7210">
        <w:rPr>
          <w:rFonts w:hint="eastAsia"/>
        </w:rPr>
        <w:t>跟踪</w:t>
      </w:r>
      <w:r w:rsidR="00F15A24">
        <w:rPr>
          <w:rFonts w:hint="eastAsia"/>
        </w:rPr>
        <w:t>数量</w:t>
      </w:r>
      <w:r w:rsidR="00FA7210">
        <w:rPr>
          <w:rFonts w:hint="eastAsia"/>
        </w:rPr>
        <w:t>显著正相关</w:t>
      </w:r>
      <w:r w:rsidR="00F15A24">
        <w:rPr>
          <w:rFonts w:hint="eastAsia"/>
        </w:rPr>
        <w:t>。</w:t>
      </w:r>
    </w:p>
    <w:p w14:paraId="37E93B0F" w14:textId="3D5009E7" w:rsidR="008A6C61" w:rsidRDefault="00552EA2" w:rsidP="00E02060">
      <w:r>
        <w:rPr>
          <w:rFonts w:hint="eastAsia"/>
        </w:rPr>
        <w:t>与价格水平影响投资者关注度类似，</w:t>
      </w:r>
      <w:r w:rsidR="00F15A24">
        <w:rPr>
          <w:rFonts w:hint="eastAsia"/>
        </w:rPr>
        <w:t>Brennan</w:t>
      </w:r>
      <w:r w:rsidR="00F15A24">
        <w:rPr>
          <w:rFonts w:hint="eastAsia"/>
        </w:rPr>
        <w:t>和</w:t>
      </w:r>
      <w:r w:rsidR="00F15A24">
        <w:rPr>
          <w:rFonts w:hint="eastAsia"/>
        </w:rPr>
        <w:t>Hughes</w:t>
      </w:r>
      <w:r w:rsidR="00F15A24">
        <w:rPr>
          <w:rFonts w:hint="eastAsia"/>
        </w:rPr>
        <w:t>（</w:t>
      </w:r>
      <w:r w:rsidR="00F15A24">
        <w:rPr>
          <w:rFonts w:hint="eastAsia"/>
        </w:rPr>
        <w:t>1991</w:t>
      </w:r>
      <w:r w:rsidR="00F15A24">
        <w:rPr>
          <w:rFonts w:hint="eastAsia"/>
        </w:rPr>
        <w:t>）</w:t>
      </w:r>
      <w:r w:rsidR="00EE48D6">
        <w:rPr>
          <w:rStyle w:val="afb"/>
        </w:rPr>
        <w:t>[</w:t>
      </w:r>
      <w:r w:rsidR="00EE48D6">
        <w:rPr>
          <w:rStyle w:val="afb"/>
        </w:rPr>
        <w:endnoteReference w:id="68"/>
      </w:r>
      <w:r w:rsidR="00EE48D6">
        <w:rPr>
          <w:rStyle w:val="afb"/>
        </w:rPr>
        <w:t>]</w:t>
      </w:r>
      <w:r>
        <w:rPr>
          <w:rFonts w:hint="eastAsia"/>
        </w:rPr>
        <w:t>也</w:t>
      </w:r>
      <w:r w:rsidR="00F15A24">
        <w:rPr>
          <w:rFonts w:hint="eastAsia"/>
        </w:rPr>
        <w:t>发现</w:t>
      </w:r>
      <w:r w:rsidR="00593AE9">
        <w:rPr>
          <w:rFonts w:hint="eastAsia"/>
        </w:rPr>
        <w:t>一些公司的管理层通过股票分割来向分析师传递公司的正面信号，从而</w:t>
      </w:r>
      <w:r w:rsidR="00F15A24">
        <w:rPr>
          <w:rFonts w:hint="eastAsia"/>
        </w:rPr>
        <w:t>吸引更多的分析师。</w:t>
      </w:r>
    </w:p>
    <w:p w14:paraId="461602A0" w14:textId="78AECEFF" w:rsidR="00F15A24" w:rsidRDefault="00652C39" w:rsidP="00E02060">
      <w:r>
        <w:rPr>
          <w:rFonts w:hint="eastAsia"/>
        </w:rPr>
        <w:t>相关信息获取的难易程度也是影响分析师跟踪的一个重要因素</w:t>
      </w:r>
      <w:r w:rsidR="001D1916">
        <w:rPr>
          <w:rFonts w:hint="eastAsia"/>
        </w:rPr>
        <w:t>。</w:t>
      </w:r>
      <w:r w:rsidR="00122DD9">
        <w:rPr>
          <w:rFonts w:hint="eastAsia"/>
        </w:rPr>
        <w:t>当上市公司的信息披露质量较高时，愿意对其进行跟踪的分析师越多（</w:t>
      </w:r>
      <w:r w:rsidR="00E02060" w:rsidRPr="00E02060">
        <w:rPr>
          <w:rFonts w:hint="eastAsia"/>
        </w:rPr>
        <w:t>白晓宇</w:t>
      </w:r>
      <w:r w:rsidR="00122DD9">
        <w:rPr>
          <w:rFonts w:hint="eastAsia"/>
        </w:rPr>
        <w:t>，</w:t>
      </w:r>
      <w:r w:rsidR="00E02060" w:rsidRPr="00E02060">
        <w:rPr>
          <w:rFonts w:hint="eastAsia"/>
        </w:rPr>
        <w:t>2009</w:t>
      </w:r>
      <w:r w:rsidR="00EE48D6">
        <w:rPr>
          <w:rStyle w:val="afb"/>
        </w:rPr>
        <w:t>[</w:t>
      </w:r>
      <w:r w:rsidR="00EE48D6">
        <w:rPr>
          <w:rStyle w:val="afb"/>
        </w:rPr>
        <w:endnoteReference w:id="69"/>
      </w:r>
      <w:r w:rsidR="00EE48D6">
        <w:rPr>
          <w:rStyle w:val="afb"/>
        </w:rPr>
        <w:t>]</w:t>
      </w:r>
      <w:r w:rsidR="00122DD9">
        <w:rPr>
          <w:rFonts w:hint="eastAsia"/>
        </w:rPr>
        <w:t>）</w:t>
      </w:r>
      <w:r w:rsidR="001D1916">
        <w:rPr>
          <w:rFonts w:hint="eastAsia"/>
        </w:rPr>
        <w:t>。</w:t>
      </w:r>
      <w:r w:rsidR="00122DD9">
        <w:rPr>
          <w:rFonts w:hint="eastAsia"/>
        </w:rPr>
        <w:t>当上市公司的多元化水平较高时，由于</w:t>
      </w:r>
      <w:r w:rsidR="00122DD9" w:rsidRPr="00E41C7C">
        <w:t>证券分析师获取公司信息的成本也相应提高，驱使证券分析师放弃</w:t>
      </w:r>
      <w:r w:rsidR="00122DD9">
        <w:rPr>
          <w:rFonts w:hint="eastAsia"/>
        </w:rPr>
        <w:t>跟踪</w:t>
      </w:r>
      <w:r w:rsidR="00122DD9" w:rsidRPr="00E41C7C">
        <w:t>这样的公司</w:t>
      </w:r>
      <w:r w:rsidR="00122DD9">
        <w:rPr>
          <w:rFonts w:hint="eastAsia"/>
        </w:rPr>
        <w:t>，但进行</w:t>
      </w:r>
      <w:r w:rsidR="00122DD9" w:rsidRPr="00E41C7C">
        <w:t>相关多元化的公司由于</w:t>
      </w:r>
      <w:r w:rsidR="00122DD9">
        <w:rPr>
          <w:rFonts w:hint="eastAsia"/>
        </w:rPr>
        <w:t>开展的</w:t>
      </w:r>
      <w:r w:rsidR="00122DD9" w:rsidRPr="00E41C7C">
        <w:t>业务</w:t>
      </w:r>
      <w:r w:rsidR="00122DD9">
        <w:rPr>
          <w:rFonts w:hint="eastAsia"/>
        </w:rPr>
        <w:t>互相联系</w:t>
      </w:r>
      <w:r w:rsidR="00122DD9" w:rsidRPr="00E41C7C">
        <w:t>，</w:t>
      </w:r>
      <w:r w:rsidR="00122DD9">
        <w:rPr>
          <w:rFonts w:hint="eastAsia"/>
        </w:rPr>
        <w:t>因而</w:t>
      </w:r>
      <w:r w:rsidR="00122DD9">
        <w:t>证券分析师获取的信息和应用的技术</w:t>
      </w:r>
      <w:r w:rsidR="00122DD9" w:rsidRPr="00E41C7C">
        <w:t>具有共通性，这会减少证券分析师的成本</w:t>
      </w:r>
      <w:r w:rsidR="00122DD9">
        <w:rPr>
          <w:rFonts w:hint="eastAsia"/>
        </w:rPr>
        <w:t>从而提高其分析师关注度（</w:t>
      </w:r>
      <w:r w:rsidR="00F15A24" w:rsidRPr="00F15A24">
        <w:rPr>
          <w:rFonts w:hint="eastAsia"/>
        </w:rPr>
        <w:t>蔡卫星，曾诚</w:t>
      </w:r>
      <w:r w:rsidR="00122DD9">
        <w:rPr>
          <w:rFonts w:hint="eastAsia"/>
        </w:rPr>
        <w:t>，</w:t>
      </w:r>
      <w:r w:rsidR="00F15A24" w:rsidRPr="00F15A24">
        <w:rPr>
          <w:rFonts w:hint="eastAsia"/>
        </w:rPr>
        <w:t>2010</w:t>
      </w:r>
      <w:r w:rsidR="00EE48D6">
        <w:rPr>
          <w:rStyle w:val="afb"/>
        </w:rPr>
        <w:t>[</w:t>
      </w:r>
      <w:r w:rsidR="00EE48D6">
        <w:rPr>
          <w:rStyle w:val="afb"/>
        </w:rPr>
        <w:endnoteReference w:id="70"/>
      </w:r>
      <w:r w:rsidR="00EE48D6">
        <w:rPr>
          <w:rStyle w:val="afb"/>
        </w:rPr>
        <w:t>]</w:t>
      </w:r>
      <w:r w:rsidR="00122DD9">
        <w:rPr>
          <w:rFonts w:hint="eastAsia"/>
        </w:rPr>
        <w:t>）。</w:t>
      </w:r>
    </w:p>
    <w:p w14:paraId="2D69E008" w14:textId="77777777" w:rsidR="00552EA2" w:rsidRDefault="00552EA2" w:rsidP="00E02060"/>
    <w:p w14:paraId="467E3F9F" w14:textId="7A9E57FE" w:rsidR="00E02060" w:rsidRDefault="00E02060" w:rsidP="00E02060">
      <w:pPr>
        <w:pStyle w:val="3"/>
      </w:pPr>
      <w:bookmarkStart w:id="11" w:name="_Toc509527750"/>
      <w:r>
        <w:rPr>
          <w:rFonts w:hint="eastAsia"/>
        </w:rPr>
        <w:t>分析师</w:t>
      </w:r>
      <w:r w:rsidR="006801CC">
        <w:rPr>
          <w:rFonts w:hint="eastAsia"/>
        </w:rPr>
        <w:t>时间</w:t>
      </w:r>
      <w:r>
        <w:rPr>
          <w:rFonts w:hint="eastAsia"/>
        </w:rPr>
        <w:t>决策</w:t>
      </w:r>
      <w:bookmarkEnd w:id="11"/>
    </w:p>
    <w:p w14:paraId="75713BAB" w14:textId="4A2487A3" w:rsidR="00AC5CBE" w:rsidRDefault="00552EA2" w:rsidP="00AC5CBE">
      <w:r>
        <w:rPr>
          <w:rFonts w:hint="eastAsia"/>
        </w:rPr>
        <w:t>同样的，许多关于分析师预测质量的研究</w:t>
      </w:r>
      <w:r w:rsidR="00EA180B">
        <w:rPr>
          <w:rFonts w:hint="eastAsia"/>
        </w:rPr>
        <w:t>发现</w:t>
      </w:r>
      <w:r>
        <w:rPr>
          <w:rFonts w:hint="eastAsia"/>
        </w:rPr>
        <w:t>随着时间推移，分析师预测的准确性也逐渐提高</w:t>
      </w:r>
      <w:r w:rsidR="00EA180B">
        <w:rPr>
          <w:rFonts w:hint="eastAsia"/>
        </w:rPr>
        <w:t>，分析师预测的优势源于分析师能够使用最新的信息，预测发布越晚，则可用的信息越多</w:t>
      </w:r>
      <w:r>
        <w:rPr>
          <w:rFonts w:hint="eastAsia"/>
        </w:rPr>
        <w:t>（</w:t>
      </w:r>
      <w:r w:rsidR="006801CC">
        <w:rPr>
          <w:rFonts w:hint="eastAsia"/>
        </w:rPr>
        <w:t>Brown</w:t>
      </w:r>
      <w:r w:rsidR="006801CC">
        <w:rPr>
          <w:rFonts w:hint="eastAsia"/>
        </w:rPr>
        <w:t>等</w:t>
      </w:r>
      <w:r w:rsidR="00EA180B">
        <w:rPr>
          <w:rFonts w:hint="eastAsia"/>
        </w:rPr>
        <w:t>，</w:t>
      </w:r>
      <w:r w:rsidR="006801CC">
        <w:rPr>
          <w:rFonts w:hint="eastAsia"/>
        </w:rPr>
        <w:t>1987</w:t>
      </w:r>
      <w:r w:rsidR="00EE48D6">
        <w:rPr>
          <w:rStyle w:val="afb"/>
        </w:rPr>
        <w:t>[</w:t>
      </w:r>
      <w:r w:rsidR="00EE48D6">
        <w:rPr>
          <w:rStyle w:val="afb"/>
        </w:rPr>
        <w:endnoteReference w:id="71"/>
      </w:r>
      <w:r w:rsidR="00EE48D6">
        <w:rPr>
          <w:rStyle w:val="afb"/>
        </w:rPr>
        <w:t>]</w:t>
      </w:r>
      <w:r w:rsidR="00EA180B">
        <w:rPr>
          <w:rFonts w:hint="eastAsia"/>
        </w:rPr>
        <w:t>）</w:t>
      </w:r>
      <w:r w:rsidR="004D0423">
        <w:rPr>
          <w:rFonts w:hint="eastAsia"/>
        </w:rPr>
        <w:t>，</w:t>
      </w:r>
      <w:r w:rsidR="004D0423">
        <w:t>C</w:t>
      </w:r>
      <w:r w:rsidR="004D0423">
        <w:rPr>
          <w:rFonts w:hint="eastAsia"/>
        </w:rPr>
        <w:t>ooper</w:t>
      </w:r>
      <w:r w:rsidR="004D0423">
        <w:rPr>
          <w:rFonts w:hint="eastAsia"/>
        </w:rPr>
        <w:t>等（</w:t>
      </w:r>
      <w:r w:rsidR="004D0423">
        <w:rPr>
          <w:rFonts w:hint="eastAsia"/>
        </w:rPr>
        <w:t>2001</w:t>
      </w:r>
      <w:r w:rsidR="004D0423">
        <w:rPr>
          <w:rFonts w:hint="eastAsia"/>
        </w:rPr>
        <w:t>）</w:t>
      </w:r>
      <w:r w:rsidR="00EE48D6">
        <w:rPr>
          <w:rStyle w:val="afb"/>
        </w:rPr>
        <w:t>[</w:t>
      </w:r>
      <w:r w:rsidR="00EE48D6">
        <w:rPr>
          <w:rStyle w:val="afb"/>
        </w:rPr>
        <w:endnoteReference w:id="72"/>
      </w:r>
      <w:r w:rsidR="00EE48D6">
        <w:rPr>
          <w:rStyle w:val="afb"/>
        </w:rPr>
        <w:t>]</w:t>
      </w:r>
      <w:r w:rsidR="004D0423">
        <w:rPr>
          <w:rFonts w:hint="eastAsia"/>
        </w:rPr>
        <w:t>基于报告发布的及时性对分析师进行绩效排名，发现领先发布预测的分析师对股价的影响更大，侧面印证了市场对于分析师发布预测的领先度给予一定程度的定价。</w:t>
      </w:r>
      <w:r w:rsidR="00EA180B">
        <w:rPr>
          <w:rFonts w:hint="eastAsia"/>
        </w:rPr>
        <w:t>这</w:t>
      </w:r>
      <w:r w:rsidR="004D0423">
        <w:rPr>
          <w:rFonts w:hint="eastAsia"/>
        </w:rPr>
        <w:t>些</w:t>
      </w:r>
      <w:r w:rsidR="00EA180B">
        <w:rPr>
          <w:rFonts w:hint="eastAsia"/>
        </w:rPr>
        <w:t>结论是推动其他学者对分析师预测时间模式进行研究的主要动因。</w:t>
      </w:r>
    </w:p>
    <w:p w14:paraId="37B82AFD" w14:textId="6B2633A6" w:rsidR="00F32423" w:rsidRDefault="00C55AF4" w:rsidP="00F32423">
      <w:r w:rsidRPr="00C55AF4">
        <w:rPr>
          <w:rFonts w:hint="eastAsia"/>
        </w:rPr>
        <w:t>考虑到分析师提供的信息与公司财务报告之间的关系，</w:t>
      </w:r>
      <w:r w:rsidR="00F32423" w:rsidRPr="00C55AF4">
        <w:rPr>
          <w:rFonts w:hint="eastAsia"/>
        </w:rPr>
        <w:t>为了探究分析师价值</w:t>
      </w:r>
      <w:r w:rsidR="00F32423" w:rsidRPr="00C55AF4">
        <w:rPr>
          <w:rFonts w:hint="eastAsia"/>
        </w:rPr>
        <w:lastRenderedPageBreak/>
        <w:t>的来源，</w:t>
      </w:r>
      <w:r w:rsidR="00F32423" w:rsidRPr="00C55AF4">
        <w:t>I</w:t>
      </w:r>
      <w:r w:rsidR="00F32423" w:rsidRPr="00C55AF4">
        <w:rPr>
          <w:rFonts w:hint="eastAsia"/>
        </w:rPr>
        <w:t>vkovic</w:t>
      </w:r>
      <w:r w:rsidR="00F32423" w:rsidRPr="00C55AF4">
        <w:rPr>
          <w:rFonts w:hint="eastAsia"/>
        </w:rPr>
        <w:t>和</w:t>
      </w:r>
      <w:r w:rsidR="00F32423" w:rsidRPr="00C55AF4">
        <w:rPr>
          <w:rFonts w:hint="eastAsia"/>
        </w:rPr>
        <w:t>Jegadeesh</w:t>
      </w:r>
      <w:r w:rsidR="00F32423" w:rsidRPr="00C55AF4">
        <w:rPr>
          <w:rFonts w:hint="eastAsia"/>
        </w:rPr>
        <w:t>（</w:t>
      </w:r>
      <w:r w:rsidR="00F32423" w:rsidRPr="00C55AF4">
        <w:rPr>
          <w:rFonts w:hint="eastAsia"/>
        </w:rPr>
        <w:t>2004</w:t>
      </w:r>
      <w:r w:rsidR="00F32423" w:rsidRPr="00C55AF4">
        <w:rPr>
          <w:rFonts w:hint="eastAsia"/>
        </w:rPr>
        <w:t>）</w:t>
      </w:r>
      <w:r w:rsidR="00EE48D6">
        <w:rPr>
          <w:rStyle w:val="afb"/>
        </w:rPr>
        <w:t>[</w:t>
      </w:r>
      <w:r w:rsidR="00EE48D6" w:rsidRPr="00C55AF4">
        <w:rPr>
          <w:rStyle w:val="afb"/>
        </w:rPr>
        <w:endnoteReference w:id="73"/>
      </w:r>
      <w:r w:rsidR="00EE48D6">
        <w:rPr>
          <w:rStyle w:val="afb"/>
        </w:rPr>
        <w:t>]</w:t>
      </w:r>
      <w:r w:rsidR="00F32423" w:rsidRPr="00C55AF4">
        <w:rPr>
          <w:rFonts w:hint="eastAsia"/>
        </w:rPr>
        <w:t>按照分析师预测修正相对于公司季度财务报告发布的时间，将每个季度的分析师预测修正样本分为</w:t>
      </w:r>
      <w:r w:rsidR="00F32423" w:rsidRPr="00C55AF4">
        <w:rPr>
          <w:rFonts w:hint="eastAsia"/>
        </w:rPr>
        <w:t>14</w:t>
      </w:r>
      <w:r w:rsidR="00F32423" w:rsidRPr="00C55AF4">
        <w:rPr>
          <w:rFonts w:hint="eastAsia"/>
        </w:rPr>
        <w:t>组，发现股价对在季度报告发布后</w:t>
      </w:r>
      <w:r w:rsidR="00F32423" w:rsidRPr="00C55AF4">
        <w:rPr>
          <w:rFonts w:hint="eastAsia"/>
        </w:rPr>
        <w:t>2</w:t>
      </w:r>
      <w:r w:rsidR="00F32423" w:rsidRPr="00C55AF4">
        <w:rPr>
          <w:rFonts w:hint="eastAsia"/>
        </w:rPr>
        <w:t>至</w:t>
      </w:r>
      <w:r w:rsidR="00F32423" w:rsidRPr="00C55AF4">
        <w:rPr>
          <w:rFonts w:hint="eastAsia"/>
        </w:rPr>
        <w:t>6</w:t>
      </w:r>
      <w:r w:rsidR="00F32423" w:rsidRPr="00C55AF4">
        <w:rPr>
          <w:rFonts w:hint="eastAsia"/>
        </w:rPr>
        <w:t>个交易日内分析师的修正行为几乎没有反应，他们认为这可能意味着分析师对于财务报告的解读能力并没有强于市场，但其在收集和处理信息方面仍然提供了价值。</w:t>
      </w:r>
      <w:r w:rsidR="00325A36">
        <w:rPr>
          <w:rFonts w:hint="eastAsia"/>
        </w:rPr>
        <w:t>而薛祖云和王冲（</w:t>
      </w:r>
      <w:r w:rsidR="00325A36">
        <w:rPr>
          <w:rFonts w:hint="eastAsia"/>
        </w:rPr>
        <w:t>2011</w:t>
      </w:r>
      <w:r w:rsidR="00325A36">
        <w:rPr>
          <w:rFonts w:hint="eastAsia"/>
        </w:rPr>
        <w:t>）</w:t>
      </w:r>
      <w:r w:rsidR="00EE48D6">
        <w:rPr>
          <w:rStyle w:val="afb"/>
        </w:rPr>
        <w:t>[</w:t>
      </w:r>
      <w:r w:rsidR="00EE48D6">
        <w:rPr>
          <w:rStyle w:val="afb"/>
        </w:rPr>
        <w:endnoteReference w:id="74"/>
      </w:r>
      <w:r w:rsidR="00EE48D6">
        <w:rPr>
          <w:rStyle w:val="afb"/>
        </w:rPr>
        <w:t>]</w:t>
      </w:r>
      <w:r w:rsidR="00325A36">
        <w:rPr>
          <w:rFonts w:hint="eastAsia"/>
        </w:rPr>
        <w:t>认为分析师的行为模式在公司的财务报告发布前后存在差异，分析师倾向于选择在公司财务报告公布前向市场披露尚未披露的信息，而在公司财务报告公布后对报告进行解读。</w:t>
      </w:r>
    </w:p>
    <w:p w14:paraId="5A360CA5" w14:textId="49F17E7A" w:rsidR="00C773C7" w:rsidRDefault="00C773C7" w:rsidP="00F32423">
      <w:r>
        <w:rPr>
          <w:rFonts w:hint="eastAsia"/>
        </w:rPr>
        <w:t>在</w:t>
      </w:r>
      <w:r>
        <w:rPr>
          <w:rFonts w:hint="eastAsia"/>
        </w:rPr>
        <w:t>Guttman</w:t>
      </w:r>
      <w:r>
        <w:rPr>
          <w:rFonts w:hint="eastAsia"/>
        </w:rPr>
        <w:t>（</w:t>
      </w:r>
      <w:r>
        <w:rPr>
          <w:rFonts w:hint="eastAsia"/>
        </w:rPr>
        <w:t>2010</w:t>
      </w:r>
      <w:r>
        <w:rPr>
          <w:rFonts w:hint="eastAsia"/>
        </w:rPr>
        <w:t>）</w:t>
      </w:r>
      <w:r w:rsidR="00EE48D6">
        <w:rPr>
          <w:rStyle w:val="afb"/>
        </w:rPr>
        <w:t>[</w:t>
      </w:r>
      <w:r w:rsidR="00EE48D6">
        <w:rPr>
          <w:rStyle w:val="afb"/>
        </w:rPr>
        <w:endnoteReference w:id="75"/>
      </w:r>
      <w:r w:rsidR="00EE48D6">
        <w:rPr>
          <w:rStyle w:val="afb"/>
        </w:rPr>
        <w:t>]</w:t>
      </w:r>
      <w:r>
        <w:rPr>
          <w:rFonts w:hint="eastAsia"/>
        </w:rPr>
        <w:t>的理论模型中，引入了两位分析师的时间博弈，他们各自拥有公共信息和一部分非公开信息，市场中的知情交易者从分析师处获得私人信息并据此交易后，这部分非公开信息即被包含在价格当中，非公开信息越精确（价值越大），则知情交易者购买非公开信息的意愿越强烈，但是过早发布报告可能导致分析师遗漏过多更晚出现的信息，从而导致预测质量的低下，损害分析师及任职券商的声誉，因此分析师需要权衡预测的及时性和精确性，以最大化其收益。</w:t>
      </w:r>
    </w:p>
    <w:p w14:paraId="54D2AAB9" w14:textId="470A30BD" w:rsidR="00EA180B" w:rsidRDefault="00FF1E9A" w:rsidP="00AC5CBE">
      <w:r>
        <w:rPr>
          <w:rFonts w:hint="eastAsia"/>
        </w:rPr>
        <w:t>结合羊群行为的领先</w:t>
      </w:r>
      <w:r>
        <w:rPr>
          <w:rFonts w:hint="eastAsia"/>
        </w:rPr>
        <w:t>-</w:t>
      </w:r>
      <w:r>
        <w:rPr>
          <w:rFonts w:hint="eastAsia"/>
        </w:rPr>
        <w:t>跟随模式，董大勇等（</w:t>
      </w:r>
      <w:r>
        <w:rPr>
          <w:rFonts w:hint="eastAsia"/>
        </w:rPr>
        <w:t>2012</w:t>
      </w:r>
      <w:r>
        <w:rPr>
          <w:rFonts w:hint="eastAsia"/>
        </w:rPr>
        <w:t>）</w:t>
      </w:r>
      <w:r w:rsidR="00EE48D6">
        <w:rPr>
          <w:rStyle w:val="afb"/>
        </w:rPr>
        <w:t>[</w:t>
      </w:r>
      <w:r w:rsidR="00EE48D6">
        <w:rPr>
          <w:rStyle w:val="afb"/>
        </w:rPr>
        <w:endnoteReference w:id="76"/>
      </w:r>
      <w:r w:rsidR="00EE48D6">
        <w:rPr>
          <w:rStyle w:val="afb"/>
        </w:rPr>
        <w:t>]</w:t>
      </w:r>
      <w:r>
        <w:rPr>
          <w:rFonts w:hint="eastAsia"/>
        </w:rPr>
        <w:t>使用中国</w:t>
      </w:r>
      <w:r>
        <w:rPr>
          <w:rFonts w:hint="eastAsia"/>
        </w:rPr>
        <w:t>A</w:t>
      </w:r>
      <w:r>
        <w:rPr>
          <w:rFonts w:hint="eastAsia"/>
        </w:rPr>
        <w:t>股市场的数据，发现分析师经验、分析师竞争程度</w:t>
      </w:r>
      <w:r w:rsidR="00F32423">
        <w:rPr>
          <w:rFonts w:hint="eastAsia"/>
        </w:rPr>
        <w:t>与盈余预测发布的领先度正相关，而分析师声誉则与领先度负相关，同时分析师给出评级与一致评级的差异对发布领先度综合具有风险效应和竞争机会效应，前者促使分析师推迟发布预测，后者则鼓励分析师领先发布预测</w:t>
      </w:r>
      <w:r>
        <w:rPr>
          <w:rFonts w:hint="eastAsia"/>
        </w:rPr>
        <w:t>。</w:t>
      </w:r>
      <w:r w:rsidR="00EA180B">
        <w:t>B</w:t>
      </w:r>
      <w:r w:rsidR="00EA180B">
        <w:rPr>
          <w:rFonts w:hint="eastAsia"/>
        </w:rPr>
        <w:t>arron</w:t>
      </w:r>
      <w:r w:rsidR="00EA180B">
        <w:rPr>
          <w:rFonts w:hint="eastAsia"/>
        </w:rPr>
        <w:t>等（</w:t>
      </w:r>
      <w:r w:rsidR="00EA180B">
        <w:rPr>
          <w:rFonts w:hint="eastAsia"/>
        </w:rPr>
        <w:t>2013</w:t>
      </w:r>
      <w:r w:rsidR="00EA180B">
        <w:rPr>
          <w:rFonts w:hint="eastAsia"/>
        </w:rPr>
        <w:t>）</w:t>
      </w:r>
      <w:r w:rsidR="00EE48D6">
        <w:rPr>
          <w:rStyle w:val="afb"/>
        </w:rPr>
        <w:t>[</w:t>
      </w:r>
      <w:r w:rsidR="00EE48D6">
        <w:rPr>
          <w:rStyle w:val="afb"/>
        </w:rPr>
        <w:endnoteReference w:id="77"/>
      </w:r>
      <w:r w:rsidR="00EE48D6">
        <w:rPr>
          <w:rStyle w:val="afb"/>
        </w:rPr>
        <w:t>]</w:t>
      </w:r>
      <w:r w:rsidR="00C55AF4">
        <w:rPr>
          <w:rFonts w:hint="eastAsia"/>
        </w:rPr>
        <w:t>观察到，</w:t>
      </w:r>
      <w:r w:rsidR="00827D5C">
        <w:rPr>
          <w:rFonts w:hint="eastAsia"/>
        </w:rPr>
        <w:t>如果分析师的观点比同行更加</w:t>
      </w:r>
      <w:r w:rsidR="00C55AF4">
        <w:rPr>
          <w:rFonts w:hint="eastAsia"/>
        </w:rPr>
        <w:t>悲观，此时分析师</w:t>
      </w:r>
      <w:r w:rsidR="00827D5C">
        <w:rPr>
          <w:rFonts w:hint="eastAsia"/>
        </w:rPr>
        <w:t>倾向于推迟发布自己的盈余预测，</w:t>
      </w:r>
      <w:r w:rsidR="00C55AF4">
        <w:rPr>
          <w:rFonts w:hint="eastAsia"/>
        </w:rPr>
        <w:t>这一风险效应机制可以解释为什么</w:t>
      </w:r>
      <w:r w:rsidR="00827D5C">
        <w:rPr>
          <w:rFonts w:hint="eastAsia"/>
        </w:rPr>
        <w:t>分析师一致预测</w:t>
      </w:r>
      <w:r>
        <w:rPr>
          <w:rFonts w:hint="eastAsia"/>
        </w:rPr>
        <w:t>的乐观偏差</w:t>
      </w:r>
      <w:r w:rsidR="00C55AF4">
        <w:rPr>
          <w:rFonts w:hint="eastAsia"/>
        </w:rPr>
        <w:t>会</w:t>
      </w:r>
      <w:r>
        <w:rPr>
          <w:rFonts w:hint="eastAsia"/>
        </w:rPr>
        <w:t>随时间推移而下降。</w:t>
      </w:r>
    </w:p>
    <w:p w14:paraId="7F63527C" w14:textId="1F7E653D" w:rsidR="00FF1E9A" w:rsidRDefault="00FF1E9A" w:rsidP="00AC5CBE">
      <w:r>
        <w:t>R</w:t>
      </w:r>
      <w:r>
        <w:rPr>
          <w:rFonts w:hint="eastAsia"/>
        </w:rPr>
        <w:t>ees</w:t>
      </w:r>
      <w:r>
        <w:rPr>
          <w:rFonts w:hint="eastAsia"/>
        </w:rPr>
        <w:t>等（</w:t>
      </w:r>
      <w:r>
        <w:rPr>
          <w:rFonts w:hint="eastAsia"/>
        </w:rPr>
        <w:t>2017</w:t>
      </w:r>
      <w:r>
        <w:rPr>
          <w:rFonts w:hint="eastAsia"/>
        </w:rPr>
        <w:t>）</w:t>
      </w:r>
      <w:r w:rsidR="00F32423">
        <w:rPr>
          <w:rFonts w:hint="eastAsia"/>
        </w:rPr>
        <w:t>将分析师</w:t>
      </w:r>
      <w:r w:rsidR="00193EF7">
        <w:rPr>
          <w:rFonts w:hint="eastAsia"/>
        </w:rPr>
        <w:t>的</w:t>
      </w:r>
      <w:r w:rsidR="00F32423">
        <w:rPr>
          <w:rFonts w:hint="eastAsia"/>
        </w:rPr>
        <w:t>利益冲突纳入分析框架，发现当分析师想下调评级时，为了降低对管理层关系的影响，分析师倾向于“悄悄地”在周末</w:t>
      </w:r>
      <w:r w:rsidR="00C55AF4">
        <w:rPr>
          <w:rFonts w:hint="eastAsia"/>
        </w:rPr>
        <w:t>发布报告</w:t>
      </w:r>
      <w:r w:rsidR="00F32423">
        <w:rPr>
          <w:rFonts w:hint="eastAsia"/>
        </w:rPr>
        <w:t>，因为此时的投资者和媒体关注度更低。</w:t>
      </w:r>
    </w:p>
    <w:p w14:paraId="4EFE9047" w14:textId="16F1D9B3" w:rsidR="00193EF7" w:rsidRDefault="00193EF7" w:rsidP="00AC5CBE"/>
    <w:p w14:paraId="57395CB3" w14:textId="18B6B5E1" w:rsidR="00193EF7" w:rsidRDefault="003770C1" w:rsidP="003770C1">
      <w:pPr>
        <w:pStyle w:val="2"/>
      </w:pPr>
      <w:r>
        <w:rPr>
          <w:rFonts w:hint="eastAsia"/>
        </w:rPr>
        <w:t>文献评述</w:t>
      </w:r>
    </w:p>
    <w:p w14:paraId="0F7FE28E" w14:textId="77777777" w:rsidR="0020321F" w:rsidRDefault="003770C1" w:rsidP="00193EF7">
      <w:r>
        <w:rPr>
          <w:rFonts w:hint="eastAsia"/>
        </w:rPr>
        <w:t>总体来看，已有的证券分析师相关文献大量着眼于分析师预测的准确性，并在这一领域得到了许多</w:t>
      </w:r>
      <w:r w:rsidR="0020321F">
        <w:rPr>
          <w:rFonts w:hint="eastAsia"/>
        </w:rPr>
        <w:t>富有理论意义和实践意义的结论，对证券分析师行业的发</w:t>
      </w:r>
      <w:r w:rsidR="0020321F">
        <w:rPr>
          <w:rFonts w:hint="eastAsia"/>
        </w:rPr>
        <w:lastRenderedPageBreak/>
        <w:t>展和监管具有一定的指导意义。但在一些问题上，例如分析师的研究是否真正具有投资价值仍然没有定论，同时我国作为新兴市场，发育程度与国外的发达资本市场仍有差距，许多结论在中国并不适用，甚至与国外的研究有着相反的结果。</w:t>
      </w:r>
    </w:p>
    <w:p w14:paraId="5216CA50" w14:textId="32E79EFA" w:rsidR="00193EF7" w:rsidRDefault="0020321F" w:rsidP="00193EF7">
      <w:pPr>
        <w:rPr>
          <w:rFonts w:hint="eastAsia"/>
        </w:rPr>
      </w:pPr>
      <w:r>
        <w:rPr>
          <w:rFonts w:hint="eastAsia"/>
        </w:rPr>
        <w:t>而随着研究文献的丰富以及行为金融理论的发展，学界才逐渐开始将目光从分析师产出的结果转向分析师产出的过程，对这一群体及其行为模式进行更加深层次的探究。因此，本文也希望从一个更加动态和前瞻的角度出发，对分析师研究报告背后的发布行为进行一些探索。</w:t>
      </w:r>
    </w:p>
    <w:p w14:paraId="320245C6" w14:textId="77777777" w:rsidR="004840EE" w:rsidRDefault="004840EE"/>
    <w:p w14:paraId="1C3B7C52" w14:textId="77777777" w:rsidR="00244D8A" w:rsidRPr="00193EF7" w:rsidRDefault="00244D8A">
      <w:pPr>
        <w:sectPr w:rsidR="00244D8A" w:rsidRPr="00193EF7">
          <w:headerReference w:type="default" r:id="rId26"/>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311D22E4" w14:textId="77777777" w:rsidR="00244D8A" w:rsidRDefault="002E10FD" w:rsidP="00244D8A">
      <w:pPr>
        <w:pStyle w:val="1"/>
      </w:pPr>
      <w:bookmarkStart w:id="12" w:name="_Toc509527751"/>
      <w:r>
        <w:rPr>
          <w:rFonts w:hint="eastAsia"/>
        </w:rPr>
        <w:lastRenderedPageBreak/>
        <w:t>证券分析师择时行为的实证</w:t>
      </w:r>
      <w:r w:rsidR="00244D8A">
        <w:rPr>
          <w:rFonts w:hint="eastAsia"/>
        </w:rPr>
        <w:t>研究</w:t>
      </w:r>
      <w:bookmarkEnd w:id="12"/>
    </w:p>
    <w:p w14:paraId="45D05B25" w14:textId="77777777" w:rsidR="00C51E79" w:rsidRDefault="00C51E79" w:rsidP="00DC67E7">
      <w:pPr>
        <w:pStyle w:val="2"/>
        <w:numPr>
          <w:ilvl w:val="0"/>
          <w:numId w:val="6"/>
        </w:numPr>
      </w:pPr>
      <w:bookmarkStart w:id="13" w:name="_Toc509527752"/>
      <w:r>
        <w:rPr>
          <w:rFonts w:hint="eastAsia"/>
        </w:rPr>
        <w:t>理论分析与研究假设</w:t>
      </w:r>
      <w:bookmarkEnd w:id="13"/>
    </w:p>
    <w:p w14:paraId="6E945CAD" w14:textId="04F43521" w:rsidR="00FE5B99" w:rsidRDefault="00865B7A" w:rsidP="009C2F61">
      <w:r>
        <w:rPr>
          <w:rFonts w:hint="eastAsia"/>
        </w:rPr>
        <w:t>尽管证券分析师的相关研究已经非常丰富，但极少有文献关注分析师预测行为的时间特征，大多数文献都假定分析师盈利预测的顺序和时间是外生决定的</w:t>
      </w:r>
      <w:r w:rsidR="009C2F61">
        <w:rPr>
          <w:rFonts w:hint="eastAsia"/>
        </w:rPr>
        <w:t>，</w:t>
      </w:r>
      <w:r w:rsidR="00FE5B99">
        <w:rPr>
          <w:rFonts w:hint="eastAsia"/>
        </w:rPr>
        <w:t>这一假设自有其合理性，因为从整体看来，分析师的报告发布似乎呈现出明显的周期性。</w:t>
      </w:r>
      <w:r w:rsidR="004B3EA1">
        <w:fldChar w:fldCharType="begin"/>
      </w:r>
      <w:r w:rsidR="004B3EA1">
        <w:instrText xml:space="preserve"> </w:instrText>
      </w:r>
      <w:r w:rsidR="004B3EA1">
        <w:rPr>
          <w:rFonts w:hint="eastAsia"/>
        </w:rPr>
        <w:instrText>REF _Ref509091037 \h</w:instrText>
      </w:r>
      <w:r w:rsidR="004B3EA1">
        <w:instrText xml:space="preserve"> </w:instrText>
      </w:r>
      <w:r w:rsidR="004B3EA1">
        <w:fldChar w:fldCharType="separate"/>
      </w:r>
      <w:r w:rsidR="00A17E1F">
        <w:rPr>
          <w:rFonts w:hint="eastAsia"/>
        </w:rPr>
        <w:t>图</w:t>
      </w:r>
      <w:r w:rsidR="00A17E1F">
        <w:rPr>
          <w:noProof/>
        </w:rPr>
        <w:t>1</w:t>
      </w:r>
      <w:r w:rsidR="004B3EA1">
        <w:fldChar w:fldCharType="end"/>
      </w:r>
      <w:r w:rsidR="00FE5B99">
        <w:rPr>
          <w:rFonts w:hint="eastAsia"/>
        </w:rPr>
        <w:t>是基于从</w:t>
      </w:r>
      <w:r w:rsidR="00FE5B99">
        <w:rPr>
          <w:rFonts w:hint="eastAsia"/>
        </w:rPr>
        <w:t>RESSET</w:t>
      </w:r>
      <w:r w:rsidR="00FE5B99">
        <w:rPr>
          <w:rFonts w:hint="eastAsia"/>
        </w:rPr>
        <w:t>数据库获取的</w:t>
      </w:r>
      <w:r w:rsidR="00FE5B99">
        <w:rPr>
          <w:rFonts w:hint="eastAsia"/>
        </w:rPr>
        <w:t>2009</w:t>
      </w:r>
      <w:r w:rsidR="00FE5B99">
        <w:rPr>
          <w:rFonts w:hint="eastAsia"/>
        </w:rPr>
        <w:t>年至</w:t>
      </w:r>
      <w:r w:rsidR="00FE5B99">
        <w:rPr>
          <w:rFonts w:hint="eastAsia"/>
        </w:rPr>
        <w:t>2017</w:t>
      </w:r>
      <w:r w:rsidR="00711871">
        <w:rPr>
          <w:rFonts w:hint="eastAsia"/>
        </w:rPr>
        <w:t>年所有的公司研究报告数据</w:t>
      </w:r>
      <w:r w:rsidR="00FE5B99">
        <w:rPr>
          <w:rFonts w:hint="eastAsia"/>
        </w:rPr>
        <w:t>绘制的月度研究报告发布数量，</w:t>
      </w:r>
      <w:r w:rsidR="00711871">
        <w:rPr>
          <w:rFonts w:hint="eastAsia"/>
        </w:rPr>
        <w:t>共</w:t>
      </w:r>
      <w:r w:rsidR="00711871">
        <w:rPr>
          <w:rFonts w:hint="eastAsia"/>
        </w:rPr>
        <w:t>269,623</w:t>
      </w:r>
      <w:r w:rsidR="00711871">
        <w:rPr>
          <w:rFonts w:hint="eastAsia"/>
        </w:rPr>
        <w:t>份</w:t>
      </w:r>
      <w:r w:rsidR="00F86537">
        <w:rPr>
          <w:rFonts w:hint="eastAsia"/>
        </w:rPr>
        <w:t>报告</w:t>
      </w:r>
      <w:r w:rsidR="00711871">
        <w:rPr>
          <w:rFonts w:hint="eastAsia"/>
        </w:rPr>
        <w:t>。</w:t>
      </w:r>
      <w:r w:rsidR="00FE5B99">
        <w:rPr>
          <w:rFonts w:hint="eastAsia"/>
        </w:rPr>
        <w:t>可以看到，</w:t>
      </w:r>
      <w:r w:rsidR="00435C9E" w:rsidRPr="00435C9E">
        <w:rPr>
          <w:rFonts w:hint="eastAsia"/>
        </w:rPr>
        <w:t>每年的三四月份是公司披露年度财务报告的高峰期，相应地，八月、十月分别是半年度财务报告、三季度财务报告</w:t>
      </w:r>
      <w:r w:rsidR="00435C9E">
        <w:rPr>
          <w:rFonts w:hint="eastAsia"/>
        </w:rPr>
        <w:t>的</w:t>
      </w:r>
      <w:r w:rsidR="00435C9E" w:rsidRPr="00435C9E">
        <w:rPr>
          <w:rFonts w:hint="eastAsia"/>
        </w:rPr>
        <w:t>披露期，而证券分析师报告的发布</w:t>
      </w:r>
      <w:r w:rsidR="00F86537">
        <w:rPr>
          <w:rFonts w:hint="eastAsia"/>
        </w:rPr>
        <w:t>数量</w:t>
      </w:r>
      <w:r w:rsidR="00435C9E" w:rsidRPr="00435C9E">
        <w:rPr>
          <w:rFonts w:hint="eastAsia"/>
        </w:rPr>
        <w:t>在这些月份中也达到峰值。</w:t>
      </w:r>
    </w:p>
    <w:p w14:paraId="27A6E15F" w14:textId="77777777" w:rsidR="00A74116" w:rsidRDefault="00A74116" w:rsidP="009C2F61">
      <w:pPr>
        <w:rPr>
          <w:rFonts w:hint="eastAsia"/>
        </w:rPr>
      </w:pPr>
    </w:p>
    <w:p w14:paraId="38232B2C" w14:textId="77777777" w:rsidR="004B3EA1" w:rsidRDefault="00211741" w:rsidP="004B3EA1">
      <w:pPr>
        <w:keepNext/>
        <w:ind w:firstLineChars="0" w:firstLine="0"/>
        <w:jc w:val="center"/>
      </w:pPr>
      <w:r w:rsidRPr="00211741">
        <w:rPr>
          <w:rFonts w:hint="eastAsia"/>
          <w:noProof/>
        </w:rPr>
        <w:drawing>
          <wp:inline distT="0" distB="0" distL="0" distR="0" wp14:anchorId="07EA2F5E" wp14:editId="47A7A829">
            <wp:extent cx="5274310" cy="266725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3B173882" w14:textId="1E0C406C" w:rsidR="00FE5B99" w:rsidRDefault="004B3EA1" w:rsidP="004B3EA1">
      <w:pPr>
        <w:pStyle w:val="ad"/>
      </w:pPr>
      <w:bookmarkStart w:id="14" w:name="_Ref50909103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1</w:t>
      </w:r>
      <w:r>
        <w:fldChar w:fldCharType="end"/>
      </w:r>
      <w:bookmarkEnd w:id="14"/>
      <w:r>
        <w:t xml:space="preserve"> </w:t>
      </w:r>
      <w:r>
        <w:rPr>
          <w:rFonts w:hint="eastAsia"/>
        </w:rPr>
        <w:t>2009-2017</w:t>
      </w:r>
      <w:r>
        <w:rPr>
          <w:rFonts w:hint="eastAsia"/>
        </w:rPr>
        <w:t>年全部公司研究报告的时间分布</w:t>
      </w:r>
    </w:p>
    <w:p w14:paraId="2762495D" w14:textId="77777777" w:rsidR="00C773C7" w:rsidRDefault="00C773C7" w:rsidP="009C2F61"/>
    <w:p w14:paraId="2505F6C7" w14:textId="5A7AE797" w:rsidR="00711871" w:rsidRDefault="009C2F61" w:rsidP="009C2F61">
      <w:r>
        <w:rPr>
          <w:rFonts w:hint="eastAsia"/>
        </w:rPr>
        <w:t>但</w:t>
      </w:r>
      <w:r w:rsidR="00435C9E">
        <w:rPr>
          <w:rFonts w:hint="eastAsia"/>
        </w:rPr>
        <w:t>在分析师的工作内容中，对</w:t>
      </w:r>
      <w:r w:rsidR="00435C9E" w:rsidRPr="00435C9E">
        <w:rPr>
          <w:rFonts w:hint="eastAsia"/>
        </w:rPr>
        <w:t>跟踪公司</w:t>
      </w:r>
      <w:r w:rsidR="00435C9E">
        <w:rPr>
          <w:rFonts w:hint="eastAsia"/>
        </w:rPr>
        <w:t>进行</w:t>
      </w:r>
      <w:r w:rsidR="00435C9E" w:rsidRPr="00435C9E">
        <w:rPr>
          <w:rFonts w:hint="eastAsia"/>
        </w:rPr>
        <w:t>的财务报告点评以及月报、周报类的</w:t>
      </w:r>
      <w:r w:rsidR="00211741">
        <w:rPr>
          <w:rFonts w:hint="eastAsia"/>
        </w:rPr>
        <w:t>行业运行数据</w:t>
      </w:r>
      <w:r w:rsidR="00435C9E" w:rsidRPr="00435C9E">
        <w:rPr>
          <w:rFonts w:hint="eastAsia"/>
        </w:rPr>
        <w:t>统计占据</w:t>
      </w:r>
      <w:r w:rsidR="00435C9E">
        <w:rPr>
          <w:rFonts w:hint="eastAsia"/>
        </w:rPr>
        <w:t>了</w:t>
      </w:r>
      <w:r w:rsidR="00C773C7">
        <w:rPr>
          <w:rFonts w:hint="eastAsia"/>
        </w:rPr>
        <w:t>极大部分，</w:t>
      </w:r>
      <w:r w:rsidR="00435C9E" w:rsidRPr="00435C9E">
        <w:rPr>
          <w:rFonts w:hint="eastAsia"/>
        </w:rPr>
        <w:t>证券分析师</w:t>
      </w:r>
      <w:r w:rsidR="00435C9E">
        <w:rPr>
          <w:rFonts w:hint="eastAsia"/>
        </w:rPr>
        <w:t>对</w:t>
      </w:r>
      <w:r w:rsidR="00211741">
        <w:rPr>
          <w:rFonts w:hint="eastAsia"/>
        </w:rPr>
        <w:t>这部分报告的发布时间并没有自主决策的权利，而只能机械地跟随上市公司的财务报告公告日以及日历日的推移发布相应研报。</w:t>
      </w:r>
      <w:r w:rsidR="00435C9E">
        <w:rPr>
          <w:rFonts w:hint="eastAsia"/>
        </w:rPr>
        <w:t>另一方面，</w:t>
      </w:r>
      <w:r w:rsidR="00211741">
        <w:rPr>
          <w:rFonts w:hint="eastAsia"/>
        </w:rPr>
        <w:t>对于公司的深度研究，</w:t>
      </w:r>
      <w:r w:rsidR="00435C9E">
        <w:rPr>
          <w:rFonts w:hint="eastAsia"/>
        </w:rPr>
        <w:t>分析师</w:t>
      </w:r>
      <w:r w:rsidR="00211741">
        <w:rPr>
          <w:rFonts w:hint="eastAsia"/>
        </w:rPr>
        <w:t>却可以自主选择</w:t>
      </w:r>
      <w:r w:rsidR="00C773C7">
        <w:rPr>
          <w:rFonts w:hint="eastAsia"/>
        </w:rPr>
        <w:lastRenderedPageBreak/>
        <w:t>何时发布</w:t>
      </w:r>
      <w:r w:rsidR="00211741">
        <w:rPr>
          <w:rFonts w:hint="eastAsia"/>
        </w:rPr>
        <w:t>报告，</w:t>
      </w:r>
      <w:r w:rsidR="00C773C7">
        <w:rPr>
          <w:rFonts w:hint="eastAsia"/>
        </w:rPr>
        <w:t>此时报告发布的时间由内生性因素决定。</w:t>
      </w:r>
      <w:r w:rsidR="00A74116">
        <w:rPr>
          <w:rFonts w:hint="eastAsia"/>
        </w:rPr>
        <w:t>如</w:t>
      </w:r>
      <w:r w:rsidR="00A74116">
        <w:fldChar w:fldCharType="begin"/>
      </w:r>
      <w:r w:rsidR="00A74116">
        <w:instrText xml:space="preserve"> </w:instrText>
      </w:r>
      <w:r w:rsidR="00A74116">
        <w:rPr>
          <w:rFonts w:hint="eastAsia"/>
        </w:rPr>
        <w:instrText>REF _Ref509091048 \h</w:instrText>
      </w:r>
      <w:r w:rsidR="00A74116">
        <w:instrText xml:space="preserve"> </w:instrText>
      </w:r>
      <w:r w:rsidR="00A74116">
        <w:fldChar w:fldCharType="separate"/>
      </w:r>
      <w:r w:rsidR="00A74116" w:rsidRPr="004B3EA1">
        <w:rPr>
          <w:rFonts w:hint="eastAsia"/>
        </w:rPr>
        <w:t>图</w:t>
      </w:r>
      <w:r w:rsidR="00A74116">
        <w:rPr>
          <w:noProof/>
        </w:rPr>
        <w:t>2</w:t>
      </w:r>
      <w:r w:rsidR="00A74116">
        <w:fldChar w:fldCharType="end"/>
      </w:r>
      <w:r w:rsidR="00A74116">
        <w:rPr>
          <w:rFonts w:hint="eastAsia"/>
        </w:rPr>
        <w:t>所示，</w:t>
      </w:r>
      <w:r w:rsidR="00A74116">
        <w:rPr>
          <w:rFonts w:hint="eastAsia"/>
        </w:rPr>
        <w:t>2009</w:t>
      </w:r>
      <w:r w:rsidR="00A74116">
        <w:rPr>
          <w:rFonts w:hint="eastAsia"/>
        </w:rPr>
        <w:t>至</w:t>
      </w:r>
      <w:r w:rsidR="00A74116">
        <w:rPr>
          <w:rFonts w:hint="eastAsia"/>
        </w:rPr>
        <w:t>2017</w:t>
      </w:r>
      <w:r w:rsidR="00A74116">
        <w:rPr>
          <w:rFonts w:hint="eastAsia"/>
        </w:rPr>
        <w:t>年间共有</w:t>
      </w:r>
      <w:r w:rsidR="00A74116">
        <w:rPr>
          <w:rFonts w:hint="eastAsia"/>
        </w:rPr>
        <w:t>21,927</w:t>
      </w:r>
      <w:r w:rsidR="00A74116">
        <w:rPr>
          <w:rFonts w:hint="eastAsia"/>
        </w:rPr>
        <w:t>份深度公司研究报告，在数量上不足所有报告的十分之一，而且随着经济形势和市场周期的好转，公司深度研究报告的数量总体上呈现逐渐递增趋势，并在</w:t>
      </w:r>
      <w:r w:rsidR="00A74116">
        <w:rPr>
          <w:rFonts w:hint="eastAsia"/>
        </w:rPr>
        <w:t>2014</w:t>
      </w:r>
      <w:r w:rsidR="00A74116">
        <w:rPr>
          <w:rFonts w:hint="eastAsia"/>
        </w:rPr>
        <w:t>年期间出现了一个明显的低谷。</w:t>
      </w:r>
    </w:p>
    <w:p w14:paraId="2B1A3ABE" w14:textId="77777777" w:rsidR="00A74116" w:rsidRDefault="00A74116" w:rsidP="009C2F61">
      <w:pPr>
        <w:rPr>
          <w:rFonts w:hint="eastAsia"/>
        </w:rPr>
      </w:pPr>
    </w:p>
    <w:p w14:paraId="4D99AFB6" w14:textId="77777777" w:rsidR="004B3EA1" w:rsidRDefault="00711871" w:rsidP="004B3EA1">
      <w:pPr>
        <w:keepNext/>
        <w:ind w:firstLineChars="0" w:firstLine="0"/>
      </w:pPr>
      <w:r w:rsidRPr="00711871">
        <w:rPr>
          <w:noProof/>
        </w:rPr>
        <w:drawing>
          <wp:inline distT="0" distB="0" distL="0" distR="0" wp14:anchorId="50982201" wp14:editId="6F211E64">
            <wp:extent cx="5274310" cy="266725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50DF721A" w14:textId="10D6069A" w:rsidR="00711871" w:rsidRPr="004B3EA1" w:rsidRDefault="004B3EA1" w:rsidP="004B3EA1">
      <w:pPr>
        <w:pStyle w:val="ad"/>
      </w:pPr>
      <w:bookmarkStart w:id="15" w:name="_Ref509091048"/>
      <w:r w:rsidRPr="004B3EA1">
        <w:rPr>
          <w:rFonts w:hint="eastAsia"/>
        </w:rPr>
        <w:t>图</w:t>
      </w:r>
      <w:r w:rsidRPr="004B3EA1">
        <w:fldChar w:fldCharType="begin"/>
      </w:r>
      <w:r w:rsidRPr="004B3EA1">
        <w:instrText xml:space="preserve"> </w:instrText>
      </w:r>
      <w:r w:rsidRPr="004B3EA1">
        <w:rPr>
          <w:rFonts w:hint="eastAsia"/>
        </w:rPr>
        <w:instrText xml:space="preserve">SEQ </w:instrText>
      </w:r>
      <w:r w:rsidRPr="004B3EA1">
        <w:rPr>
          <w:rFonts w:hint="eastAsia"/>
        </w:rPr>
        <w:instrText>图</w:instrText>
      </w:r>
      <w:r w:rsidRPr="004B3EA1">
        <w:rPr>
          <w:rFonts w:hint="eastAsia"/>
        </w:rPr>
        <w:instrText xml:space="preserve"> \* ARABIC</w:instrText>
      </w:r>
      <w:r w:rsidRPr="004B3EA1">
        <w:instrText xml:space="preserve"> </w:instrText>
      </w:r>
      <w:r w:rsidRPr="004B3EA1">
        <w:fldChar w:fldCharType="separate"/>
      </w:r>
      <w:r w:rsidR="00A17E1F">
        <w:rPr>
          <w:noProof/>
        </w:rPr>
        <w:t>2</w:t>
      </w:r>
      <w:r w:rsidRPr="004B3EA1">
        <w:fldChar w:fldCharType="end"/>
      </w:r>
      <w:bookmarkEnd w:id="15"/>
      <w:r w:rsidRPr="004B3EA1">
        <w:t xml:space="preserve"> 2009-2017</w:t>
      </w:r>
      <w:r w:rsidRPr="004B3EA1">
        <w:t>年</w:t>
      </w:r>
      <w:r w:rsidRPr="004B3EA1">
        <w:rPr>
          <w:rFonts w:hint="eastAsia"/>
        </w:rPr>
        <w:t>公司深度研究报告的时间分布</w:t>
      </w:r>
    </w:p>
    <w:p w14:paraId="170FEFAE" w14:textId="77777777" w:rsidR="00453555" w:rsidRPr="004B3EA1" w:rsidRDefault="00453555" w:rsidP="009C2F61"/>
    <w:p w14:paraId="0A6ED282" w14:textId="5E7E4950" w:rsidR="004B3EA1" w:rsidRDefault="00C773C7" w:rsidP="00453555">
      <w:r>
        <w:rPr>
          <w:rFonts w:hint="eastAsia"/>
        </w:rPr>
        <w:t>因此</w:t>
      </w:r>
      <w:r w:rsidR="00A74116">
        <w:rPr>
          <w:rFonts w:hint="eastAsia"/>
        </w:rPr>
        <w:t>，</w:t>
      </w:r>
      <w:r>
        <w:rPr>
          <w:rFonts w:hint="eastAsia"/>
        </w:rPr>
        <w:t>接下来本文将主要针对公司深度研究报告的发布时间决策进行相关理论分析。</w:t>
      </w:r>
      <w:r w:rsidR="007A72FB">
        <w:rPr>
          <w:rFonts w:hint="eastAsia"/>
        </w:rPr>
        <w:t>由于证券分析师的收益主要基于所推荐公司的市场表现，其在发布报告时有两种可能的动机：其一是向市场提供</w:t>
      </w:r>
      <w:r w:rsidR="004B3EA1">
        <w:rPr>
          <w:rFonts w:hint="eastAsia"/>
        </w:rPr>
        <w:t>新的</w:t>
      </w:r>
      <w:r w:rsidR="007A72FB">
        <w:rPr>
          <w:rFonts w:hint="eastAsia"/>
        </w:rPr>
        <w:t>私人信息以</w:t>
      </w:r>
      <w:r w:rsidR="004B3EA1">
        <w:rPr>
          <w:rFonts w:hint="eastAsia"/>
        </w:rPr>
        <w:t>实现投资价值</w:t>
      </w:r>
      <w:r w:rsidR="009C2F61">
        <w:rPr>
          <w:rFonts w:hint="eastAsia"/>
        </w:rPr>
        <w:t>，</w:t>
      </w:r>
      <w:r w:rsidR="007A72FB">
        <w:rPr>
          <w:rFonts w:hint="eastAsia"/>
        </w:rPr>
        <w:t>其二是通过</w:t>
      </w:r>
      <w:r w:rsidR="005E67D7">
        <w:rPr>
          <w:rFonts w:hint="eastAsia"/>
        </w:rPr>
        <w:t>择时</w:t>
      </w:r>
      <w:r w:rsidR="004B3EA1">
        <w:rPr>
          <w:rFonts w:hint="eastAsia"/>
        </w:rPr>
        <w:t>利用有利的外部市场条件</w:t>
      </w:r>
      <w:r w:rsidR="00611B05">
        <w:rPr>
          <w:rFonts w:hint="eastAsia"/>
        </w:rPr>
        <w:t>“伪造”</w:t>
      </w:r>
      <w:r w:rsidR="009C2F61">
        <w:rPr>
          <w:rFonts w:hint="eastAsia"/>
        </w:rPr>
        <w:t>报告的投资价值</w:t>
      </w:r>
      <w:r w:rsidR="007A72FB">
        <w:rPr>
          <w:rFonts w:hint="eastAsia"/>
        </w:rPr>
        <w:t>。</w:t>
      </w:r>
      <w:r w:rsidR="00865B7A">
        <w:rPr>
          <w:rFonts w:hint="eastAsia"/>
        </w:rPr>
        <w:t>证券分析师</w:t>
      </w:r>
      <w:r w:rsidR="000B552B">
        <w:rPr>
          <w:rFonts w:hint="eastAsia"/>
        </w:rPr>
        <w:t>作为</w:t>
      </w:r>
      <w:r w:rsidR="00865B7A">
        <w:rPr>
          <w:rFonts w:hint="eastAsia"/>
        </w:rPr>
        <w:t>信息的使用者</w:t>
      </w:r>
      <w:r w:rsidR="000B552B">
        <w:rPr>
          <w:rFonts w:hint="eastAsia"/>
        </w:rPr>
        <w:t>和</w:t>
      </w:r>
      <w:r w:rsidR="00865B7A">
        <w:rPr>
          <w:rFonts w:hint="eastAsia"/>
        </w:rPr>
        <w:t>产生者，</w:t>
      </w:r>
      <w:r w:rsidR="009C2F61">
        <w:rPr>
          <w:rFonts w:hint="eastAsia"/>
        </w:rPr>
        <w:t>不同的信息收集和分析能力决定了</w:t>
      </w:r>
      <w:r w:rsidR="000B552B">
        <w:rPr>
          <w:rFonts w:hint="eastAsia"/>
        </w:rPr>
        <w:t>分析师在进行权衡时需要采取不同的策略，</w:t>
      </w:r>
      <w:r w:rsidR="00865B7A">
        <w:rPr>
          <w:rFonts w:hint="eastAsia"/>
        </w:rPr>
        <w:t>拥有更多非公开信息或</w:t>
      </w:r>
      <w:r w:rsidR="00453555">
        <w:rPr>
          <w:rFonts w:hint="eastAsia"/>
        </w:rPr>
        <w:t>信息处理</w:t>
      </w:r>
      <w:r w:rsidR="00865B7A">
        <w:rPr>
          <w:rFonts w:hint="eastAsia"/>
        </w:rPr>
        <w:t>能力更强的分析师</w:t>
      </w:r>
      <w:r w:rsidR="000B552B">
        <w:rPr>
          <w:rFonts w:hint="eastAsia"/>
        </w:rPr>
        <w:t>愿意尽可能</w:t>
      </w:r>
      <w:r w:rsidR="00865B7A">
        <w:rPr>
          <w:rFonts w:hint="eastAsia"/>
        </w:rPr>
        <w:t>早</w:t>
      </w:r>
      <w:r w:rsidR="000B552B">
        <w:rPr>
          <w:rFonts w:hint="eastAsia"/>
        </w:rPr>
        <w:t>地</w:t>
      </w:r>
      <w:r w:rsidR="00865B7A">
        <w:rPr>
          <w:rFonts w:hint="eastAsia"/>
        </w:rPr>
        <w:t>发布预测，以</w:t>
      </w:r>
      <w:r w:rsidR="000B552B">
        <w:rPr>
          <w:rFonts w:hint="eastAsia"/>
        </w:rPr>
        <w:t>期从</w:t>
      </w:r>
      <w:r w:rsidR="00453555">
        <w:rPr>
          <w:rFonts w:hint="eastAsia"/>
        </w:rPr>
        <w:t>提供增量信息</w:t>
      </w:r>
      <w:r w:rsidR="000B552B">
        <w:rPr>
          <w:rFonts w:hint="eastAsia"/>
        </w:rPr>
        <w:t>中</w:t>
      </w:r>
      <w:r w:rsidR="00865B7A">
        <w:rPr>
          <w:rFonts w:hint="eastAsia"/>
        </w:rPr>
        <w:t>获得更大的收益，</w:t>
      </w:r>
      <w:r w:rsidR="000B552B">
        <w:rPr>
          <w:rFonts w:hint="eastAsia"/>
        </w:rPr>
        <w:t>而</w:t>
      </w:r>
      <w:r w:rsidR="00865B7A">
        <w:rPr>
          <w:rFonts w:hint="eastAsia"/>
        </w:rPr>
        <w:t>其他分析师则</w:t>
      </w:r>
      <w:r w:rsidR="000B552B">
        <w:rPr>
          <w:rFonts w:hint="eastAsia"/>
        </w:rPr>
        <w:t>希望通过</w:t>
      </w:r>
      <w:r w:rsidR="00865B7A">
        <w:rPr>
          <w:rFonts w:hint="eastAsia"/>
        </w:rPr>
        <w:t>跟随预测以掩盖自己预测质量的低下（</w:t>
      </w:r>
      <w:r w:rsidR="00865B7A">
        <w:rPr>
          <w:rFonts w:hint="eastAsia"/>
        </w:rPr>
        <w:t>Scharfstein</w:t>
      </w:r>
      <w:r w:rsidR="00865B7A">
        <w:rPr>
          <w:rFonts w:hint="eastAsia"/>
        </w:rPr>
        <w:t>和</w:t>
      </w:r>
      <w:r w:rsidR="00865B7A">
        <w:rPr>
          <w:rFonts w:hint="eastAsia"/>
        </w:rPr>
        <w:t>Stein</w:t>
      </w:r>
      <w:r w:rsidR="00865B7A">
        <w:rPr>
          <w:rFonts w:hint="eastAsia"/>
        </w:rPr>
        <w:t>，</w:t>
      </w:r>
      <w:r w:rsidR="00865B7A">
        <w:rPr>
          <w:rFonts w:hint="eastAsia"/>
        </w:rPr>
        <w:t>19</w:t>
      </w:r>
      <w:r w:rsidR="00F60E5E">
        <w:rPr>
          <w:rFonts w:hint="eastAsia"/>
        </w:rPr>
        <w:t>88</w:t>
      </w:r>
      <w:r w:rsidR="00865B7A">
        <w:rPr>
          <w:rFonts w:hint="eastAsia"/>
        </w:rPr>
        <w:t>）</w:t>
      </w:r>
      <w:r w:rsidR="004B3EA1">
        <w:rPr>
          <w:rFonts w:hint="eastAsia"/>
        </w:rPr>
        <w:t>。</w:t>
      </w:r>
    </w:p>
    <w:p w14:paraId="110586D0" w14:textId="1C18F824" w:rsidR="00611B05" w:rsidRDefault="004B3EA1" w:rsidP="00453555">
      <w:r>
        <w:rPr>
          <w:rFonts w:hint="eastAsia"/>
        </w:rPr>
        <w:t>因此</w:t>
      </w:r>
      <w:r w:rsidR="00453555">
        <w:rPr>
          <w:rFonts w:hint="eastAsia"/>
        </w:rPr>
        <w:t>在没有提供增量</w:t>
      </w:r>
      <w:r w:rsidR="000B552B">
        <w:rPr>
          <w:rFonts w:hint="eastAsia"/>
        </w:rPr>
        <w:t>信息的情况下，</w:t>
      </w:r>
      <w:r w:rsidR="00FF7E36">
        <w:rPr>
          <w:rFonts w:hint="eastAsia"/>
        </w:rPr>
        <w:t>择时策略</w:t>
      </w:r>
      <w:r w:rsidR="000B552B">
        <w:rPr>
          <w:rFonts w:hint="eastAsia"/>
        </w:rPr>
        <w:t>可以在一定程度上</w:t>
      </w:r>
      <w:r w:rsidR="00FF7E36">
        <w:rPr>
          <w:rFonts w:hint="eastAsia"/>
        </w:rPr>
        <w:t>弥补报告信息含量的不足</w:t>
      </w:r>
      <w:r w:rsidR="00611B05">
        <w:rPr>
          <w:rFonts w:hint="eastAsia"/>
        </w:rPr>
        <w:t>，但即使分析师向市场提供增量信息，利用有利的市场条件也有助于分析师扩大自己的收益</w:t>
      </w:r>
      <w:r w:rsidR="00865B7A">
        <w:rPr>
          <w:rFonts w:hint="eastAsia"/>
        </w:rPr>
        <w:t>。</w:t>
      </w:r>
      <w:r w:rsidR="00611B05" w:rsidRPr="00E85D40">
        <w:rPr>
          <w:rFonts w:hint="eastAsia"/>
        </w:rPr>
        <w:t>同时</w:t>
      </w:r>
      <w:r w:rsidR="00E85D40" w:rsidRPr="00E85D40">
        <w:rPr>
          <w:rFonts w:hint="eastAsia"/>
        </w:rPr>
        <w:t>，</w:t>
      </w:r>
      <w:r w:rsidR="00E85D40">
        <w:rPr>
          <w:rFonts w:hint="eastAsia"/>
        </w:rPr>
        <w:t>当</w:t>
      </w:r>
      <w:r w:rsidR="00E85D40" w:rsidRPr="00E85D40">
        <w:rPr>
          <w:rFonts w:hint="eastAsia"/>
        </w:rPr>
        <w:t>投资者情绪</w:t>
      </w:r>
      <w:r w:rsidR="00E85D40">
        <w:rPr>
          <w:rFonts w:hint="eastAsia"/>
        </w:rPr>
        <w:t>高涨</w:t>
      </w:r>
      <w:r w:rsidR="00E85D40" w:rsidRPr="00E85D40">
        <w:rPr>
          <w:rFonts w:hint="eastAsia"/>
        </w:rPr>
        <w:t>时，投资者更加看好未来的市场形势，</w:t>
      </w:r>
      <w:r w:rsidR="00E85D40">
        <w:rPr>
          <w:rFonts w:hint="eastAsia"/>
        </w:rPr>
        <w:t>也比较容易接受分析师给出的乐观评级，而投资者情绪低落时，分析师</w:t>
      </w:r>
      <w:r w:rsidR="00E85D40" w:rsidRPr="00E85D40">
        <w:rPr>
          <w:rFonts w:hint="eastAsia"/>
        </w:rPr>
        <w:t>很难扭转投资者对公司价值的低估</w:t>
      </w:r>
      <w:r w:rsidR="00E85D40">
        <w:rPr>
          <w:rFonts w:hint="eastAsia"/>
        </w:rPr>
        <w:t>（</w:t>
      </w:r>
      <w:r w:rsidR="00E85D40">
        <w:rPr>
          <w:rFonts w:hint="eastAsia"/>
        </w:rPr>
        <w:t>Bergman</w:t>
      </w:r>
      <w:r w:rsidR="00E85D40">
        <w:rPr>
          <w:rFonts w:hint="eastAsia"/>
        </w:rPr>
        <w:t>和</w:t>
      </w:r>
      <w:r w:rsidR="00E85D40">
        <w:rPr>
          <w:rFonts w:hint="eastAsia"/>
        </w:rPr>
        <w:t>Roychowdhury</w:t>
      </w:r>
      <w:r w:rsidR="00E85D40">
        <w:rPr>
          <w:rFonts w:hint="eastAsia"/>
        </w:rPr>
        <w:t>，</w:t>
      </w:r>
      <w:r w:rsidR="00E85D40">
        <w:rPr>
          <w:rFonts w:hint="eastAsia"/>
        </w:rPr>
        <w:t>2008</w:t>
      </w:r>
      <w:r w:rsidR="00E85D40">
        <w:rPr>
          <w:rFonts w:hint="eastAsia"/>
        </w:rPr>
        <w:t>），由于</w:t>
      </w:r>
      <w:r w:rsidR="00E85D40">
        <w:rPr>
          <w:rFonts w:hint="eastAsia"/>
        </w:rPr>
        <w:lastRenderedPageBreak/>
        <w:t>我国资本市场对卖空的限制，</w:t>
      </w:r>
      <w:r w:rsidR="003E0048">
        <w:rPr>
          <w:rFonts w:hint="eastAsia"/>
        </w:rPr>
        <w:t>卖出</w:t>
      </w:r>
      <w:r w:rsidR="00E85D40">
        <w:rPr>
          <w:rFonts w:hint="eastAsia"/>
        </w:rPr>
        <w:t>推荐</w:t>
      </w:r>
      <w:r w:rsidR="003E0048">
        <w:rPr>
          <w:rFonts w:hint="eastAsia"/>
        </w:rPr>
        <w:t>对分析师而</w:t>
      </w:r>
      <w:r w:rsidR="003E0048" w:rsidRPr="009B206F">
        <w:rPr>
          <w:rFonts w:hint="eastAsia"/>
        </w:rPr>
        <w:t>言基本无利可图。因此，分析师有理由在</w:t>
      </w:r>
      <w:r w:rsidR="00611B05" w:rsidRPr="009B206F">
        <w:rPr>
          <w:rFonts w:hint="eastAsia"/>
        </w:rPr>
        <w:t>投资者情绪</w:t>
      </w:r>
      <w:r w:rsidR="003E0048" w:rsidRPr="009B206F">
        <w:rPr>
          <w:rFonts w:hint="eastAsia"/>
        </w:rPr>
        <w:t>较高的时期发布深度研究报告</w:t>
      </w:r>
      <w:r w:rsidR="005E67D7" w:rsidRPr="009B206F">
        <w:rPr>
          <w:rFonts w:hint="eastAsia"/>
        </w:rPr>
        <w:t>。</w:t>
      </w:r>
      <w:r w:rsidR="00611B05" w:rsidRPr="009B206F">
        <w:rPr>
          <w:rFonts w:hint="eastAsia"/>
        </w:rPr>
        <w:t>据</w:t>
      </w:r>
      <w:r w:rsidR="00611B05">
        <w:rPr>
          <w:rFonts w:hint="eastAsia"/>
        </w:rPr>
        <w:t>此</w:t>
      </w:r>
      <w:r w:rsidR="003E0048">
        <w:rPr>
          <w:rFonts w:hint="eastAsia"/>
        </w:rPr>
        <w:t>本文</w:t>
      </w:r>
      <w:r w:rsidR="00611B05">
        <w:rPr>
          <w:rFonts w:hint="eastAsia"/>
        </w:rPr>
        <w:t>提出</w:t>
      </w:r>
      <w:r w:rsidR="00FC2693">
        <w:rPr>
          <w:rFonts w:hint="eastAsia"/>
        </w:rPr>
        <w:t>以下</w:t>
      </w:r>
      <w:r w:rsidR="00611B05">
        <w:rPr>
          <w:rFonts w:hint="eastAsia"/>
        </w:rPr>
        <w:t>假设：</w:t>
      </w:r>
    </w:p>
    <w:p w14:paraId="7C70C18B" w14:textId="4CB2DA32" w:rsidR="00611B05" w:rsidRPr="003E0048" w:rsidRDefault="00FC2693" w:rsidP="00453555">
      <w:pPr>
        <w:rPr>
          <w:rFonts w:ascii="KaiTi" w:eastAsia="KaiTi" w:hAnsi="KaiTi"/>
        </w:rPr>
      </w:pPr>
      <w:r>
        <w:rPr>
          <w:rFonts w:ascii="KaiTi" w:eastAsia="KaiTi" w:hAnsi="KaiTi" w:hint="eastAsia"/>
        </w:rPr>
        <w:t>假设1：</w:t>
      </w:r>
      <w:r w:rsidR="003E0048" w:rsidRPr="003E0048">
        <w:rPr>
          <w:rFonts w:ascii="KaiTi" w:eastAsia="KaiTi" w:hAnsi="KaiTi" w:hint="eastAsia"/>
        </w:rPr>
        <w:t>分析师倾向于在投资者情绪高的时期发布研究报告</w:t>
      </w:r>
    </w:p>
    <w:p w14:paraId="1EED7986" w14:textId="175BCB18" w:rsidR="003E0048" w:rsidRDefault="003E0048" w:rsidP="00865B7A"/>
    <w:p w14:paraId="7F364701" w14:textId="5E8FA5AB" w:rsidR="0023674A" w:rsidRDefault="00510B7C" w:rsidP="00865B7A">
      <w:r>
        <w:rPr>
          <w:rFonts w:hint="eastAsia"/>
        </w:rPr>
        <w:t>正如前文所分析，无论是否向市场提供新增信息，在投资者情绪较高时发布报告总是有利可图的，但是</w:t>
      </w:r>
      <w:r w:rsidR="0023674A">
        <w:rPr>
          <w:rFonts w:hint="eastAsia"/>
        </w:rPr>
        <w:t>，集中在同一时期发布报告的分析师仍然需要分享这些利益，报告的发布时间越集中，利益的稀释程度越大。因此</w:t>
      </w:r>
      <w:r>
        <w:rPr>
          <w:rFonts w:hint="eastAsia"/>
        </w:rPr>
        <w:t>对于有能力的分析师</w:t>
      </w:r>
      <w:r w:rsidR="0023674A">
        <w:rPr>
          <w:rFonts w:hint="eastAsia"/>
        </w:rPr>
        <w:t>而言</w:t>
      </w:r>
      <w:r>
        <w:rPr>
          <w:rFonts w:hint="eastAsia"/>
        </w:rPr>
        <w:t>，</w:t>
      </w:r>
      <w:r w:rsidR="0023674A">
        <w:rPr>
          <w:rFonts w:hint="eastAsia"/>
        </w:rPr>
        <w:t>由于其可以从为市场提供的增量信息中获益，因此</w:t>
      </w:r>
      <w:r w:rsidR="005E67D7">
        <w:rPr>
          <w:rFonts w:hint="eastAsia"/>
        </w:rPr>
        <w:t>跟风在</w:t>
      </w:r>
      <w:r w:rsidR="0023674A">
        <w:rPr>
          <w:rFonts w:hint="eastAsia"/>
        </w:rPr>
        <w:t>投资者情绪较高的时期</w:t>
      </w:r>
      <w:r w:rsidR="005E67D7">
        <w:rPr>
          <w:rFonts w:hint="eastAsia"/>
        </w:rPr>
        <w:t>发布报告并不一定是一个好的选择</w:t>
      </w:r>
      <w:r w:rsidR="00D67AB3">
        <w:rPr>
          <w:rFonts w:hint="eastAsia"/>
        </w:rPr>
        <w:t>，两方面的影响导致其报告信息含量与投资者情绪无关</w:t>
      </w:r>
      <w:r w:rsidR="005E67D7">
        <w:rPr>
          <w:rFonts w:hint="eastAsia"/>
        </w:rPr>
        <w:t>。而对于报告缺乏信息含量的分析师而言，“扎堆”发布深度研究报告则只会带来好处</w:t>
      </w:r>
      <w:r w:rsidR="00D67AB3">
        <w:rPr>
          <w:rFonts w:hint="eastAsia"/>
        </w:rPr>
        <w:t>，即报告信息含量与投资者情绪负相关</w:t>
      </w:r>
      <w:r w:rsidR="0023674A">
        <w:rPr>
          <w:rFonts w:hint="eastAsia"/>
        </w:rPr>
        <w:t>。</w:t>
      </w:r>
      <w:r w:rsidR="005E67D7">
        <w:rPr>
          <w:rFonts w:hint="eastAsia"/>
        </w:rPr>
        <w:t>据此本文提出以下假设：</w:t>
      </w:r>
    </w:p>
    <w:p w14:paraId="1564BA2C" w14:textId="396E3897" w:rsidR="005E67D7" w:rsidRPr="00FC2693" w:rsidRDefault="005E67D7" w:rsidP="005E67D7">
      <w:pPr>
        <w:rPr>
          <w:rFonts w:ascii="KaiTi" w:eastAsia="KaiTi" w:hAnsi="KaiTi"/>
        </w:rPr>
      </w:pPr>
      <w:r w:rsidRPr="00FC2693">
        <w:rPr>
          <w:rFonts w:ascii="KaiTi" w:eastAsia="KaiTi" w:hAnsi="KaiTi" w:hint="eastAsia"/>
        </w:rPr>
        <w:t>假设</w:t>
      </w:r>
      <w:r>
        <w:rPr>
          <w:rFonts w:ascii="KaiTi" w:eastAsia="KaiTi" w:hAnsi="KaiTi" w:hint="eastAsia"/>
        </w:rPr>
        <w:t>2-1</w:t>
      </w:r>
      <w:r w:rsidRPr="00FC2693">
        <w:rPr>
          <w:rFonts w:ascii="KaiTi" w:eastAsia="KaiTi" w:hAnsi="KaiTi" w:hint="eastAsia"/>
        </w:rPr>
        <w:t>：</w:t>
      </w:r>
      <w:r>
        <w:rPr>
          <w:rFonts w:ascii="KaiTi" w:eastAsia="KaiTi" w:hAnsi="KaiTi" w:hint="eastAsia"/>
        </w:rPr>
        <w:t>未</w:t>
      </w:r>
      <w:r w:rsidRPr="00FC2693">
        <w:rPr>
          <w:rFonts w:ascii="KaiTi" w:eastAsia="KaiTi" w:hAnsi="KaiTi" w:hint="eastAsia"/>
        </w:rPr>
        <w:t>提供增量信息</w:t>
      </w:r>
      <w:r w:rsidR="00D67AB3">
        <w:rPr>
          <w:rFonts w:ascii="KaiTi" w:eastAsia="KaiTi" w:hAnsi="KaiTi" w:hint="eastAsia"/>
        </w:rPr>
        <w:t>的</w:t>
      </w:r>
      <w:r w:rsidR="00D67AB3" w:rsidRPr="00FC2693">
        <w:rPr>
          <w:rFonts w:ascii="KaiTi" w:eastAsia="KaiTi" w:hAnsi="KaiTi" w:hint="eastAsia"/>
        </w:rPr>
        <w:t>分析师</w:t>
      </w:r>
      <w:r w:rsidRPr="00FC2693">
        <w:rPr>
          <w:rFonts w:ascii="KaiTi" w:eastAsia="KaiTi" w:hAnsi="KaiTi" w:hint="eastAsia"/>
        </w:rPr>
        <w:t>倾向于在</w:t>
      </w:r>
      <w:r w:rsidR="00D67AB3">
        <w:rPr>
          <w:rFonts w:ascii="KaiTi" w:eastAsia="KaiTi" w:hAnsi="KaiTi" w:hint="eastAsia"/>
        </w:rPr>
        <w:t>高</w:t>
      </w:r>
      <w:r w:rsidRPr="00FC2693">
        <w:rPr>
          <w:rFonts w:ascii="KaiTi" w:eastAsia="KaiTi" w:hAnsi="KaiTi" w:hint="eastAsia"/>
        </w:rPr>
        <w:t>投资者情绪时期发布报告</w:t>
      </w:r>
    </w:p>
    <w:p w14:paraId="72FED93D" w14:textId="24B89755" w:rsidR="00FC2693" w:rsidRDefault="005E67D7" w:rsidP="00D67AB3">
      <w:pPr>
        <w:rPr>
          <w:rFonts w:ascii="KaiTi" w:eastAsia="KaiTi" w:hAnsi="KaiTi"/>
        </w:rPr>
      </w:pPr>
      <w:r w:rsidRPr="00D67AB3">
        <w:rPr>
          <w:rFonts w:ascii="KaiTi" w:eastAsia="KaiTi" w:hAnsi="KaiTi" w:hint="eastAsia"/>
        </w:rPr>
        <w:t>假设2-2</w:t>
      </w:r>
      <w:r w:rsidR="00D67AB3" w:rsidRPr="00D67AB3">
        <w:rPr>
          <w:rFonts w:ascii="KaiTi" w:eastAsia="KaiTi" w:hAnsi="KaiTi" w:hint="eastAsia"/>
        </w:rPr>
        <w:t>：提供增量信息</w:t>
      </w:r>
      <w:r w:rsidR="00D67AB3">
        <w:rPr>
          <w:rFonts w:ascii="KaiTi" w:eastAsia="KaiTi" w:hAnsi="KaiTi" w:hint="eastAsia"/>
        </w:rPr>
        <w:t>的分析师没有基于投资者情绪的择时行为</w:t>
      </w:r>
    </w:p>
    <w:p w14:paraId="5892625B" w14:textId="77777777" w:rsidR="00D67AB3" w:rsidRPr="00D67AB3" w:rsidRDefault="00D67AB3" w:rsidP="00D67AB3">
      <w:pPr>
        <w:rPr>
          <w:rFonts w:ascii="KaiTi" w:eastAsia="KaiTi" w:hAnsi="KaiTi"/>
        </w:rPr>
      </w:pPr>
    </w:p>
    <w:p w14:paraId="1BFF3D75" w14:textId="77777777" w:rsidR="00C51E79" w:rsidRDefault="00C51E79" w:rsidP="002E3E1D">
      <w:pPr>
        <w:pStyle w:val="2"/>
      </w:pPr>
      <w:bookmarkStart w:id="16" w:name="_Toc509527753"/>
      <w:r>
        <w:rPr>
          <w:rFonts w:hint="eastAsia"/>
        </w:rPr>
        <w:t>样本与描述性统计</w:t>
      </w:r>
      <w:bookmarkEnd w:id="16"/>
    </w:p>
    <w:p w14:paraId="29E58427" w14:textId="77777777" w:rsidR="00802D07" w:rsidRDefault="00802D07" w:rsidP="00DC67E7">
      <w:pPr>
        <w:pStyle w:val="3"/>
        <w:numPr>
          <w:ilvl w:val="0"/>
          <w:numId w:val="11"/>
        </w:numPr>
        <w:ind w:firstLineChars="0"/>
      </w:pPr>
      <w:bookmarkStart w:id="17" w:name="_Toc509527754"/>
      <w:r>
        <w:rPr>
          <w:rFonts w:hint="eastAsia"/>
        </w:rPr>
        <w:t>样本选择</w:t>
      </w:r>
      <w:bookmarkEnd w:id="17"/>
    </w:p>
    <w:p w14:paraId="675B9973" w14:textId="387489AB" w:rsidR="00321B1D" w:rsidRDefault="00321B1D" w:rsidP="00321B1D">
      <w:r>
        <w:rPr>
          <w:rFonts w:hint="eastAsia"/>
        </w:rPr>
        <w:t>由于过往的研究发现市场周期会影响分析师行为及预测质量，为了避免市场周期因素对结果的干扰，本文拟选择</w:t>
      </w:r>
      <w:r>
        <w:rPr>
          <w:rFonts w:hint="eastAsia"/>
        </w:rPr>
        <w:t>2009</w:t>
      </w:r>
      <w:r>
        <w:rPr>
          <w:rFonts w:hint="eastAsia"/>
        </w:rPr>
        <w:t>年</w:t>
      </w:r>
      <w:r>
        <w:rPr>
          <w:rFonts w:hint="eastAsia"/>
        </w:rPr>
        <w:t>1</w:t>
      </w:r>
      <w:r>
        <w:rPr>
          <w:rFonts w:hint="eastAsia"/>
        </w:rPr>
        <w:t>月</w:t>
      </w:r>
      <w:r>
        <w:rPr>
          <w:rFonts w:hint="eastAsia"/>
        </w:rPr>
        <w:t>1</w:t>
      </w:r>
      <w:r>
        <w:rPr>
          <w:rFonts w:hint="eastAsia"/>
        </w:rPr>
        <w:t>日至</w:t>
      </w:r>
      <w:r>
        <w:rPr>
          <w:rFonts w:hint="eastAsia"/>
        </w:rPr>
        <w:t>2017</w:t>
      </w:r>
      <w:r>
        <w:rPr>
          <w:rFonts w:hint="eastAsia"/>
        </w:rPr>
        <w:t>年</w:t>
      </w:r>
      <w:r>
        <w:rPr>
          <w:rFonts w:hint="eastAsia"/>
        </w:rPr>
        <w:t>12</w:t>
      </w:r>
      <w:r>
        <w:rPr>
          <w:rFonts w:hint="eastAsia"/>
        </w:rPr>
        <w:t>月</w:t>
      </w:r>
      <w:r>
        <w:rPr>
          <w:rFonts w:hint="eastAsia"/>
        </w:rPr>
        <w:t>31</w:t>
      </w:r>
      <w:r>
        <w:rPr>
          <w:rFonts w:hint="eastAsia"/>
        </w:rPr>
        <w:t>日的所有公司深度研究报告为样本。本文采用的分析师预测数据全部来自锐思</w:t>
      </w:r>
      <w:r>
        <w:rPr>
          <w:rFonts w:hint="eastAsia"/>
        </w:rPr>
        <w:t>RESSET</w:t>
      </w:r>
      <w:r>
        <w:rPr>
          <w:rFonts w:hint="eastAsia"/>
        </w:rPr>
        <w:t>数据库，采用</w:t>
      </w:r>
      <w:r>
        <w:rPr>
          <w:rFonts w:hint="eastAsia"/>
        </w:rPr>
        <w:t>RESSET</w:t>
      </w:r>
      <w:r>
        <w:rPr>
          <w:rFonts w:hint="eastAsia"/>
        </w:rPr>
        <w:t>的优势在于其研究报告数据库中对报告的类型进行了进一步的分类，针对研究报告的对象，包括晨报、宏观经济、投资策略、行业、公司、港股、债券等数类，而研究深度方面，分为点评、年度、半年度、月报、周报、深度研究、行业策略等数类，可以方便的获得本文主要关心的公司深度报告样本。本文采用的投资者情绪和收益率等数据来自</w:t>
      </w:r>
      <w:r>
        <w:rPr>
          <w:rFonts w:hint="eastAsia"/>
        </w:rPr>
        <w:t>CSMAR</w:t>
      </w:r>
      <w:r>
        <w:rPr>
          <w:rFonts w:hint="eastAsia"/>
        </w:rPr>
        <w:t>数据库。对样本进行的主要筛选如下：</w:t>
      </w:r>
    </w:p>
    <w:p w14:paraId="401ABBED" w14:textId="6FB62539" w:rsidR="00321B1D" w:rsidRDefault="00321B1D" w:rsidP="00321B1D">
      <w:pPr>
        <w:pStyle w:val="a"/>
        <w:numPr>
          <w:ilvl w:val="0"/>
          <w:numId w:val="19"/>
        </w:numPr>
      </w:pPr>
      <w:r>
        <w:rPr>
          <w:rFonts w:hint="eastAsia"/>
        </w:rPr>
        <w:t>剔除了</w:t>
      </w:r>
      <w:r w:rsidR="008D2767">
        <w:rPr>
          <w:rFonts w:hint="eastAsia"/>
        </w:rPr>
        <w:t>关于</w:t>
      </w:r>
      <w:r>
        <w:rPr>
          <w:rFonts w:hint="eastAsia"/>
        </w:rPr>
        <w:t>金融业上市公司</w:t>
      </w:r>
      <w:r w:rsidR="00BA74B5">
        <w:rPr>
          <w:rFonts w:hint="eastAsia"/>
        </w:rPr>
        <w:t>的深度报告，共</w:t>
      </w:r>
      <w:r w:rsidR="0074510F">
        <w:rPr>
          <w:rFonts w:hint="eastAsia"/>
        </w:rPr>
        <w:t>924</w:t>
      </w:r>
      <w:r w:rsidR="008D2767">
        <w:rPr>
          <w:rFonts w:hint="eastAsia"/>
        </w:rPr>
        <w:t>份</w:t>
      </w:r>
      <w:r>
        <w:rPr>
          <w:rFonts w:hint="eastAsia"/>
        </w:rPr>
        <w:t>；</w:t>
      </w:r>
    </w:p>
    <w:p w14:paraId="5CA84332" w14:textId="6AAB5B3D" w:rsidR="00321B1D" w:rsidRDefault="00321B1D" w:rsidP="00321B1D">
      <w:pPr>
        <w:pStyle w:val="a"/>
        <w:numPr>
          <w:ilvl w:val="0"/>
          <w:numId w:val="19"/>
        </w:numPr>
      </w:pPr>
      <w:r>
        <w:rPr>
          <w:rFonts w:hint="eastAsia"/>
        </w:rPr>
        <w:t>剔除了关键变量如投资评级</w:t>
      </w:r>
      <w:r w:rsidR="0074510F">
        <w:rPr>
          <w:rFonts w:hint="eastAsia"/>
        </w:rPr>
        <w:t>、报告作者</w:t>
      </w:r>
      <w:r>
        <w:rPr>
          <w:rFonts w:hint="eastAsia"/>
        </w:rPr>
        <w:t>缺失的样本</w:t>
      </w:r>
      <w:r w:rsidR="008D2767">
        <w:rPr>
          <w:rFonts w:hint="eastAsia"/>
        </w:rPr>
        <w:t>，共</w:t>
      </w:r>
      <w:r w:rsidR="0051119C">
        <w:rPr>
          <w:rFonts w:hint="eastAsia"/>
        </w:rPr>
        <w:t>282</w:t>
      </w:r>
      <w:r w:rsidR="008D2767">
        <w:rPr>
          <w:rFonts w:hint="eastAsia"/>
        </w:rPr>
        <w:t>份</w:t>
      </w:r>
      <w:r>
        <w:rPr>
          <w:rFonts w:hint="eastAsia"/>
        </w:rPr>
        <w:t>；</w:t>
      </w:r>
    </w:p>
    <w:p w14:paraId="396FA0DB" w14:textId="550FC098" w:rsidR="00500431" w:rsidRDefault="00321B1D" w:rsidP="00321B1D">
      <w:pPr>
        <w:pStyle w:val="a"/>
        <w:numPr>
          <w:ilvl w:val="0"/>
          <w:numId w:val="19"/>
        </w:numPr>
      </w:pPr>
      <w:r>
        <w:rPr>
          <w:rFonts w:hint="eastAsia"/>
        </w:rPr>
        <w:lastRenderedPageBreak/>
        <w:t>剔除了</w:t>
      </w:r>
      <w:r w:rsidR="00EA6ED7">
        <w:rPr>
          <w:rFonts w:hint="eastAsia"/>
        </w:rPr>
        <w:t>在</w:t>
      </w:r>
      <w:r w:rsidR="00071BDA">
        <w:rPr>
          <w:rFonts w:hint="eastAsia"/>
        </w:rPr>
        <w:t>报告发布</w:t>
      </w:r>
      <w:r>
        <w:rPr>
          <w:rFonts w:hint="eastAsia"/>
        </w:rPr>
        <w:t>窗口期内</w:t>
      </w:r>
      <w:r w:rsidR="00071BDA">
        <w:rPr>
          <w:rFonts w:hint="eastAsia"/>
        </w:rPr>
        <w:t>股票</w:t>
      </w:r>
      <w:r>
        <w:rPr>
          <w:rFonts w:hint="eastAsia"/>
        </w:rPr>
        <w:t>长期停牌导致</w:t>
      </w:r>
      <w:r w:rsidR="001B22E0">
        <w:rPr>
          <w:rFonts w:hint="eastAsia"/>
        </w:rPr>
        <w:t>投资者情绪和</w:t>
      </w:r>
      <w:r>
        <w:rPr>
          <w:rFonts w:hint="eastAsia"/>
        </w:rPr>
        <w:t>价格信息含量无法测量的样本</w:t>
      </w:r>
      <w:r w:rsidR="00BA74B5">
        <w:rPr>
          <w:rFonts w:hint="eastAsia"/>
        </w:rPr>
        <w:t>，共</w:t>
      </w:r>
      <w:r w:rsidR="001B22E0">
        <w:rPr>
          <w:rFonts w:hint="eastAsia"/>
        </w:rPr>
        <w:t>83</w:t>
      </w:r>
      <w:r w:rsidR="0074510F">
        <w:rPr>
          <w:rFonts w:hint="eastAsia"/>
        </w:rPr>
        <w:t>份</w:t>
      </w:r>
      <w:r>
        <w:rPr>
          <w:rFonts w:hint="eastAsia"/>
        </w:rPr>
        <w:t>。</w:t>
      </w:r>
    </w:p>
    <w:p w14:paraId="21651503" w14:textId="5705D26E" w:rsidR="00866466" w:rsidRDefault="00BA74B5" w:rsidP="00A8116B">
      <w:r>
        <w:rPr>
          <w:rFonts w:hint="eastAsia"/>
        </w:rPr>
        <w:t>最终剩余来自</w:t>
      </w:r>
      <w:r w:rsidR="0074510F">
        <w:rPr>
          <w:rFonts w:hint="eastAsia"/>
        </w:rPr>
        <w:t>100</w:t>
      </w:r>
      <w:r w:rsidR="00321B1D">
        <w:rPr>
          <w:rFonts w:hint="eastAsia"/>
        </w:rPr>
        <w:t>家机构</w:t>
      </w:r>
      <w:r w:rsidR="001B22E0">
        <w:rPr>
          <w:rFonts w:hint="eastAsia"/>
        </w:rPr>
        <w:t>2</w:t>
      </w:r>
      <w:r>
        <w:t>,</w:t>
      </w:r>
      <w:r w:rsidR="001B22E0">
        <w:rPr>
          <w:rFonts w:hint="eastAsia"/>
        </w:rPr>
        <w:t>461</w:t>
      </w:r>
      <w:r w:rsidR="00321B1D">
        <w:rPr>
          <w:rFonts w:hint="eastAsia"/>
        </w:rPr>
        <w:t>名分析师的</w:t>
      </w:r>
      <w:r w:rsidR="00722213">
        <w:rPr>
          <w:rFonts w:hint="eastAsia"/>
        </w:rPr>
        <w:t>20</w:t>
      </w:r>
      <w:r w:rsidR="001B22E0">
        <w:t>,</w:t>
      </w:r>
      <w:r w:rsidR="00722213">
        <w:rPr>
          <w:rFonts w:hint="eastAsia"/>
        </w:rPr>
        <w:t>327</w:t>
      </w:r>
      <w:r w:rsidR="00321B1D">
        <w:rPr>
          <w:rFonts w:hint="eastAsia"/>
        </w:rPr>
        <w:t>份公司深度研究报告报告，涉及沪深两市的</w:t>
      </w:r>
      <w:r w:rsidR="0074510F">
        <w:rPr>
          <w:rFonts w:hint="eastAsia"/>
        </w:rPr>
        <w:t>2</w:t>
      </w:r>
      <w:r w:rsidR="0074510F">
        <w:t>,</w:t>
      </w:r>
      <w:r w:rsidR="001B22E0">
        <w:rPr>
          <w:rFonts w:hint="eastAsia"/>
        </w:rPr>
        <w:t>134</w:t>
      </w:r>
      <w:r w:rsidR="00321B1D">
        <w:rPr>
          <w:rFonts w:hint="eastAsia"/>
        </w:rPr>
        <w:t>只股票，样本分布情况</w:t>
      </w:r>
      <w:r w:rsidR="00A8116B">
        <w:rPr>
          <w:rFonts w:hint="eastAsia"/>
        </w:rPr>
        <w:t>分布</w:t>
      </w:r>
      <w:r w:rsidR="00321B1D">
        <w:rPr>
          <w:rFonts w:hint="eastAsia"/>
        </w:rPr>
        <w:t>如</w:t>
      </w:r>
      <w:r w:rsidR="00A8116B">
        <w:fldChar w:fldCharType="begin"/>
      </w:r>
      <w:r w:rsidR="00A8116B">
        <w:instrText xml:space="preserve"> </w:instrText>
      </w:r>
      <w:r w:rsidR="00A8116B">
        <w:rPr>
          <w:rFonts w:hint="eastAsia"/>
        </w:rPr>
        <w:instrText>REF _Ref509227872 \h</w:instrText>
      </w:r>
      <w:r w:rsidR="00A8116B">
        <w:instrText xml:space="preserve"> </w:instrText>
      </w:r>
      <w:r w:rsidR="00A8116B">
        <w:fldChar w:fldCharType="separate"/>
      </w:r>
      <w:r w:rsidR="00A17E1F">
        <w:rPr>
          <w:rFonts w:hint="eastAsia"/>
        </w:rPr>
        <w:t>表</w:t>
      </w:r>
      <w:r w:rsidR="00A17E1F">
        <w:rPr>
          <w:noProof/>
        </w:rPr>
        <w:t>1</w:t>
      </w:r>
      <w:r w:rsidR="00A8116B">
        <w:fldChar w:fldCharType="end"/>
      </w:r>
      <w:r w:rsidR="00A8116B">
        <w:rPr>
          <w:rFonts w:hint="eastAsia"/>
        </w:rPr>
        <w:t>和</w:t>
      </w:r>
      <w:r w:rsidR="00A8116B">
        <w:fldChar w:fldCharType="begin"/>
      </w:r>
      <w:r w:rsidR="00A8116B">
        <w:instrText xml:space="preserve"> </w:instrText>
      </w:r>
      <w:r w:rsidR="00A8116B">
        <w:rPr>
          <w:rFonts w:hint="eastAsia"/>
        </w:rPr>
        <w:instrText>REF _Ref509227878 \h</w:instrText>
      </w:r>
      <w:r w:rsidR="00A8116B">
        <w:instrText xml:space="preserve"> </w:instrText>
      </w:r>
      <w:r w:rsidR="00A8116B">
        <w:fldChar w:fldCharType="separate"/>
      </w:r>
      <w:r w:rsidR="00A17E1F">
        <w:rPr>
          <w:rFonts w:hint="eastAsia"/>
        </w:rPr>
        <w:t>表</w:t>
      </w:r>
      <w:r w:rsidR="00A17E1F">
        <w:rPr>
          <w:noProof/>
        </w:rPr>
        <w:t>2</w:t>
      </w:r>
      <w:r w:rsidR="00A8116B">
        <w:fldChar w:fldCharType="end"/>
      </w:r>
      <w:r w:rsidR="00321B1D">
        <w:rPr>
          <w:rFonts w:hint="eastAsia"/>
        </w:rPr>
        <w:t>所示。</w:t>
      </w:r>
    </w:p>
    <w:p w14:paraId="1566996F" w14:textId="77777777" w:rsidR="00A74116" w:rsidRDefault="00A74116" w:rsidP="00A8116B">
      <w:pPr>
        <w:rPr>
          <w:rFonts w:hint="eastAsia"/>
        </w:rPr>
      </w:pPr>
    </w:p>
    <w:p w14:paraId="464FBF89" w14:textId="2DC0C50B" w:rsidR="00903852" w:rsidRDefault="00903852" w:rsidP="00903852">
      <w:pPr>
        <w:pStyle w:val="ad"/>
      </w:pPr>
      <w:bookmarkStart w:id="18" w:name="_Ref5092278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1</w:t>
      </w:r>
      <w:r>
        <w:fldChar w:fldCharType="end"/>
      </w:r>
      <w:bookmarkEnd w:id="18"/>
      <w:r>
        <w:t xml:space="preserve"> </w:t>
      </w:r>
      <w:r w:rsidR="00A74116">
        <w:rPr>
          <w:rFonts w:hint="eastAsia"/>
        </w:rPr>
        <w:t>样本</w:t>
      </w:r>
      <w:r>
        <w:rPr>
          <w:rFonts w:hint="eastAsia"/>
        </w:rPr>
        <w:t>投资评级分布情况</w:t>
      </w:r>
    </w:p>
    <w:tbl>
      <w:tblPr>
        <w:tblStyle w:val="6"/>
        <w:tblW w:w="5000" w:type="pct"/>
        <w:jc w:val="center"/>
        <w:tblLook w:val="07E0" w:firstRow="1" w:lastRow="1" w:firstColumn="1" w:lastColumn="1" w:noHBand="1" w:noVBand="1"/>
      </w:tblPr>
      <w:tblGrid>
        <w:gridCol w:w="1190"/>
        <w:gridCol w:w="1131"/>
        <w:gridCol w:w="980"/>
        <w:gridCol w:w="1131"/>
        <w:gridCol w:w="1131"/>
        <w:gridCol w:w="1374"/>
        <w:gridCol w:w="1369"/>
      </w:tblGrid>
      <w:tr w:rsidR="00BA74B5" w:rsidRPr="00A74116" w14:paraId="61FA0AD6" w14:textId="77777777" w:rsidTr="00E81A57">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single" w:sz="4" w:space="0" w:color="auto"/>
              <w:bottom w:val="nil"/>
            </w:tcBorders>
            <w:noWrap/>
            <w:vAlign w:val="center"/>
            <w:hideMark/>
          </w:tcPr>
          <w:p w14:paraId="3DC3D9CB" w14:textId="77777777" w:rsidR="00BA74B5" w:rsidRPr="00A74116" w:rsidRDefault="00BA74B5" w:rsidP="00A74116">
            <w:pPr>
              <w:ind w:firstLineChars="0" w:firstLine="0"/>
              <w:jc w:val="center"/>
            </w:pPr>
            <w:r w:rsidRPr="00A74116">
              <w:rPr>
                <w:rFonts w:hint="eastAsia"/>
              </w:rPr>
              <w:t>修正方向</w:t>
            </w:r>
          </w:p>
        </w:tc>
        <w:tc>
          <w:tcPr>
            <w:tcW w:w="3460" w:type="pct"/>
            <w:gridSpan w:val="5"/>
            <w:tcBorders>
              <w:top w:val="single" w:sz="4" w:space="0" w:color="auto"/>
              <w:bottom w:val="single" w:sz="4" w:space="0" w:color="auto"/>
            </w:tcBorders>
            <w:noWrap/>
            <w:vAlign w:val="center"/>
            <w:hideMark/>
          </w:tcPr>
          <w:p w14:paraId="5F734DDE" w14:textId="77777777" w:rsidR="00BA74B5" w:rsidRPr="00A74116" w:rsidRDefault="00BA74B5" w:rsidP="00A74116">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4116">
              <w:rPr>
                <w:rFonts w:hint="eastAsia"/>
              </w:rPr>
              <w:t>投资评级</w:t>
            </w:r>
          </w:p>
        </w:tc>
        <w:tc>
          <w:tcPr>
            <w:cnfStyle w:val="000100000000" w:firstRow="0" w:lastRow="0" w:firstColumn="0" w:lastColumn="1" w:oddVBand="0" w:evenVBand="0" w:oddHBand="0" w:evenHBand="0" w:firstRowFirstColumn="0" w:firstRowLastColumn="0" w:lastRowFirstColumn="0" w:lastRowLastColumn="0"/>
            <w:tcW w:w="824" w:type="pct"/>
            <w:vMerge w:val="restart"/>
            <w:tcBorders>
              <w:top w:val="single" w:sz="4" w:space="0" w:color="auto"/>
            </w:tcBorders>
            <w:vAlign w:val="center"/>
          </w:tcPr>
          <w:p w14:paraId="1D87133F" w14:textId="2FEE868B" w:rsidR="00BA74B5" w:rsidRPr="00A74116" w:rsidRDefault="00BA74B5" w:rsidP="00A74116">
            <w:pPr>
              <w:ind w:firstLineChars="0" w:firstLine="0"/>
              <w:jc w:val="center"/>
            </w:pPr>
            <w:r w:rsidRPr="00A74116">
              <w:rPr>
                <w:rFonts w:hint="eastAsia"/>
              </w:rPr>
              <w:t>合计</w:t>
            </w:r>
          </w:p>
        </w:tc>
      </w:tr>
      <w:tr w:rsidR="00BA74B5" w:rsidRPr="00A74116" w14:paraId="11AD1955" w14:textId="77777777" w:rsidTr="00503ADA">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top w:val="nil"/>
              <w:bottom w:val="single" w:sz="4" w:space="0" w:color="auto"/>
            </w:tcBorders>
            <w:vAlign w:val="center"/>
            <w:hideMark/>
          </w:tcPr>
          <w:p w14:paraId="507EA15D" w14:textId="77777777" w:rsidR="00BA74B5" w:rsidRPr="00A74116" w:rsidRDefault="00BA74B5" w:rsidP="00A74116">
            <w:pPr>
              <w:ind w:firstLineChars="0" w:firstLine="0"/>
              <w:jc w:val="center"/>
            </w:pPr>
          </w:p>
        </w:tc>
        <w:tc>
          <w:tcPr>
            <w:tcW w:w="681" w:type="pct"/>
            <w:tcBorders>
              <w:top w:val="single" w:sz="4" w:space="0" w:color="auto"/>
              <w:bottom w:val="single" w:sz="4" w:space="0" w:color="auto"/>
            </w:tcBorders>
            <w:noWrap/>
            <w:vAlign w:val="center"/>
            <w:hideMark/>
          </w:tcPr>
          <w:p w14:paraId="25013CA9" w14:textId="35E1C10A" w:rsidR="00BA74B5" w:rsidRPr="00A74116" w:rsidRDefault="00BA74B5"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rFonts w:hint="eastAsia"/>
                <w:b/>
              </w:rPr>
              <w:t>卖出</w:t>
            </w:r>
          </w:p>
        </w:tc>
        <w:tc>
          <w:tcPr>
            <w:tcW w:w="590" w:type="pct"/>
            <w:tcBorders>
              <w:top w:val="single" w:sz="4" w:space="0" w:color="auto"/>
              <w:bottom w:val="single" w:sz="4" w:space="0" w:color="auto"/>
            </w:tcBorders>
            <w:noWrap/>
            <w:vAlign w:val="center"/>
            <w:hideMark/>
          </w:tcPr>
          <w:p w14:paraId="3B80EAFF" w14:textId="6121A0A3" w:rsidR="00BA74B5" w:rsidRPr="00A74116" w:rsidRDefault="00BA74B5"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rFonts w:hint="eastAsia"/>
                <w:b/>
              </w:rPr>
              <w:t>减持</w:t>
            </w:r>
          </w:p>
        </w:tc>
        <w:tc>
          <w:tcPr>
            <w:tcW w:w="681" w:type="pct"/>
            <w:tcBorders>
              <w:top w:val="single" w:sz="4" w:space="0" w:color="auto"/>
              <w:bottom w:val="single" w:sz="4" w:space="0" w:color="auto"/>
            </w:tcBorders>
            <w:noWrap/>
            <w:vAlign w:val="center"/>
            <w:hideMark/>
          </w:tcPr>
          <w:p w14:paraId="5BC41D0A" w14:textId="77777777" w:rsidR="00BA74B5" w:rsidRPr="00A74116" w:rsidRDefault="00BA74B5"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rFonts w:hint="eastAsia"/>
                <w:b/>
              </w:rPr>
              <w:t>中性</w:t>
            </w:r>
          </w:p>
        </w:tc>
        <w:tc>
          <w:tcPr>
            <w:tcW w:w="681" w:type="pct"/>
            <w:tcBorders>
              <w:top w:val="single" w:sz="4" w:space="0" w:color="auto"/>
              <w:bottom w:val="single" w:sz="4" w:space="0" w:color="auto"/>
            </w:tcBorders>
            <w:noWrap/>
            <w:vAlign w:val="center"/>
            <w:hideMark/>
          </w:tcPr>
          <w:p w14:paraId="0D9AF1C3" w14:textId="1DAD18D0" w:rsidR="00BA74B5" w:rsidRPr="00A74116" w:rsidRDefault="00BA74B5"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rFonts w:hint="eastAsia"/>
                <w:b/>
              </w:rPr>
              <w:t>增持</w:t>
            </w:r>
          </w:p>
        </w:tc>
        <w:tc>
          <w:tcPr>
            <w:tcW w:w="827" w:type="pct"/>
            <w:tcBorders>
              <w:top w:val="single" w:sz="4" w:space="0" w:color="auto"/>
              <w:bottom w:val="single" w:sz="4" w:space="0" w:color="auto"/>
            </w:tcBorders>
            <w:noWrap/>
            <w:vAlign w:val="center"/>
            <w:hideMark/>
          </w:tcPr>
          <w:p w14:paraId="0C397340" w14:textId="69C705FB" w:rsidR="00BA74B5" w:rsidRPr="00A74116" w:rsidRDefault="00BA74B5"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rFonts w:hint="eastAsia"/>
                <w:b/>
              </w:rPr>
              <w:t>买入</w:t>
            </w:r>
          </w:p>
        </w:tc>
        <w:tc>
          <w:tcPr>
            <w:cnfStyle w:val="000100000000" w:firstRow="0" w:lastRow="0" w:firstColumn="0" w:lastColumn="1" w:oddVBand="0" w:evenVBand="0" w:oddHBand="0" w:evenHBand="0" w:firstRowFirstColumn="0" w:firstRowLastColumn="0" w:lastRowFirstColumn="0" w:lastRowLastColumn="0"/>
            <w:tcW w:w="824" w:type="pct"/>
            <w:vMerge/>
            <w:tcBorders>
              <w:bottom w:val="single" w:sz="4" w:space="0" w:color="auto"/>
            </w:tcBorders>
            <w:noWrap/>
            <w:vAlign w:val="center"/>
            <w:hideMark/>
          </w:tcPr>
          <w:p w14:paraId="13071493" w14:textId="693EF94A" w:rsidR="00BA74B5" w:rsidRPr="00A74116" w:rsidRDefault="00BA74B5" w:rsidP="00A74116">
            <w:pPr>
              <w:ind w:firstLineChars="0" w:firstLine="0"/>
              <w:jc w:val="center"/>
            </w:pPr>
          </w:p>
        </w:tc>
      </w:tr>
      <w:tr w:rsidR="00903852" w:rsidRPr="00A74116" w14:paraId="1570B4B7"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single" w:sz="4" w:space="0" w:color="auto"/>
            </w:tcBorders>
            <w:noWrap/>
            <w:vAlign w:val="center"/>
            <w:hideMark/>
          </w:tcPr>
          <w:p w14:paraId="38B181C2" w14:textId="5BD60368" w:rsidR="00903852" w:rsidRPr="00A74116" w:rsidRDefault="005D4D44" w:rsidP="00A74116">
            <w:pPr>
              <w:ind w:firstLineChars="0" w:firstLine="0"/>
              <w:jc w:val="center"/>
            </w:pPr>
            <w:r w:rsidRPr="00A74116">
              <w:t>F</w:t>
            </w:r>
            <w:r w:rsidRPr="00A74116">
              <w:rPr>
                <w:rFonts w:hint="eastAsia"/>
              </w:rPr>
              <w:t>irst</w:t>
            </w:r>
          </w:p>
        </w:tc>
        <w:tc>
          <w:tcPr>
            <w:tcW w:w="681" w:type="pct"/>
            <w:tcBorders>
              <w:top w:val="single" w:sz="4" w:space="0" w:color="auto"/>
            </w:tcBorders>
            <w:noWrap/>
            <w:hideMark/>
          </w:tcPr>
          <w:p w14:paraId="0CCBCBF1" w14:textId="7B1DE1DF"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12</w:t>
            </w:r>
          </w:p>
        </w:tc>
        <w:tc>
          <w:tcPr>
            <w:tcW w:w="590" w:type="pct"/>
            <w:tcBorders>
              <w:top w:val="single" w:sz="4" w:space="0" w:color="auto"/>
            </w:tcBorders>
            <w:noWrap/>
            <w:hideMark/>
          </w:tcPr>
          <w:p w14:paraId="015B9593" w14:textId="7680A212"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2</w:t>
            </w:r>
          </w:p>
        </w:tc>
        <w:tc>
          <w:tcPr>
            <w:tcW w:w="681" w:type="pct"/>
            <w:tcBorders>
              <w:top w:val="single" w:sz="4" w:space="0" w:color="auto"/>
            </w:tcBorders>
            <w:noWrap/>
            <w:hideMark/>
          </w:tcPr>
          <w:p w14:paraId="3185E4A5" w14:textId="2386567F"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292</w:t>
            </w:r>
          </w:p>
        </w:tc>
        <w:tc>
          <w:tcPr>
            <w:tcW w:w="681" w:type="pct"/>
            <w:tcBorders>
              <w:top w:val="single" w:sz="4" w:space="0" w:color="auto"/>
            </w:tcBorders>
            <w:noWrap/>
            <w:hideMark/>
          </w:tcPr>
          <w:p w14:paraId="78A16947" w14:textId="6967568E"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3,081</w:t>
            </w:r>
          </w:p>
        </w:tc>
        <w:tc>
          <w:tcPr>
            <w:tcW w:w="827" w:type="pct"/>
            <w:tcBorders>
              <w:top w:val="single" w:sz="4" w:space="0" w:color="auto"/>
            </w:tcBorders>
            <w:noWrap/>
            <w:hideMark/>
          </w:tcPr>
          <w:p w14:paraId="6350BE3E" w14:textId="426AB7D5"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6,269</w:t>
            </w:r>
          </w:p>
        </w:tc>
        <w:tc>
          <w:tcPr>
            <w:cnfStyle w:val="000100000000" w:firstRow="0" w:lastRow="0" w:firstColumn="0" w:lastColumn="1" w:oddVBand="0" w:evenVBand="0" w:oddHBand="0" w:evenHBand="0" w:firstRowFirstColumn="0" w:firstRowLastColumn="0" w:lastRowFirstColumn="0" w:lastRowLastColumn="0"/>
            <w:tcW w:w="824" w:type="pct"/>
            <w:tcBorders>
              <w:top w:val="single" w:sz="4" w:space="0" w:color="auto"/>
            </w:tcBorders>
            <w:noWrap/>
            <w:hideMark/>
          </w:tcPr>
          <w:p w14:paraId="2B9F32E8" w14:textId="18056FD0" w:rsidR="00903852" w:rsidRPr="00A74116" w:rsidRDefault="00903852" w:rsidP="00A74116">
            <w:pPr>
              <w:ind w:firstLineChars="0" w:firstLine="0"/>
              <w:jc w:val="center"/>
            </w:pPr>
            <w:r w:rsidRPr="00A74116">
              <w:t>9,656</w:t>
            </w:r>
          </w:p>
        </w:tc>
      </w:tr>
      <w:tr w:rsidR="00903852" w:rsidRPr="00A74116" w14:paraId="409D4A48"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ign w:val="center"/>
            <w:hideMark/>
          </w:tcPr>
          <w:p w14:paraId="1FD1A06E" w14:textId="77777777" w:rsidR="00903852" w:rsidRPr="00A74116" w:rsidRDefault="00903852" w:rsidP="00A74116">
            <w:pPr>
              <w:ind w:firstLineChars="0" w:firstLine="0"/>
              <w:jc w:val="center"/>
            </w:pPr>
          </w:p>
        </w:tc>
        <w:tc>
          <w:tcPr>
            <w:tcW w:w="681" w:type="pct"/>
            <w:noWrap/>
            <w:hideMark/>
          </w:tcPr>
          <w:p w14:paraId="48046E88" w14:textId="386DB1A9"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0.06</w:t>
            </w:r>
            <w:r w:rsidR="00A8116B" w:rsidRPr="00A74116">
              <w:t>%</w:t>
            </w:r>
          </w:p>
        </w:tc>
        <w:tc>
          <w:tcPr>
            <w:tcW w:w="590" w:type="pct"/>
            <w:noWrap/>
            <w:hideMark/>
          </w:tcPr>
          <w:p w14:paraId="6D1137B0" w14:textId="46944C24"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0.01</w:t>
            </w:r>
            <w:r w:rsidR="00A8116B" w:rsidRPr="00A74116">
              <w:t>%</w:t>
            </w:r>
          </w:p>
        </w:tc>
        <w:tc>
          <w:tcPr>
            <w:tcW w:w="681" w:type="pct"/>
            <w:noWrap/>
            <w:hideMark/>
          </w:tcPr>
          <w:p w14:paraId="48924470" w14:textId="5E60C1C7"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1.44</w:t>
            </w:r>
            <w:r w:rsidR="00A8116B" w:rsidRPr="00A74116">
              <w:t>%</w:t>
            </w:r>
          </w:p>
        </w:tc>
        <w:tc>
          <w:tcPr>
            <w:tcW w:w="681" w:type="pct"/>
            <w:noWrap/>
            <w:hideMark/>
          </w:tcPr>
          <w:p w14:paraId="2E584CF0" w14:textId="1CE7DE8A"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15.16</w:t>
            </w:r>
            <w:r w:rsidR="00A8116B" w:rsidRPr="00A74116">
              <w:t>%</w:t>
            </w:r>
          </w:p>
        </w:tc>
        <w:tc>
          <w:tcPr>
            <w:tcW w:w="827" w:type="pct"/>
            <w:noWrap/>
            <w:hideMark/>
          </w:tcPr>
          <w:p w14:paraId="0C8C5B46" w14:textId="7F705BAC"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30.84</w:t>
            </w:r>
            <w:r w:rsidR="00A8116B" w:rsidRPr="00A74116">
              <w:t>%</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7F9635DD" w14:textId="5FED3437" w:rsidR="00903852" w:rsidRPr="00A74116" w:rsidRDefault="00903852" w:rsidP="00A74116">
            <w:pPr>
              <w:ind w:firstLineChars="0" w:firstLine="0"/>
              <w:jc w:val="center"/>
            </w:pPr>
            <w:r w:rsidRPr="00A74116">
              <w:t>47.5</w:t>
            </w:r>
            <w:r w:rsidR="005D4D44" w:rsidRPr="00A74116">
              <w:t>0</w:t>
            </w:r>
            <w:r w:rsidR="00A8116B" w:rsidRPr="00A74116">
              <w:t>%</w:t>
            </w:r>
          </w:p>
        </w:tc>
      </w:tr>
      <w:tr w:rsidR="00903852" w:rsidRPr="00A74116" w14:paraId="57BD6778"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vAlign w:val="center"/>
            <w:hideMark/>
          </w:tcPr>
          <w:p w14:paraId="6D3794AE" w14:textId="0F225FAD" w:rsidR="00903852" w:rsidRPr="00A74116" w:rsidRDefault="005D4D44" w:rsidP="00A74116">
            <w:pPr>
              <w:ind w:firstLineChars="0" w:firstLine="0"/>
              <w:jc w:val="center"/>
            </w:pPr>
            <w:r w:rsidRPr="00A74116">
              <w:rPr>
                <w:rFonts w:hint="eastAsia"/>
              </w:rPr>
              <w:t>Keep</w:t>
            </w:r>
          </w:p>
        </w:tc>
        <w:tc>
          <w:tcPr>
            <w:tcW w:w="681" w:type="pct"/>
            <w:noWrap/>
            <w:hideMark/>
          </w:tcPr>
          <w:p w14:paraId="084FBFF7" w14:textId="27BF9D32"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17</w:t>
            </w:r>
          </w:p>
        </w:tc>
        <w:tc>
          <w:tcPr>
            <w:tcW w:w="590" w:type="pct"/>
            <w:noWrap/>
            <w:hideMark/>
          </w:tcPr>
          <w:p w14:paraId="768417CE" w14:textId="422D5F74"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w:t>
            </w:r>
          </w:p>
        </w:tc>
        <w:tc>
          <w:tcPr>
            <w:tcW w:w="681" w:type="pct"/>
            <w:noWrap/>
            <w:hideMark/>
          </w:tcPr>
          <w:p w14:paraId="44923910" w14:textId="48FFE5DA"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222</w:t>
            </w:r>
          </w:p>
        </w:tc>
        <w:tc>
          <w:tcPr>
            <w:tcW w:w="681" w:type="pct"/>
            <w:noWrap/>
            <w:hideMark/>
          </w:tcPr>
          <w:p w14:paraId="38A40523" w14:textId="57596606"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2,095</w:t>
            </w:r>
          </w:p>
        </w:tc>
        <w:tc>
          <w:tcPr>
            <w:tcW w:w="827" w:type="pct"/>
            <w:noWrap/>
            <w:hideMark/>
          </w:tcPr>
          <w:p w14:paraId="0765DFE4" w14:textId="28F46886"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7,253</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6A4AEEF0" w14:textId="0938A814" w:rsidR="00903852" w:rsidRPr="00A74116" w:rsidRDefault="00903852" w:rsidP="00A74116">
            <w:pPr>
              <w:ind w:firstLineChars="0" w:firstLine="0"/>
              <w:jc w:val="center"/>
            </w:pPr>
            <w:r w:rsidRPr="00A74116">
              <w:t>9,587</w:t>
            </w:r>
          </w:p>
        </w:tc>
      </w:tr>
      <w:tr w:rsidR="00903852" w:rsidRPr="00A74116" w14:paraId="0F92064A"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ign w:val="center"/>
            <w:hideMark/>
          </w:tcPr>
          <w:p w14:paraId="18375138" w14:textId="77777777" w:rsidR="00903852" w:rsidRPr="00A74116" w:rsidRDefault="00903852" w:rsidP="00A74116">
            <w:pPr>
              <w:ind w:firstLineChars="0" w:firstLine="0"/>
              <w:jc w:val="center"/>
            </w:pPr>
          </w:p>
        </w:tc>
        <w:tc>
          <w:tcPr>
            <w:tcW w:w="681" w:type="pct"/>
            <w:noWrap/>
            <w:hideMark/>
          </w:tcPr>
          <w:p w14:paraId="1D339708" w14:textId="63457224"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0.08</w:t>
            </w:r>
            <w:r w:rsidR="00A8116B" w:rsidRPr="00A74116">
              <w:t>%</w:t>
            </w:r>
          </w:p>
        </w:tc>
        <w:tc>
          <w:tcPr>
            <w:tcW w:w="590" w:type="pct"/>
            <w:noWrap/>
            <w:hideMark/>
          </w:tcPr>
          <w:p w14:paraId="5F35BE88" w14:textId="3E909210" w:rsidR="00903852" w:rsidRPr="00A74116" w:rsidRDefault="00A8116B"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rPr>
                <w:rFonts w:hint="eastAsia"/>
              </w:rPr>
              <w:t>-</w:t>
            </w:r>
          </w:p>
        </w:tc>
        <w:tc>
          <w:tcPr>
            <w:tcW w:w="681" w:type="pct"/>
            <w:noWrap/>
            <w:hideMark/>
          </w:tcPr>
          <w:p w14:paraId="2BDB6330" w14:textId="40F6CB15"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1.09</w:t>
            </w:r>
            <w:r w:rsidR="00A8116B" w:rsidRPr="00A74116">
              <w:t>%</w:t>
            </w:r>
          </w:p>
        </w:tc>
        <w:tc>
          <w:tcPr>
            <w:tcW w:w="681" w:type="pct"/>
            <w:noWrap/>
            <w:hideMark/>
          </w:tcPr>
          <w:p w14:paraId="1A7904FA" w14:textId="06511134"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10.31</w:t>
            </w:r>
            <w:r w:rsidR="00A8116B" w:rsidRPr="00A74116">
              <w:t>%</w:t>
            </w:r>
          </w:p>
        </w:tc>
        <w:tc>
          <w:tcPr>
            <w:tcW w:w="827" w:type="pct"/>
            <w:noWrap/>
            <w:hideMark/>
          </w:tcPr>
          <w:p w14:paraId="2FC0AACF" w14:textId="1479D83D"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35.68</w:t>
            </w:r>
            <w:r w:rsidR="00A8116B" w:rsidRPr="00A74116">
              <w:t>%</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0D65A5B0" w14:textId="29F8F8D3" w:rsidR="00903852" w:rsidRPr="00A74116" w:rsidRDefault="00903852" w:rsidP="00A74116">
            <w:pPr>
              <w:ind w:firstLineChars="0" w:firstLine="0"/>
              <w:jc w:val="center"/>
            </w:pPr>
            <w:r w:rsidRPr="00A74116">
              <w:t>47.16</w:t>
            </w:r>
            <w:r w:rsidR="00A8116B" w:rsidRPr="00A74116">
              <w:t>%</w:t>
            </w:r>
          </w:p>
        </w:tc>
      </w:tr>
      <w:tr w:rsidR="00903852" w:rsidRPr="00A74116" w14:paraId="207F9D00"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vAlign w:val="center"/>
            <w:hideMark/>
          </w:tcPr>
          <w:p w14:paraId="700804F2" w14:textId="77777777" w:rsidR="00903852" w:rsidRPr="00A74116" w:rsidRDefault="00903852" w:rsidP="00A74116">
            <w:pPr>
              <w:ind w:firstLineChars="0" w:firstLine="0"/>
              <w:jc w:val="center"/>
            </w:pPr>
            <w:r w:rsidRPr="00A74116">
              <w:rPr>
                <w:rFonts w:hint="eastAsia"/>
              </w:rPr>
              <w:t>Up</w:t>
            </w:r>
          </w:p>
        </w:tc>
        <w:tc>
          <w:tcPr>
            <w:tcW w:w="681" w:type="pct"/>
            <w:noWrap/>
            <w:hideMark/>
          </w:tcPr>
          <w:p w14:paraId="7EB29D5D" w14:textId="2AE4DC0E"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w:t>
            </w:r>
          </w:p>
        </w:tc>
        <w:tc>
          <w:tcPr>
            <w:tcW w:w="590" w:type="pct"/>
            <w:noWrap/>
            <w:hideMark/>
          </w:tcPr>
          <w:p w14:paraId="254BF6E4" w14:textId="6F875D31"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w:t>
            </w:r>
          </w:p>
        </w:tc>
        <w:tc>
          <w:tcPr>
            <w:tcW w:w="681" w:type="pct"/>
            <w:noWrap/>
            <w:hideMark/>
          </w:tcPr>
          <w:p w14:paraId="6E4B5747" w14:textId="55AC4C26"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18</w:t>
            </w:r>
          </w:p>
        </w:tc>
        <w:tc>
          <w:tcPr>
            <w:tcW w:w="681" w:type="pct"/>
            <w:noWrap/>
            <w:hideMark/>
          </w:tcPr>
          <w:p w14:paraId="5B601F73" w14:textId="5DF05639"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53</w:t>
            </w:r>
          </w:p>
        </w:tc>
        <w:tc>
          <w:tcPr>
            <w:tcW w:w="827" w:type="pct"/>
            <w:noWrap/>
            <w:hideMark/>
          </w:tcPr>
          <w:p w14:paraId="11A364E8" w14:textId="7DC4DA6D"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884</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4462E1DC" w14:textId="0C009DA2" w:rsidR="00903852" w:rsidRPr="00A74116" w:rsidRDefault="00903852" w:rsidP="00A74116">
            <w:pPr>
              <w:ind w:firstLineChars="0" w:firstLine="0"/>
              <w:jc w:val="center"/>
            </w:pPr>
            <w:r w:rsidRPr="00A74116">
              <w:t>955</w:t>
            </w:r>
          </w:p>
        </w:tc>
      </w:tr>
      <w:tr w:rsidR="00903852" w:rsidRPr="00A74116" w14:paraId="5275A2A6"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ign w:val="center"/>
            <w:hideMark/>
          </w:tcPr>
          <w:p w14:paraId="5AB6C7F0" w14:textId="77777777" w:rsidR="00903852" w:rsidRPr="00A74116" w:rsidRDefault="00903852" w:rsidP="00A74116">
            <w:pPr>
              <w:ind w:firstLineChars="0" w:firstLine="0"/>
              <w:jc w:val="center"/>
            </w:pPr>
          </w:p>
        </w:tc>
        <w:tc>
          <w:tcPr>
            <w:tcW w:w="681" w:type="pct"/>
            <w:noWrap/>
            <w:hideMark/>
          </w:tcPr>
          <w:p w14:paraId="31213235" w14:textId="08ABEC48" w:rsidR="00903852" w:rsidRPr="00A74116" w:rsidRDefault="00A8116B"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w:t>
            </w:r>
          </w:p>
        </w:tc>
        <w:tc>
          <w:tcPr>
            <w:tcW w:w="590" w:type="pct"/>
            <w:noWrap/>
            <w:hideMark/>
          </w:tcPr>
          <w:p w14:paraId="618FE3EF" w14:textId="37AED5DF" w:rsidR="00903852" w:rsidRPr="00A74116" w:rsidRDefault="00A8116B"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w:t>
            </w:r>
          </w:p>
        </w:tc>
        <w:tc>
          <w:tcPr>
            <w:tcW w:w="681" w:type="pct"/>
            <w:noWrap/>
            <w:hideMark/>
          </w:tcPr>
          <w:p w14:paraId="68282901" w14:textId="56D9ABA9"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0.09</w:t>
            </w:r>
            <w:r w:rsidR="00A8116B" w:rsidRPr="00A74116">
              <w:t>%</w:t>
            </w:r>
          </w:p>
        </w:tc>
        <w:tc>
          <w:tcPr>
            <w:tcW w:w="681" w:type="pct"/>
            <w:noWrap/>
            <w:hideMark/>
          </w:tcPr>
          <w:p w14:paraId="67B9FBC1" w14:textId="6F0DACCA"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0.26</w:t>
            </w:r>
            <w:r w:rsidR="00A8116B" w:rsidRPr="00A74116">
              <w:t>%</w:t>
            </w:r>
          </w:p>
        </w:tc>
        <w:tc>
          <w:tcPr>
            <w:tcW w:w="827" w:type="pct"/>
            <w:noWrap/>
            <w:hideMark/>
          </w:tcPr>
          <w:p w14:paraId="64FC06A2" w14:textId="21694E4A"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4.35</w:t>
            </w:r>
            <w:r w:rsidR="00A8116B" w:rsidRPr="00A74116">
              <w:t>%</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339767CB" w14:textId="4F6E7E22" w:rsidR="00903852" w:rsidRPr="00A74116" w:rsidRDefault="00903852" w:rsidP="00A74116">
            <w:pPr>
              <w:ind w:firstLineChars="0" w:firstLine="0"/>
              <w:jc w:val="center"/>
            </w:pPr>
            <w:r w:rsidRPr="00A74116">
              <w:t>4.7</w:t>
            </w:r>
            <w:r w:rsidR="005D4D44" w:rsidRPr="00A74116">
              <w:t>0</w:t>
            </w:r>
            <w:r w:rsidR="00A8116B" w:rsidRPr="00A74116">
              <w:t>%</w:t>
            </w:r>
          </w:p>
        </w:tc>
      </w:tr>
      <w:tr w:rsidR="00903852" w:rsidRPr="00A74116" w14:paraId="71B46C5D"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vAlign w:val="center"/>
            <w:hideMark/>
          </w:tcPr>
          <w:p w14:paraId="05ED9439" w14:textId="77777777" w:rsidR="00903852" w:rsidRPr="00A74116" w:rsidRDefault="00903852" w:rsidP="00A74116">
            <w:pPr>
              <w:ind w:firstLineChars="0" w:firstLine="0"/>
              <w:jc w:val="center"/>
            </w:pPr>
            <w:r w:rsidRPr="00A74116">
              <w:rPr>
                <w:rFonts w:hint="eastAsia"/>
              </w:rPr>
              <w:t>Down</w:t>
            </w:r>
          </w:p>
        </w:tc>
        <w:tc>
          <w:tcPr>
            <w:tcW w:w="681" w:type="pct"/>
            <w:noWrap/>
            <w:hideMark/>
          </w:tcPr>
          <w:p w14:paraId="065C00FD" w14:textId="5B55B865"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8</w:t>
            </w:r>
          </w:p>
        </w:tc>
        <w:tc>
          <w:tcPr>
            <w:tcW w:w="590" w:type="pct"/>
            <w:noWrap/>
            <w:hideMark/>
          </w:tcPr>
          <w:p w14:paraId="129E98D2" w14:textId="6634B068"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w:t>
            </w:r>
          </w:p>
        </w:tc>
        <w:tc>
          <w:tcPr>
            <w:tcW w:w="681" w:type="pct"/>
            <w:noWrap/>
            <w:hideMark/>
          </w:tcPr>
          <w:p w14:paraId="69595886" w14:textId="274065E3"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87</w:t>
            </w:r>
          </w:p>
        </w:tc>
        <w:tc>
          <w:tcPr>
            <w:tcW w:w="681" w:type="pct"/>
            <w:noWrap/>
            <w:hideMark/>
          </w:tcPr>
          <w:p w14:paraId="23A5FB47" w14:textId="26E8B85F"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34</w:t>
            </w:r>
          </w:p>
        </w:tc>
        <w:tc>
          <w:tcPr>
            <w:tcW w:w="827" w:type="pct"/>
            <w:noWrap/>
            <w:hideMark/>
          </w:tcPr>
          <w:p w14:paraId="31A58A2B" w14:textId="1C83D2DB"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36B25004" w14:textId="1FFC1CA7" w:rsidR="00903852" w:rsidRPr="00A74116" w:rsidRDefault="00903852" w:rsidP="00A74116">
            <w:pPr>
              <w:ind w:firstLineChars="0" w:firstLine="0"/>
              <w:jc w:val="center"/>
            </w:pPr>
            <w:r w:rsidRPr="00A74116">
              <w:t>129</w:t>
            </w:r>
          </w:p>
        </w:tc>
      </w:tr>
      <w:tr w:rsidR="00903852" w:rsidRPr="00A74116" w14:paraId="67A57F10"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bottom w:val="double" w:sz="4" w:space="0" w:color="auto"/>
            </w:tcBorders>
            <w:vAlign w:val="center"/>
            <w:hideMark/>
          </w:tcPr>
          <w:p w14:paraId="31AE0D7E" w14:textId="77777777" w:rsidR="00903852" w:rsidRPr="00A74116" w:rsidRDefault="00903852" w:rsidP="00A74116">
            <w:pPr>
              <w:ind w:firstLineChars="0" w:firstLine="0"/>
              <w:jc w:val="center"/>
            </w:pPr>
          </w:p>
        </w:tc>
        <w:tc>
          <w:tcPr>
            <w:tcW w:w="681" w:type="pct"/>
            <w:tcBorders>
              <w:bottom w:val="double" w:sz="4" w:space="0" w:color="auto"/>
            </w:tcBorders>
            <w:noWrap/>
            <w:hideMark/>
          </w:tcPr>
          <w:p w14:paraId="7D486F37" w14:textId="6BAF25CA"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0.04</w:t>
            </w:r>
            <w:r w:rsidR="00A8116B" w:rsidRPr="00A74116">
              <w:t>%</w:t>
            </w:r>
          </w:p>
        </w:tc>
        <w:tc>
          <w:tcPr>
            <w:tcW w:w="590" w:type="pct"/>
            <w:tcBorders>
              <w:bottom w:val="double" w:sz="4" w:space="0" w:color="auto"/>
            </w:tcBorders>
            <w:noWrap/>
            <w:hideMark/>
          </w:tcPr>
          <w:p w14:paraId="5EDF8604" w14:textId="791DD542" w:rsidR="00903852" w:rsidRPr="00A74116" w:rsidRDefault="00A8116B"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w:t>
            </w:r>
          </w:p>
        </w:tc>
        <w:tc>
          <w:tcPr>
            <w:tcW w:w="681" w:type="pct"/>
            <w:tcBorders>
              <w:bottom w:val="double" w:sz="4" w:space="0" w:color="auto"/>
            </w:tcBorders>
            <w:noWrap/>
            <w:hideMark/>
          </w:tcPr>
          <w:p w14:paraId="40253D2A" w14:textId="779B53B9"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0.43</w:t>
            </w:r>
            <w:r w:rsidR="00A8116B" w:rsidRPr="00A74116">
              <w:t>%</w:t>
            </w:r>
          </w:p>
        </w:tc>
        <w:tc>
          <w:tcPr>
            <w:tcW w:w="681" w:type="pct"/>
            <w:tcBorders>
              <w:bottom w:val="double" w:sz="4" w:space="0" w:color="auto"/>
            </w:tcBorders>
            <w:noWrap/>
            <w:hideMark/>
          </w:tcPr>
          <w:p w14:paraId="6FA85BCE" w14:textId="7AAAA45C"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0.17</w:t>
            </w:r>
            <w:r w:rsidR="00A8116B" w:rsidRPr="00A74116">
              <w:t>%</w:t>
            </w:r>
          </w:p>
        </w:tc>
        <w:tc>
          <w:tcPr>
            <w:tcW w:w="827" w:type="pct"/>
            <w:tcBorders>
              <w:bottom w:val="double" w:sz="4" w:space="0" w:color="auto"/>
            </w:tcBorders>
            <w:noWrap/>
            <w:hideMark/>
          </w:tcPr>
          <w:p w14:paraId="28D6EF17" w14:textId="706B45C6" w:rsidR="00903852" w:rsidRPr="00A74116" w:rsidRDefault="00A8116B" w:rsidP="00A7411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74116">
              <w:t>-</w:t>
            </w:r>
          </w:p>
        </w:tc>
        <w:tc>
          <w:tcPr>
            <w:cnfStyle w:val="000100000000" w:firstRow="0" w:lastRow="0" w:firstColumn="0" w:lastColumn="1" w:oddVBand="0" w:evenVBand="0" w:oddHBand="0" w:evenHBand="0" w:firstRowFirstColumn="0" w:firstRowLastColumn="0" w:lastRowFirstColumn="0" w:lastRowLastColumn="0"/>
            <w:tcW w:w="824" w:type="pct"/>
            <w:tcBorders>
              <w:bottom w:val="double" w:sz="4" w:space="0" w:color="auto"/>
            </w:tcBorders>
            <w:noWrap/>
            <w:hideMark/>
          </w:tcPr>
          <w:p w14:paraId="589F0591" w14:textId="5CE9C321" w:rsidR="00903852" w:rsidRPr="00A74116" w:rsidRDefault="00903852" w:rsidP="00A74116">
            <w:pPr>
              <w:ind w:firstLineChars="0" w:firstLine="0"/>
              <w:jc w:val="center"/>
            </w:pPr>
            <w:r w:rsidRPr="00A74116">
              <w:t>0.63</w:t>
            </w:r>
            <w:r w:rsidR="00A8116B" w:rsidRPr="00A74116">
              <w:t>%</w:t>
            </w:r>
          </w:p>
        </w:tc>
      </w:tr>
      <w:tr w:rsidR="00903852" w:rsidRPr="00A74116" w14:paraId="539F7F64"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double" w:sz="4" w:space="0" w:color="auto"/>
            </w:tcBorders>
            <w:noWrap/>
            <w:vAlign w:val="center"/>
            <w:hideMark/>
          </w:tcPr>
          <w:p w14:paraId="53087E86" w14:textId="77777777" w:rsidR="00903852" w:rsidRPr="00A74116" w:rsidRDefault="00903852" w:rsidP="00A74116">
            <w:pPr>
              <w:ind w:firstLineChars="0" w:firstLine="0"/>
              <w:jc w:val="center"/>
            </w:pPr>
            <w:r w:rsidRPr="00A74116">
              <w:rPr>
                <w:rFonts w:hint="eastAsia"/>
              </w:rPr>
              <w:t>合计</w:t>
            </w:r>
          </w:p>
        </w:tc>
        <w:tc>
          <w:tcPr>
            <w:tcW w:w="681" w:type="pct"/>
            <w:tcBorders>
              <w:top w:val="double" w:sz="4" w:space="0" w:color="auto"/>
              <w:bottom w:val="nil"/>
            </w:tcBorders>
            <w:noWrap/>
            <w:hideMark/>
          </w:tcPr>
          <w:p w14:paraId="07EAC23C" w14:textId="7A903390"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b/>
              </w:rPr>
              <w:t>37</w:t>
            </w:r>
          </w:p>
        </w:tc>
        <w:tc>
          <w:tcPr>
            <w:tcW w:w="590" w:type="pct"/>
            <w:tcBorders>
              <w:top w:val="double" w:sz="4" w:space="0" w:color="auto"/>
              <w:bottom w:val="nil"/>
            </w:tcBorders>
            <w:noWrap/>
            <w:hideMark/>
          </w:tcPr>
          <w:p w14:paraId="542A2C52" w14:textId="57BDDABB"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b/>
              </w:rPr>
              <w:t>2</w:t>
            </w:r>
          </w:p>
        </w:tc>
        <w:tc>
          <w:tcPr>
            <w:tcW w:w="681" w:type="pct"/>
            <w:tcBorders>
              <w:top w:val="double" w:sz="4" w:space="0" w:color="auto"/>
              <w:bottom w:val="nil"/>
            </w:tcBorders>
            <w:noWrap/>
            <w:hideMark/>
          </w:tcPr>
          <w:p w14:paraId="70F32C4A" w14:textId="416424F8"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b/>
              </w:rPr>
              <w:t>619</w:t>
            </w:r>
          </w:p>
        </w:tc>
        <w:tc>
          <w:tcPr>
            <w:tcW w:w="681" w:type="pct"/>
            <w:tcBorders>
              <w:top w:val="double" w:sz="4" w:space="0" w:color="auto"/>
              <w:bottom w:val="nil"/>
            </w:tcBorders>
            <w:noWrap/>
            <w:hideMark/>
          </w:tcPr>
          <w:p w14:paraId="3BF6FF4E" w14:textId="09726F7A"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b/>
              </w:rPr>
              <w:t>5,263</w:t>
            </w:r>
          </w:p>
        </w:tc>
        <w:tc>
          <w:tcPr>
            <w:tcW w:w="827" w:type="pct"/>
            <w:tcBorders>
              <w:top w:val="double" w:sz="4" w:space="0" w:color="auto"/>
              <w:bottom w:val="nil"/>
            </w:tcBorders>
            <w:noWrap/>
            <w:hideMark/>
          </w:tcPr>
          <w:p w14:paraId="0DAD26E2" w14:textId="4604DF15" w:rsidR="00903852" w:rsidRPr="00A74116" w:rsidRDefault="00903852" w:rsidP="00A74116">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A74116">
              <w:rPr>
                <w:b/>
              </w:rPr>
              <w:t>14,406</w:t>
            </w:r>
          </w:p>
        </w:tc>
        <w:tc>
          <w:tcPr>
            <w:cnfStyle w:val="000100000000" w:firstRow="0" w:lastRow="0" w:firstColumn="0" w:lastColumn="1" w:oddVBand="0" w:evenVBand="0" w:oddHBand="0" w:evenHBand="0" w:firstRowFirstColumn="0" w:firstRowLastColumn="0" w:lastRowFirstColumn="0" w:lastRowLastColumn="0"/>
            <w:tcW w:w="824" w:type="pct"/>
            <w:tcBorders>
              <w:top w:val="double" w:sz="4" w:space="0" w:color="auto"/>
              <w:bottom w:val="nil"/>
            </w:tcBorders>
            <w:noWrap/>
            <w:hideMark/>
          </w:tcPr>
          <w:p w14:paraId="46B973E2" w14:textId="45804D45" w:rsidR="00903852" w:rsidRPr="00A74116" w:rsidRDefault="00903852" w:rsidP="00A74116">
            <w:pPr>
              <w:ind w:firstLineChars="0" w:firstLine="0"/>
              <w:jc w:val="center"/>
            </w:pPr>
            <w:r w:rsidRPr="00A74116">
              <w:t>20,327</w:t>
            </w:r>
          </w:p>
        </w:tc>
      </w:tr>
      <w:tr w:rsidR="00903852" w:rsidRPr="00A74116" w14:paraId="7B6B54C6" w14:textId="77777777" w:rsidTr="00BA74B5">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bottom w:val="single" w:sz="12" w:space="0" w:color="auto"/>
            </w:tcBorders>
            <w:vAlign w:val="center"/>
            <w:hideMark/>
          </w:tcPr>
          <w:p w14:paraId="28E6F473" w14:textId="77777777" w:rsidR="00903852" w:rsidRPr="00A74116" w:rsidRDefault="00903852" w:rsidP="00A74116">
            <w:pPr>
              <w:ind w:firstLineChars="0" w:firstLine="0"/>
              <w:jc w:val="center"/>
            </w:pPr>
          </w:p>
        </w:tc>
        <w:tc>
          <w:tcPr>
            <w:tcW w:w="681" w:type="pct"/>
            <w:tcBorders>
              <w:top w:val="nil"/>
              <w:bottom w:val="single" w:sz="12" w:space="0" w:color="auto"/>
            </w:tcBorders>
            <w:noWrap/>
            <w:hideMark/>
          </w:tcPr>
          <w:p w14:paraId="3F3CA071" w14:textId="052E55DA" w:rsidR="00903852" w:rsidRPr="00A74116" w:rsidRDefault="00903852" w:rsidP="00A74116">
            <w:pPr>
              <w:ind w:firstLineChars="0" w:firstLine="0"/>
              <w:jc w:val="center"/>
              <w:cnfStyle w:val="010000000000" w:firstRow="0" w:lastRow="1" w:firstColumn="0" w:lastColumn="0" w:oddVBand="0" w:evenVBand="0" w:oddHBand="0" w:evenHBand="0" w:firstRowFirstColumn="0" w:firstRowLastColumn="0" w:lastRowFirstColumn="0" w:lastRowLastColumn="0"/>
            </w:pPr>
            <w:r w:rsidRPr="00A74116">
              <w:t>0.18</w:t>
            </w:r>
            <w:r w:rsidR="00A8116B" w:rsidRPr="00A74116">
              <w:t>%</w:t>
            </w:r>
          </w:p>
        </w:tc>
        <w:tc>
          <w:tcPr>
            <w:tcW w:w="590" w:type="pct"/>
            <w:tcBorders>
              <w:top w:val="nil"/>
              <w:bottom w:val="single" w:sz="12" w:space="0" w:color="auto"/>
            </w:tcBorders>
            <w:noWrap/>
            <w:hideMark/>
          </w:tcPr>
          <w:p w14:paraId="13E3DF87" w14:textId="5DA038ED" w:rsidR="00903852" w:rsidRPr="00A74116" w:rsidRDefault="00903852" w:rsidP="00A74116">
            <w:pPr>
              <w:ind w:firstLineChars="0" w:firstLine="0"/>
              <w:jc w:val="center"/>
              <w:cnfStyle w:val="010000000000" w:firstRow="0" w:lastRow="1" w:firstColumn="0" w:lastColumn="0" w:oddVBand="0" w:evenVBand="0" w:oddHBand="0" w:evenHBand="0" w:firstRowFirstColumn="0" w:firstRowLastColumn="0" w:lastRowFirstColumn="0" w:lastRowLastColumn="0"/>
            </w:pPr>
            <w:r w:rsidRPr="00A74116">
              <w:t>0.01</w:t>
            </w:r>
            <w:r w:rsidR="00A8116B" w:rsidRPr="00A74116">
              <w:t>%</w:t>
            </w:r>
          </w:p>
        </w:tc>
        <w:tc>
          <w:tcPr>
            <w:tcW w:w="681" w:type="pct"/>
            <w:tcBorders>
              <w:top w:val="nil"/>
              <w:bottom w:val="single" w:sz="12" w:space="0" w:color="auto"/>
            </w:tcBorders>
            <w:noWrap/>
            <w:hideMark/>
          </w:tcPr>
          <w:p w14:paraId="2802F4AB" w14:textId="66B4C6CB" w:rsidR="00903852" w:rsidRPr="00A74116" w:rsidRDefault="00903852" w:rsidP="00A74116">
            <w:pPr>
              <w:ind w:firstLineChars="0" w:firstLine="0"/>
              <w:jc w:val="center"/>
              <w:cnfStyle w:val="010000000000" w:firstRow="0" w:lastRow="1" w:firstColumn="0" w:lastColumn="0" w:oddVBand="0" w:evenVBand="0" w:oddHBand="0" w:evenHBand="0" w:firstRowFirstColumn="0" w:firstRowLastColumn="0" w:lastRowFirstColumn="0" w:lastRowLastColumn="0"/>
            </w:pPr>
            <w:r w:rsidRPr="00A74116">
              <w:t>3.05</w:t>
            </w:r>
            <w:r w:rsidR="00A8116B" w:rsidRPr="00A74116">
              <w:t>%</w:t>
            </w:r>
          </w:p>
        </w:tc>
        <w:tc>
          <w:tcPr>
            <w:tcW w:w="681" w:type="pct"/>
            <w:tcBorders>
              <w:top w:val="nil"/>
              <w:bottom w:val="single" w:sz="12" w:space="0" w:color="auto"/>
            </w:tcBorders>
            <w:noWrap/>
            <w:hideMark/>
          </w:tcPr>
          <w:p w14:paraId="1471078F" w14:textId="403B4CC3" w:rsidR="00903852" w:rsidRPr="00A74116" w:rsidRDefault="00903852" w:rsidP="00A74116">
            <w:pPr>
              <w:ind w:firstLineChars="0" w:firstLine="0"/>
              <w:jc w:val="center"/>
              <w:cnfStyle w:val="010000000000" w:firstRow="0" w:lastRow="1" w:firstColumn="0" w:lastColumn="0" w:oddVBand="0" w:evenVBand="0" w:oddHBand="0" w:evenHBand="0" w:firstRowFirstColumn="0" w:firstRowLastColumn="0" w:lastRowFirstColumn="0" w:lastRowLastColumn="0"/>
            </w:pPr>
            <w:r w:rsidRPr="00A74116">
              <w:t>25.89</w:t>
            </w:r>
            <w:r w:rsidR="00A8116B" w:rsidRPr="00A74116">
              <w:t>%</w:t>
            </w:r>
          </w:p>
        </w:tc>
        <w:tc>
          <w:tcPr>
            <w:tcW w:w="827" w:type="pct"/>
            <w:tcBorders>
              <w:top w:val="nil"/>
              <w:bottom w:val="single" w:sz="12" w:space="0" w:color="auto"/>
            </w:tcBorders>
            <w:noWrap/>
            <w:hideMark/>
          </w:tcPr>
          <w:p w14:paraId="4F3BBEB5" w14:textId="3DFCA7B6" w:rsidR="00903852" w:rsidRPr="00A74116" w:rsidRDefault="00903852" w:rsidP="00A74116">
            <w:pPr>
              <w:ind w:firstLineChars="0" w:firstLine="0"/>
              <w:jc w:val="center"/>
              <w:cnfStyle w:val="010000000000" w:firstRow="0" w:lastRow="1" w:firstColumn="0" w:lastColumn="0" w:oddVBand="0" w:evenVBand="0" w:oddHBand="0" w:evenHBand="0" w:firstRowFirstColumn="0" w:firstRowLastColumn="0" w:lastRowFirstColumn="0" w:lastRowLastColumn="0"/>
            </w:pPr>
            <w:r w:rsidRPr="00A74116">
              <w:t>70.87</w:t>
            </w:r>
            <w:r w:rsidR="00A8116B" w:rsidRPr="00A74116">
              <w:t>%</w:t>
            </w:r>
          </w:p>
        </w:tc>
        <w:tc>
          <w:tcPr>
            <w:cnfStyle w:val="000100000000" w:firstRow="0" w:lastRow="0" w:firstColumn="0" w:lastColumn="1" w:oddVBand="0" w:evenVBand="0" w:oddHBand="0" w:evenHBand="0" w:firstRowFirstColumn="0" w:firstRowLastColumn="0" w:lastRowFirstColumn="0" w:lastRowLastColumn="0"/>
            <w:tcW w:w="824" w:type="pct"/>
            <w:tcBorders>
              <w:top w:val="nil"/>
              <w:bottom w:val="single" w:sz="12" w:space="0" w:color="auto"/>
            </w:tcBorders>
            <w:noWrap/>
            <w:hideMark/>
          </w:tcPr>
          <w:p w14:paraId="421003B7" w14:textId="20BAC6EA" w:rsidR="00903852" w:rsidRPr="00A74116" w:rsidRDefault="00903852" w:rsidP="00A74116">
            <w:pPr>
              <w:ind w:firstLineChars="0" w:firstLine="0"/>
              <w:jc w:val="center"/>
            </w:pPr>
            <w:r w:rsidRPr="00A74116">
              <w:t>100</w:t>
            </w:r>
            <w:r w:rsidR="00A8116B" w:rsidRPr="00A74116">
              <w:t>%</w:t>
            </w:r>
          </w:p>
        </w:tc>
      </w:tr>
    </w:tbl>
    <w:p w14:paraId="23CD37E6" w14:textId="4309C7C4" w:rsidR="00447DB7" w:rsidRPr="00447DB7" w:rsidRDefault="00447DB7" w:rsidP="00447DB7">
      <w:pPr>
        <w:pStyle w:val="ae"/>
      </w:pPr>
      <w:r w:rsidRPr="00447DB7">
        <w:rPr>
          <w:rFonts w:hint="eastAsia"/>
        </w:rPr>
        <w:t>资料来源：</w:t>
      </w:r>
      <w:r w:rsidR="00903852">
        <w:rPr>
          <w:rFonts w:hint="eastAsia"/>
        </w:rPr>
        <w:t>R</w:t>
      </w:r>
      <w:r w:rsidR="00903852">
        <w:t>ESSET</w:t>
      </w:r>
      <w:r w:rsidRPr="00447DB7">
        <w:rPr>
          <w:rFonts w:hint="eastAsia"/>
        </w:rPr>
        <w:t>数据库</w:t>
      </w:r>
    </w:p>
    <w:p w14:paraId="341E34DE" w14:textId="77777777" w:rsidR="000456CE" w:rsidRDefault="000456CE" w:rsidP="00A8116B"/>
    <w:p w14:paraId="7F21D71D" w14:textId="6520BDCC" w:rsidR="00A8116B" w:rsidRPr="00E5798C" w:rsidRDefault="00A8116B" w:rsidP="00A8116B">
      <w:r>
        <w:rPr>
          <w:rFonts w:hint="eastAsia"/>
        </w:rPr>
        <w:t>从报告的评级分布来看，评级为买入的记录为</w:t>
      </w:r>
      <w:r>
        <w:t>14,406</w:t>
      </w:r>
      <w:r>
        <w:rPr>
          <w:rFonts w:hint="eastAsia"/>
        </w:rPr>
        <w:t>条，占</w:t>
      </w:r>
      <w:r>
        <w:t>70.87%</w:t>
      </w:r>
      <w:r>
        <w:rPr>
          <w:rFonts w:hint="eastAsia"/>
        </w:rPr>
        <w:t>；评级为增持的记录</w:t>
      </w:r>
      <w:r>
        <w:t>5,263</w:t>
      </w:r>
      <w:r>
        <w:rPr>
          <w:rFonts w:hint="eastAsia"/>
        </w:rPr>
        <w:t>条，占比</w:t>
      </w:r>
      <w:r>
        <w:t>25.89%</w:t>
      </w:r>
      <w:r>
        <w:rPr>
          <w:rFonts w:hint="eastAsia"/>
        </w:rPr>
        <w:t>；评级为中性的记录</w:t>
      </w:r>
      <w:r>
        <w:t>619</w:t>
      </w:r>
      <w:r>
        <w:rPr>
          <w:rFonts w:hint="eastAsia"/>
        </w:rPr>
        <w:t>条，占比</w:t>
      </w:r>
      <w:r>
        <w:t>3.05%</w:t>
      </w:r>
      <w:r>
        <w:rPr>
          <w:rFonts w:hint="eastAsia"/>
        </w:rPr>
        <w:t>；评级为减持的</w:t>
      </w:r>
      <w:r>
        <w:t>2</w:t>
      </w:r>
      <w:r>
        <w:rPr>
          <w:rFonts w:hint="eastAsia"/>
        </w:rPr>
        <w:t>条，占比</w:t>
      </w:r>
      <w:r>
        <w:rPr>
          <w:rFonts w:hint="eastAsia"/>
        </w:rPr>
        <w:t>0</w:t>
      </w:r>
      <w:r>
        <w:t>.01%</w:t>
      </w:r>
      <w:r>
        <w:rPr>
          <w:rFonts w:hint="eastAsia"/>
        </w:rPr>
        <w:t>；评级为卖出的记录</w:t>
      </w:r>
      <w:r>
        <w:t>37</w:t>
      </w:r>
      <w:r>
        <w:rPr>
          <w:rFonts w:hint="eastAsia"/>
        </w:rPr>
        <w:t>条，占比</w:t>
      </w:r>
      <w:r>
        <w:rPr>
          <w:rFonts w:hint="eastAsia"/>
        </w:rPr>
        <w:t>0</w:t>
      </w:r>
      <w:r>
        <w:t>.18%</w:t>
      </w:r>
      <w:r>
        <w:rPr>
          <w:rFonts w:hint="eastAsia"/>
        </w:rPr>
        <w:t>。整体来看，在</w:t>
      </w:r>
      <w:r>
        <w:rPr>
          <w:rFonts w:hint="eastAsia"/>
        </w:rPr>
        <w:t>95%</w:t>
      </w:r>
      <w:r>
        <w:rPr>
          <w:rFonts w:hint="eastAsia"/>
        </w:rPr>
        <w:t>以上的公司深度研究报告中分析师给出了买入和增持评级，一方面是因为分析师评级存在乐观偏差，另一方面也因为我国目前尚缺少做空机制，因此分析师偏好于挖掘上涨机会大的股票，因此研究报告评级整体偏高。</w:t>
      </w:r>
    </w:p>
    <w:p w14:paraId="504674B6" w14:textId="7C6CA949" w:rsidR="00A8116B" w:rsidRDefault="00A8116B" w:rsidP="00A8116B">
      <w:r>
        <w:rPr>
          <w:rFonts w:hint="eastAsia"/>
        </w:rPr>
        <w:t>从报告的评级变动来看，属于首次覆盖的报告为</w:t>
      </w:r>
      <w:r>
        <w:t>9,656</w:t>
      </w:r>
      <w:r>
        <w:rPr>
          <w:rFonts w:hint="eastAsia"/>
        </w:rPr>
        <w:t>份，占总样本的</w:t>
      </w:r>
      <w:r>
        <w:t>47.50</w:t>
      </w:r>
      <w:r>
        <w:rPr>
          <w:rFonts w:hint="eastAsia"/>
        </w:rPr>
        <w:t>%</w:t>
      </w:r>
      <w:r>
        <w:rPr>
          <w:rFonts w:hint="eastAsia"/>
        </w:rPr>
        <w:t>；属于跟踪评级的报告为</w:t>
      </w:r>
      <w:r>
        <w:t>15,051</w:t>
      </w:r>
      <w:r>
        <w:rPr>
          <w:rFonts w:hint="eastAsia"/>
        </w:rPr>
        <w:t>份，其中上调</w:t>
      </w:r>
      <w:r>
        <w:t>955</w:t>
      </w:r>
      <w:r>
        <w:rPr>
          <w:rFonts w:hint="eastAsia"/>
        </w:rPr>
        <w:t>份，维持</w:t>
      </w:r>
      <w:r>
        <w:t>9,587</w:t>
      </w:r>
      <w:r>
        <w:rPr>
          <w:rFonts w:hint="eastAsia"/>
        </w:rPr>
        <w:t>份，下调</w:t>
      </w:r>
      <w:r>
        <w:rPr>
          <w:rFonts w:hint="eastAsia"/>
        </w:rPr>
        <w:t>129</w:t>
      </w:r>
      <w:r w:rsidR="00A74116">
        <w:rPr>
          <w:rFonts w:hint="eastAsia"/>
        </w:rPr>
        <w:t>份。可见证券分析师在发布跟踪报告时大多</w:t>
      </w:r>
      <w:r>
        <w:rPr>
          <w:rFonts w:hint="eastAsia"/>
        </w:rPr>
        <w:t>维持了首次评级的结果。</w:t>
      </w:r>
    </w:p>
    <w:p w14:paraId="6DBFC8DE" w14:textId="2585FE38" w:rsidR="00A8116B" w:rsidRDefault="00A8116B" w:rsidP="00A8116B">
      <w:pPr>
        <w:pStyle w:val="ad"/>
      </w:pPr>
      <w:bookmarkStart w:id="19" w:name="_Ref50922787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2</w:t>
      </w:r>
      <w:r>
        <w:fldChar w:fldCharType="end"/>
      </w:r>
      <w:bookmarkEnd w:id="19"/>
      <w:r>
        <w:t xml:space="preserve"> </w:t>
      </w:r>
      <w:r w:rsidR="00A74116">
        <w:rPr>
          <w:rFonts w:hint="eastAsia"/>
        </w:rPr>
        <w:t>样本</w:t>
      </w:r>
      <w:r>
        <w:rPr>
          <w:rFonts w:hint="eastAsia"/>
        </w:rPr>
        <w:t>行业分布情况</w:t>
      </w:r>
    </w:p>
    <w:tbl>
      <w:tblPr>
        <w:tblStyle w:val="6"/>
        <w:tblW w:w="0" w:type="auto"/>
        <w:jc w:val="center"/>
        <w:tblLayout w:type="fixed"/>
        <w:tblLook w:val="07E0" w:firstRow="1" w:lastRow="1" w:firstColumn="1" w:lastColumn="1" w:noHBand="1" w:noVBand="1"/>
      </w:tblPr>
      <w:tblGrid>
        <w:gridCol w:w="2351"/>
        <w:gridCol w:w="588"/>
        <w:gridCol w:w="588"/>
        <w:gridCol w:w="588"/>
        <w:gridCol w:w="588"/>
        <w:gridCol w:w="588"/>
        <w:gridCol w:w="588"/>
        <w:gridCol w:w="588"/>
        <w:gridCol w:w="588"/>
        <w:gridCol w:w="588"/>
        <w:gridCol w:w="663"/>
      </w:tblGrid>
      <w:tr w:rsidR="002672D3" w:rsidRPr="00A8116B" w14:paraId="46CE92C3" w14:textId="77777777" w:rsidTr="00E81A57">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351" w:type="dxa"/>
            <w:vMerge w:val="restart"/>
            <w:tcBorders>
              <w:top w:val="single" w:sz="4" w:space="0" w:color="auto"/>
            </w:tcBorders>
            <w:noWrap/>
            <w:vAlign w:val="center"/>
            <w:hideMark/>
          </w:tcPr>
          <w:p w14:paraId="0D295B7A" w14:textId="77777777" w:rsidR="00BE5A79" w:rsidRPr="00191AD9" w:rsidRDefault="00BE5A79" w:rsidP="00191AD9">
            <w:pPr>
              <w:ind w:firstLineChars="0" w:firstLine="0"/>
              <w:jc w:val="center"/>
              <w:rPr>
                <w:sz w:val="16"/>
                <w:szCs w:val="21"/>
              </w:rPr>
            </w:pPr>
            <w:r w:rsidRPr="00191AD9">
              <w:rPr>
                <w:rFonts w:hint="eastAsia"/>
                <w:sz w:val="16"/>
                <w:szCs w:val="21"/>
              </w:rPr>
              <w:t>行业分类</w:t>
            </w:r>
          </w:p>
        </w:tc>
        <w:tc>
          <w:tcPr>
            <w:tcW w:w="5292" w:type="dxa"/>
            <w:gridSpan w:val="9"/>
            <w:tcBorders>
              <w:top w:val="single" w:sz="4" w:space="0" w:color="auto"/>
            </w:tcBorders>
            <w:noWrap/>
            <w:vAlign w:val="center"/>
            <w:hideMark/>
          </w:tcPr>
          <w:p w14:paraId="06A70841" w14:textId="7A56F991" w:rsidR="00BE5A79" w:rsidRPr="00191AD9" w:rsidRDefault="00191AD9" w:rsidP="00191AD9">
            <w:pPr>
              <w:ind w:firstLineChars="0" w:firstLine="0"/>
              <w:jc w:val="center"/>
              <w:cnfStyle w:val="100000000000" w:firstRow="1" w:lastRow="0" w:firstColumn="0" w:lastColumn="0" w:oddVBand="0" w:evenVBand="0" w:oddHBand="0" w:evenHBand="0" w:firstRowFirstColumn="0" w:firstRowLastColumn="0" w:lastRowFirstColumn="0" w:lastRowLastColumn="0"/>
              <w:rPr>
                <w:sz w:val="16"/>
                <w:szCs w:val="21"/>
              </w:rPr>
            </w:pPr>
            <w:r w:rsidRPr="00191AD9">
              <w:rPr>
                <w:rFonts w:hint="eastAsia"/>
                <w:sz w:val="16"/>
                <w:szCs w:val="21"/>
              </w:rPr>
              <w:t>年份</w:t>
            </w:r>
          </w:p>
        </w:tc>
        <w:tc>
          <w:tcPr>
            <w:cnfStyle w:val="000100000000" w:firstRow="0" w:lastRow="0" w:firstColumn="0" w:lastColumn="1" w:oddVBand="0" w:evenVBand="0" w:oddHBand="0" w:evenHBand="0" w:firstRowFirstColumn="0" w:firstRowLastColumn="0" w:lastRowFirstColumn="0" w:lastRowLastColumn="0"/>
            <w:tcW w:w="663" w:type="dxa"/>
            <w:vMerge w:val="restart"/>
            <w:tcBorders>
              <w:top w:val="single" w:sz="4" w:space="0" w:color="auto"/>
            </w:tcBorders>
            <w:noWrap/>
            <w:vAlign w:val="center"/>
            <w:hideMark/>
          </w:tcPr>
          <w:p w14:paraId="50F44A2D" w14:textId="77777777" w:rsidR="00BE5A79" w:rsidRPr="00191AD9" w:rsidRDefault="00BE5A79" w:rsidP="00191AD9">
            <w:pPr>
              <w:ind w:firstLineChars="0" w:firstLine="0"/>
              <w:jc w:val="center"/>
              <w:rPr>
                <w:sz w:val="16"/>
                <w:szCs w:val="21"/>
              </w:rPr>
            </w:pPr>
            <w:r w:rsidRPr="00191AD9">
              <w:rPr>
                <w:rFonts w:hint="eastAsia"/>
                <w:sz w:val="16"/>
                <w:szCs w:val="21"/>
              </w:rPr>
              <w:t>合计</w:t>
            </w:r>
          </w:p>
        </w:tc>
      </w:tr>
      <w:tr w:rsidR="002672D3" w:rsidRPr="00A8116B" w14:paraId="121DE503"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vMerge/>
            <w:tcBorders>
              <w:bottom w:val="single" w:sz="4" w:space="0" w:color="auto"/>
            </w:tcBorders>
            <w:vAlign w:val="center"/>
            <w:hideMark/>
          </w:tcPr>
          <w:p w14:paraId="7DE12AB0" w14:textId="77777777" w:rsidR="00BE5A79" w:rsidRPr="00191AD9" w:rsidRDefault="00BE5A79" w:rsidP="00191AD9">
            <w:pPr>
              <w:ind w:firstLineChars="0" w:firstLine="0"/>
              <w:jc w:val="center"/>
              <w:rPr>
                <w:sz w:val="16"/>
                <w:szCs w:val="21"/>
              </w:rPr>
            </w:pPr>
          </w:p>
        </w:tc>
        <w:tc>
          <w:tcPr>
            <w:tcW w:w="588" w:type="dxa"/>
            <w:tcBorders>
              <w:bottom w:val="single" w:sz="4" w:space="0" w:color="auto"/>
            </w:tcBorders>
            <w:noWrap/>
            <w:vAlign w:val="center"/>
            <w:hideMark/>
          </w:tcPr>
          <w:p w14:paraId="422F98B3"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2009</w:t>
            </w:r>
          </w:p>
        </w:tc>
        <w:tc>
          <w:tcPr>
            <w:tcW w:w="588" w:type="dxa"/>
            <w:tcBorders>
              <w:bottom w:val="single" w:sz="4" w:space="0" w:color="auto"/>
            </w:tcBorders>
            <w:noWrap/>
            <w:vAlign w:val="center"/>
            <w:hideMark/>
          </w:tcPr>
          <w:p w14:paraId="3701E11F"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2010</w:t>
            </w:r>
          </w:p>
        </w:tc>
        <w:tc>
          <w:tcPr>
            <w:tcW w:w="588" w:type="dxa"/>
            <w:tcBorders>
              <w:bottom w:val="single" w:sz="4" w:space="0" w:color="auto"/>
            </w:tcBorders>
            <w:noWrap/>
            <w:vAlign w:val="center"/>
            <w:hideMark/>
          </w:tcPr>
          <w:p w14:paraId="5E2630C9"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2011</w:t>
            </w:r>
          </w:p>
        </w:tc>
        <w:tc>
          <w:tcPr>
            <w:tcW w:w="588" w:type="dxa"/>
            <w:tcBorders>
              <w:bottom w:val="single" w:sz="4" w:space="0" w:color="auto"/>
            </w:tcBorders>
            <w:noWrap/>
            <w:vAlign w:val="center"/>
            <w:hideMark/>
          </w:tcPr>
          <w:p w14:paraId="7A2A76A4"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2012</w:t>
            </w:r>
          </w:p>
        </w:tc>
        <w:tc>
          <w:tcPr>
            <w:tcW w:w="588" w:type="dxa"/>
            <w:tcBorders>
              <w:bottom w:val="single" w:sz="4" w:space="0" w:color="auto"/>
            </w:tcBorders>
            <w:noWrap/>
            <w:vAlign w:val="center"/>
            <w:hideMark/>
          </w:tcPr>
          <w:p w14:paraId="4A1679CC"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2013</w:t>
            </w:r>
          </w:p>
        </w:tc>
        <w:tc>
          <w:tcPr>
            <w:tcW w:w="588" w:type="dxa"/>
            <w:tcBorders>
              <w:bottom w:val="single" w:sz="4" w:space="0" w:color="auto"/>
            </w:tcBorders>
            <w:noWrap/>
            <w:vAlign w:val="center"/>
            <w:hideMark/>
          </w:tcPr>
          <w:p w14:paraId="5B4B69A4"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2014</w:t>
            </w:r>
          </w:p>
        </w:tc>
        <w:tc>
          <w:tcPr>
            <w:tcW w:w="588" w:type="dxa"/>
            <w:tcBorders>
              <w:bottom w:val="single" w:sz="4" w:space="0" w:color="auto"/>
            </w:tcBorders>
            <w:noWrap/>
            <w:vAlign w:val="center"/>
            <w:hideMark/>
          </w:tcPr>
          <w:p w14:paraId="77208CF2"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2015</w:t>
            </w:r>
          </w:p>
        </w:tc>
        <w:tc>
          <w:tcPr>
            <w:tcW w:w="588" w:type="dxa"/>
            <w:tcBorders>
              <w:bottom w:val="single" w:sz="4" w:space="0" w:color="auto"/>
            </w:tcBorders>
            <w:noWrap/>
            <w:vAlign w:val="center"/>
            <w:hideMark/>
          </w:tcPr>
          <w:p w14:paraId="36CC0DFC"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2016</w:t>
            </w:r>
          </w:p>
        </w:tc>
        <w:tc>
          <w:tcPr>
            <w:tcW w:w="588" w:type="dxa"/>
            <w:tcBorders>
              <w:bottom w:val="single" w:sz="4" w:space="0" w:color="auto"/>
            </w:tcBorders>
            <w:noWrap/>
            <w:vAlign w:val="center"/>
            <w:hideMark/>
          </w:tcPr>
          <w:p w14:paraId="4D414FF1" w14:textId="77777777" w:rsidR="00BE5A79" w:rsidRPr="00191AD9" w:rsidRDefault="00BE5A79"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b/>
                <w:sz w:val="16"/>
                <w:szCs w:val="21"/>
              </w:rPr>
            </w:pPr>
            <w:r w:rsidRPr="00191AD9">
              <w:rPr>
                <w:rFonts w:hint="eastAsia"/>
                <w:b/>
                <w:sz w:val="16"/>
                <w:szCs w:val="21"/>
              </w:rPr>
              <w:t>2017</w:t>
            </w:r>
          </w:p>
        </w:tc>
        <w:tc>
          <w:tcPr>
            <w:cnfStyle w:val="000100000000" w:firstRow="0" w:lastRow="0" w:firstColumn="0" w:lastColumn="1" w:oddVBand="0" w:evenVBand="0" w:oddHBand="0" w:evenHBand="0" w:firstRowFirstColumn="0" w:firstRowLastColumn="0" w:lastRowFirstColumn="0" w:lastRowLastColumn="0"/>
            <w:tcW w:w="663" w:type="dxa"/>
            <w:vMerge/>
            <w:tcBorders>
              <w:bottom w:val="single" w:sz="4" w:space="0" w:color="auto"/>
            </w:tcBorders>
            <w:vAlign w:val="center"/>
            <w:hideMark/>
          </w:tcPr>
          <w:p w14:paraId="5DA4B0C2" w14:textId="77777777" w:rsidR="00BE5A79" w:rsidRPr="00191AD9" w:rsidRDefault="00BE5A79" w:rsidP="00191AD9">
            <w:pPr>
              <w:ind w:firstLineChars="0" w:firstLine="0"/>
              <w:jc w:val="center"/>
              <w:rPr>
                <w:sz w:val="16"/>
                <w:szCs w:val="21"/>
              </w:rPr>
            </w:pPr>
          </w:p>
        </w:tc>
      </w:tr>
      <w:tr w:rsidR="002672D3" w:rsidRPr="00A8116B" w14:paraId="5C2191ED"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tcBorders>
              <w:top w:val="single" w:sz="4" w:space="0" w:color="auto"/>
            </w:tcBorders>
            <w:noWrap/>
            <w:vAlign w:val="center"/>
            <w:hideMark/>
          </w:tcPr>
          <w:p w14:paraId="1FE75219" w14:textId="77777777" w:rsidR="00BE5A79" w:rsidRPr="00A8116B" w:rsidRDefault="00BE5A79" w:rsidP="00191AD9">
            <w:pPr>
              <w:ind w:firstLineChars="0" w:firstLine="0"/>
              <w:jc w:val="center"/>
              <w:rPr>
                <w:sz w:val="16"/>
                <w:szCs w:val="21"/>
              </w:rPr>
            </w:pPr>
            <w:r w:rsidRPr="00A8116B">
              <w:rPr>
                <w:rFonts w:hint="eastAsia"/>
                <w:sz w:val="16"/>
                <w:szCs w:val="21"/>
              </w:rPr>
              <w:t>制造业</w:t>
            </w:r>
          </w:p>
        </w:tc>
        <w:tc>
          <w:tcPr>
            <w:tcW w:w="588" w:type="dxa"/>
            <w:tcBorders>
              <w:top w:val="single" w:sz="4" w:space="0" w:color="auto"/>
            </w:tcBorders>
            <w:noWrap/>
            <w:vAlign w:val="center"/>
            <w:hideMark/>
          </w:tcPr>
          <w:p w14:paraId="084550C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676</w:t>
            </w:r>
          </w:p>
        </w:tc>
        <w:tc>
          <w:tcPr>
            <w:tcW w:w="588" w:type="dxa"/>
            <w:tcBorders>
              <w:top w:val="single" w:sz="4" w:space="0" w:color="auto"/>
            </w:tcBorders>
            <w:noWrap/>
            <w:vAlign w:val="center"/>
            <w:hideMark/>
          </w:tcPr>
          <w:p w14:paraId="663928B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799</w:t>
            </w:r>
          </w:p>
        </w:tc>
        <w:tc>
          <w:tcPr>
            <w:tcW w:w="588" w:type="dxa"/>
            <w:tcBorders>
              <w:top w:val="single" w:sz="4" w:space="0" w:color="auto"/>
            </w:tcBorders>
            <w:noWrap/>
            <w:vAlign w:val="center"/>
            <w:hideMark/>
          </w:tcPr>
          <w:p w14:paraId="39DB5AA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1,100</w:t>
            </w:r>
          </w:p>
        </w:tc>
        <w:tc>
          <w:tcPr>
            <w:tcW w:w="588" w:type="dxa"/>
            <w:tcBorders>
              <w:top w:val="single" w:sz="4" w:space="0" w:color="auto"/>
            </w:tcBorders>
            <w:noWrap/>
            <w:vAlign w:val="center"/>
            <w:hideMark/>
          </w:tcPr>
          <w:p w14:paraId="2F30B92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1,338</w:t>
            </w:r>
          </w:p>
        </w:tc>
        <w:tc>
          <w:tcPr>
            <w:tcW w:w="588" w:type="dxa"/>
            <w:tcBorders>
              <w:top w:val="single" w:sz="4" w:space="0" w:color="auto"/>
            </w:tcBorders>
            <w:noWrap/>
            <w:vAlign w:val="center"/>
            <w:hideMark/>
          </w:tcPr>
          <w:p w14:paraId="7B3B6E1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1,510</w:t>
            </w:r>
          </w:p>
        </w:tc>
        <w:tc>
          <w:tcPr>
            <w:tcW w:w="588" w:type="dxa"/>
            <w:tcBorders>
              <w:top w:val="single" w:sz="4" w:space="0" w:color="auto"/>
            </w:tcBorders>
            <w:noWrap/>
            <w:vAlign w:val="center"/>
            <w:hideMark/>
          </w:tcPr>
          <w:p w14:paraId="31FA9A2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1,140</w:t>
            </w:r>
          </w:p>
        </w:tc>
        <w:tc>
          <w:tcPr>
            <w:tcW w:w="588" w:type="dxa"/>
            <w:tcBorders>
              <w:top w:val="single" w:sz="4" w:space="0" w:color="auto"/>
            </w:tcBorders>
            <w:noWrap/>
            <w:vAlign w:val="center"/>
            <w:hideMark/>
          </w:tcPr>
          <w:p w14:paraId="75F7CBE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1,253</w:t>
            </w:r>
          </w:p>
        </w:tc>
        <w:tc>
          <w:tcPr>
            <w:tcW w:w="588" w:type="dxa"/>
            <w:tcBorders>
              <w:top w:val="single" w:sz="4" w:space="0" w:color="auto"/>
            </w:tcBorders>
            <w:noWrap/>
            <w:vAlign w:val="center"/>
            <w:hideMark/>
          </w:tcPr>
          <w:p w14:paraId="3E56A76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2,163</w:t>
            </w:r>
          </w:p>
        </w:tc>
        <w:tc>
          <w:tcPr>
            <w:tcW w:w="588" w:type="dxa"/>
            <w:tcBorders>
              <w:top w:val="single" w:sz="4" w:space="0" w:color="auto"/>
            </w:tcBorders>
            <w:noWrap/>
            <w:vAlign w:val="center"/>
            <w:hideMark/>
          </w:tcPr>
          <w:p w14:paraId="1D5FDFE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2,675</w:t>
            </w:r>
          </w:p>
        </w:tc>
        <w:tc>
          <w:tcPr>
            <w:cnfStyle w:val="000100000000" w:firstRow="0" w:lastRow="0" w:firstColumn="0" w:lastColumn="1" w:oddVBand="0" w:evenVBand="0" w:oddHBand="0" w:evenHBand="0" w:firstRowFirstColumn="0" w:firstRowLastColumn="0" w:lastRowFirstColumn="0" w:lastRowLastColumn="0"/>
            <w:tcW w:w="663" w:type="dxa"/>
            <w:tcBorders>
              <w:top w:val="single" w:sz="4" w:space="0" w:color="auto"/>
            </w:tcBorders>
            <w:noWrap/>
            <w:vAlign w:val="center"/>
            <w:hideMark/>
          </w:tcPr>
          <w:p w14:paraId="021E369B" w14:textId="77777777" w:rsidR="00BE5A79" w:rsidRPr="00A8116B" w:rsidRDefault="00BE5A79" w:rsidP="00032C9B">
            <w:pPr>
              <w:ind w:firstLineChars="0" w:firstLine="0"/>
              <w:jc w:val="right"/>
              <w:rPr>
                <w:sz w:val="16"/>
                <w:szCs w:val="21"/>
              </w:rPr>
            </w:pPr>
            <w:r w:rsidRPr="00A8116B">
              <w:rPr>
                <w:rFonts w:hint="eastAsia"/>
                <w:sz w:val="16"/>
                <w:szCs w:val="21"/>
              </w:rPr>
              <w:t>12,654</w:t>
            </w:r>
          </w:p>
        </w:tc>
      </w:tr>
      <w:tr w:rsidR="002672D3" w:rsidRPr="00A8116B" w14:paraId="176B396F"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0EE82518" w14:textId="77777777" w:rsidR="00BE5A79" w:rsidRPr="00A8116B" w:rsidRDefault="00BE5A79" w:rsidP="00191AD9">
            <w:pPr>
              <w:ind w:firstLineChars="0" w:firstLine="0"/>
              <w:jc w:val="center"/>
              <w:rPr>
                <w:sz w:val="16"/>
                <w:szCs w:val="21"/>
              </w:rPr>
            </w:pPr>
            <w:r w:rsidRPr="00A8116B">
              <w:rPr>
                <w:rFonts w:hint="eastAsia"/>
                <w:sz w:val="16"/>
                <w:szCs w:val="21"/>
              </w:rPr>
              <w:t>批发和零售业</w:t>
            </w:r>
          </w:p>
        </w:tc>
        <w:tc>
          <w:tcPr>
            <w:tcW w:w="588" w:type="dxa"/>
            <w:noWrap/>
            <w:vAlign w:val="center"/>
            <w:hideMark/>
          </w:tcPr>
          <w:p w14:paraId="7AE3B4B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77</w:t>
            </w:r>
          </w:p>
        </w:tc>
        <w:tc>
          <w:tcPr>
            <w:tcW w:w="588" w:type="dxa"/>
            <w:noWrap/>
            <w:vAlign w:val="center"/>
            <w:hideMark/>
          </w:tcPr>
          <w:p w14:paraId="0C99277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112</w:t>
            </w:r>
          </w:p>
        </w:tc>
        <w:tc>
          <w:tcPr>
            <w:tcW w:w="588" w:type="dxa"/>
            <w:noWrap/>
            <w:vAlign w:val="center"/>
            <w:hideMark/>
          </w:tcPr>
          <w:p w14:paraId="6A8B458F"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131</w:t>
            </w:r>
          </w:p>
        </w:tc>
        <w:tc>
          <w:tcPr>
            <w:tcW w:w="588" w:type="dxa"/>
            <w:noWrap/>
            <w:vAlign w:val="center"/>
            <w:hideMark/>
          </w:tcPr>
          <w:p w14:paraId="7BF8768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137</w:t>
            </w:r>
          </w:p>
        </w:tc>
        <w:tc>
          <w:tcPr>
            <w:tcW w:w="588" w:type="dxa"/>
            <w:noWrap/>
            <w:vAlign w:val="center"/>
            <w:hideMark/>
          </w:tcPr>
          <w:p w14:paraId="05E83BB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146</w:t>
            </w:r>
          </w:p>
        </w:tc>
        <w:tc>
          <w:tcPr>
            <w:tcW w:w="588" w:type="dxa"/>
            <w:noWrap/>
            <w:vAlign w:val="center"/>
            <w:hideMark/>
          </w:tcPr>
          <w:p w14:paraId="39479C2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102</w:t>
            </w:r>
          </w:p>
        </w:tc>
        <w:tc>
          <w:tcPr>
            <w:tcW w:w="588" w:type="dxa"/>
            <w:noWrap/>
            <w:vAlign w:val="center"/>
            <w:hideMark/>
          </w:tcPr>
          <w:p w14:paraId="0B3E07E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87</w:t>
            </w:r>
          </w:p>
        </w:tc>
        <w:tc>
          <w:tcPr>
            <w:tcW w:w="588" w:type="dxa"/>
            <w:noWrap/>
            <w:vAlign w:val="center"/>
            <w:hideMark/>
          </w:tcPr>
          <w:p w14:paraId="65C278F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172</w:t>
            </w:r>
          </w:p>
        </w:tc>
        <w:tc>
          <w:tcPr>
            <w:tcW w:w="588" w:type="dxa"/>
            <w:noWrap/>
            <w:vAlign w:val="center"/>
            <w:hideMark/>
          </w:tcPr>
          <w:p w14:paraId="70A8921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218</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0DF8A8AA" w14:textId="77777777" w:rsidR="00BE5A79" w:rsidRPr="00A8116B" w:rsidRDefault="00BE5A79" w:rsidP="00032C9B">
            <w:pPr>
              <w:ind w:firstLineChars="0" w:firstLine="0"/>
              <w:jc w:val="right"/>
              <w:rPr>
                <w:sz w:val="16"/>
                <w:szCs w:val="21"/>
              </w:rPr>
            </w:pPr>
            <w:r w:rsidRPr="00A8116B">
              <w:rPr>
                <w:rFonts w:hint="eastAsia"/>
                <w:sz w:val="16"/>
                <w:szCs w:val="21"/>
              </w:rPr>
              <w:t>1,182</w:t>
            </w:r>
          </w:p>
        </w:tc>
      </w:tr>
      <w:tr w:rsidR="002672D3" w:rsidRPr="00A8116B" w14:paraId="1279B2D1"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0787093B" w14:textId="4299E3E2" w:rsidR="00BE5A79" w:rsidRPr="00A8116B" w:rsidRDefault="00BE5A79" w:rsidP="00191AD9">
            <w:pPr>
              <w:ind w:firstLineChars="0" w:firstLine="0"/>
              <w:jc w:val="center"/>
              <w:rPr>
                <w:sz w:val="16"/>
                <w:szCs w:val="21"/>
              </w:rPr>
            </w:pPr>
            <w:r w:rsidRPr="00A8116B">
              <w:rPr>
                <w:rFonts w:hint="eastAsia"/>
                <w:sz w:val="16"/>
                <w:szCs w:val="21"/>
              </w:rPr>
              <w:t>信息传输、软件和</w:t>
            </w:r>
            <w:r w:rsidR="002672D3">
              <w:rPr>
                <w:rFonts w:hint="eastAsia"/>
                <w:sz w:val="16"/>
                <w:szCs w:val="21"/>
              </w:rPr>
              <w:t>信息技术</w:t>
            </w:r>
          </w:p>
        </w:tc>
        <w:tc>
          <w:tcPr>
            <w:tcW w:w="588" w:type="dxa"/>
            <w:noWrap/>
            <w:vAlign w:val="center"/>
            <w:hideMark/>
          </w:tcPr>
          <w:p w14:paraId="6279CEDC"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70</w:t>
            </w:r>
          </w:p>
        </w:tc>
        <w:tc>
          <w:tcPr>
            <w:tcW w:w="588" w:type="dxa"/>
            <w:noWrap/>
            <w:vAlign w:val="center"/>
            <w:hideMark/>
          </w:tcPr>
          <w:p w14:paraId="7601B12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60</w:t>
            </w:r>
          </w:p>
        </w:tc>
        <w:tc>
          <w:tcPr>
            <w:tcW w:w="588" w:type="dxa"/>
            <w:noWrap/>
            <w:vAlign w:val="center"/>
            <w:hideMark/>
          </w:tcPr>
          <w:p w14:paraId="39F5055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95</w:t>
            </w:r>
          </w:p>
        </w:tc>
        <w:tc>
          <w:tcPr>
            <w:tcW w:w="588" w:type="dxa"/>
            <w:noWrap/>
            <w:vAlign w:val="center"/>
            <w:hideMark/>
          </w:tcPr>
          <w:p w14:paraId="07DAF06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103</w:t>
            </w:r>
          </w:p>
        </w:tc>
        <w:tc>
          <w:tcPr>
            <w:tcW w:w="588" w:type="dxa"/>
            <w:noWrap/>
            <w:vAlign w:val="center"/>
            <w:hideMark/>
          </w:tcPr>
          <w:p w14:paraId="7544E39F"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122</w:t>
            </w:r>
          </w:p>
        </w:tc>
        <w:tc>
          <w:tcPr>
            <w:tcW w:w="588" w:type="dxa"/>
            <w:noWrap/>
            <w:vAlign w:val="center"/>
            <w:hideMark/>
          </w:tcPr>
          <w:p w14:paraId="6EDD4CE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94</w:t>
            </w:r>
          </w:p>
        </w:tc>
        <w:tc>
          <w:tcPr>
            <w:tcW w:w="588" w:type="dxa"/>
            <w:noWrap/>
            <w:vAlign w:val="center"/>
            <w:hideMark/>
          </w:tcPr>
          <w:p w14:paraId="3ADC741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116</w:t>
            </w:r>
          </w:p>
        </w:tc>
        <w:tc>
          <w:tcPr>
            <w:tcW w:w="588" w:type="dxa"/>
            <w:noWrap/>
            <w:vAlign w:val="center"/>
            <w:hideMark/>
          </w:tcPr>
          <w:p w14:paraId="365F64E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209</w:t>
            </w:r>
          </w:p>
        </w:tc>
        <w:tc>
          <w:tcPr>
            <w:tcW w:w="588" w:type="dxa"/>
            <w:noWrap/>
            <w:vAlign w:val="center"/>
            <w:hideMark/>
          </w:tcPr>
          <w:p w14:paraId="04AF197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219</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4C707D09" w14:textId="77777777" w:rsidR="00BE5A79" w:rsidRPr="00A8116B" w:rsidRDefault="00BE5A79" w:rsidP="00032C9B">
            <w:pPr>
              <w:ind w:firstLineChars="0" w:firstLine="0"/>
              <w:jc w:val="right"/>
              <w:rPr>
                <w:sz w:val="16"/>
                <w:szCs w:val="21"/>
              </w:rPr>
            </w:pPr>
            <w:r w:rsidRPr="00A8116B">
              <w:rPr>
                <w:rFonts w:hint="eastAsia"/>
                <w:sz w:val="16"/>
                <w:szCs w:val="21"/>
              </w:rPr>
              <w:t>1,088</w:t>
            </w:r>
          </w:p>
        </w:tc>
      </w:tr>
      <w:tr w:rsidR="002672D3" w:rsidRPr="00A8116B" w14:paraId="64FC4BC2"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61CDA8A8" w14:textId="77777777" w:rsidR="00BE5A79" w:rsidRPr="00A8116B" w:rsidRDefault="00BE5A79" w:rsidP="00191AD9">
            <w:pPr>
              <w:ind w:firstLineChars="0" w:firstLine="0"/>
              <w:jc w:val="center"/>
              <w:rPr>
                <w:sz w:val="16"/>
                <w:szCs w:val="21"/>
              </w:rPr>
            </w:pPr>
            <w:r w:rsidRPr="00A8116B">
              <w:rPr>
                <w:rFonts w:hint="eastAsia"/>
                <w:sz w:val="16"/>
                <w:szCs w:val="21"/>
              </w:rPr>
              <w:t>房地产业</w:t>
            </w:r>
          </w:p>
        </w:tc>
        <w:tc>
          <w:tcPr>
            <w:tcW w:w="588" w:type="dxa"/>
            <w:noWrap/>
            <w:vAlign w:val="center"/>
            <w:hideMark/>
          </w:tcPr>
          <w:p w14:paraId="29CC1FB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67</w:t>
            </w:r>
          </w:p>
        </w:tc>
        <w:tc>
          <w:tcPr>
            <w:tcW w:w="588" w:type="dxa"/>
            <w:noWrap/>
            <w:vAlign w:val="center"/>
            <w:hideMark/>
          </w:tcPr>
          <w:p w14:paraId="16EA159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92</w:t>
            </w:r>
          </w:p>
        </w:tc>
        <w:tc>
          <w:tcPr>
            <w:tcW w:w="588" w:type="dxa"/>
            <w:noWrap/>
            <w:vAlign w:val="center"/>
            <w:hideMark/>
          </w:tcPr>
          <w:p w14:paraId="2D4AEE5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58</w:t>
            </w:r>
          </w:p>
        </w:tc>
        <w:tc>
          <w:tcPr>
            <w:tcW w:w="588" w:type="dxa"/>
            <w:noWrap/>
            <w:vAlign w:val="center"/>
            <w:hideMark/>
          </w:tcPr>
          <w:p w14:paraId="2EA73B9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86</w:t>
            </w:r>
          </w:p>
        </w:tc>
        <w:tc>
          <w:tcPr>
            <w:tcW w:w="588" w:type="dxa"/>
            <w:noWrap/>
            <w:vAlign w:val="center"/>
            <w:hideMark/>
          </w:tcPr>
          <w:p w14:paraId="60A575C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96</w:t>
            </w:r>
          </w:p>
        </w:tc>
        <w:tc>
          <w:tcPr>
            <w:tcW w:w="588" w:type="dxa"/>
            <w:noWrap/>
            <w:vAlign w:val="center"/>
            <w:hideMark/>
          </w:tcPr>
          <w:p w14:paraId="46A44B6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60</w:t>
            </w:r>
          </w:p>
        </w:tc>
        <w:tc>
          <w:tcPr>
            <w:tcW w:w="588" w:type="dxa"/>
            <w:noWrap/>
            <w:vAlign w:val="center"/>
            <w:hideMark/>
          </w:tcPr>
          <w:p w14:paraId="27ED8EC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122</w:t>
            </w:r>
          </w:p>
        </w:tc>
        <w:tc>
          <w:tcPr>
            <w:tcW w:w="588" w:type="dxa"/>
            <w:noWrap/>
            <w:vAlign w:val="center"/>
            <w:hideMark/>
          </w:tcPr>
          <w:p w14:paraId="5F8B326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208</w:t>
            </w:r>
          </w:p>
        </w:tc>
        <w:tc>
          <w:tcPr>
            <w:tcW w:w="588" w:type="dxa"/>
            <w:noWrap/>
            <w:vAlign w:val="center"/>
            <w:hideMark/>
          </w:tcPr>
          <w:p w14:paraId="7A193F2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120</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3599B688" w14:textId="77777777" w:rsidR="00BE5A79" w:rsidRPr="00A8116B" w:rsidRDefault="00BE5A79" w:rsidP="00032C9B">
            <w:pPr>
              <w:ind w:firstLineChars="0" w:firstLine="0"/>
              <w:jc w:val="right"/>
              <w:rPr>
                <w:sz w:val="16"/>
                <w:szCs w:val="21"/>
              </w:rPr>
            </w:pPr>
            <w:r w:rsidRPr="00A8116B">
              <w:rPr>
                <w:rFonts w:hint="eastAsia"/>
                <w:sz w:val="16"/>
                <w:szCs w:val="21"/>
              </w:rPr>
              <w:t>909</w:t>
            </w:r>
          </w:p>
        </w:tc>
      </w:tr>
      <w:tr w:rsidR="002672D3" w:rsidRPr="00A8116B" w14:paraId="0687F9E1"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3DF32ED6" w14:textId="4D8D8BBD" w:rsidR="00BE5A79" w:rsidRPr="00A8116B" w:rsidRDefault="002672D3" w:rsidP="00191AD9">
            <w:pPr>
              <w:ind w:firstLineChars="0" w:firstLine="0"/>
              <w:jc w:val="center"/>
              <w:rPr>
                <w:sz w:val="16"/>
                <w:szCs w:val="21"/>
              </w:rPr>
            </w:pPr>
            <w:r>
              <w:rPr>
                <w:rFonts w:hint="eastAsia"/>
                <w:sz w:val="16"/>
                <w:szCs w:val="21"/>
              </w:rPr>
              <w:t>交通运输、仓储和邮政业</w:t>
            </w:r>
          </w:p>
        </w:tc>
        <w:tc>
          <w:tcPr>
            <w:tcW w:w="588" w:type="dxa"/>
            <w:noWrap/>
            <w:vAlign w:val="center"/>
            <w:hideMark/>
          </w:tcPr>
          <w:p w14:paraId="3558AE0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77</w:t>
            </w:r>
          </w:p>
        </w:tc>
        <w:tc>
          <w:tcPr>
            <w:tcW w:w="588" w:type="dxa"/>
            <w:noWrap/>
            <w:vAlign w:val="center"/>
            <w:hideMark/>
          </w:tcPr>
          <w:p w14:paraId="2618CD5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98</w:t>
            </w:r>
          </w:p>
        </w:tc>
        <w:tc>
          <w:tcPr>
            <w:tcW w:w="588" w:type="dxa"/>
            <w:noWrap/>
            <w:vAlign w:val="center"/>
            <w:hideMark/>
          </w:tcPr>
          <w:p w14:paraId="208A15B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104</w:t>
            </w:r>
          </w:p>
        </w:tc>
        <w:tc>
          <w:tcPr>
            <w:tcW w:w="588" w:type="dxa"/>
            <w:noWrap/>
            <w:vAlign w:val="center"/>
            <w:hideMark/>
          </w:tcPr>
          <w:p w14:paraId="6C6FCD2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93</w:t>
            </w:r>
          </w:p>
        </w:tc>
        <w:tc>
          <w:tcPr>
            <w:tcW w:w="588" w:type="dxa"/>
            <w:noWrap/>
            <w:vAlign w:val="center"/>
            <w:hideMark/>
          </w:tcPr>
          <w:p w14:paraId="181ED39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72</w:t>
            </w:r>
          </w:p>
        </w:tc>
        <w:tc>
          <w:tcPr>
            <w:tcW w:w="588" w:type="dxa"/>
            <w:noWrap/>
            <w:vAlign w:val="center"/>
            <w:hideMark/>
          </w:tcPr>
          <w:p w14:paraId="71A85A7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57</w:t>
            </w:r>
          </w:p>
        </w:tc>
        <w:tc>
          <w:tcPr>
            <w:tcW w:w="588" w:type="dxa"/>
            <w:noWrap/>
            <w:vAlign w:val="center"/>
            <w:hideMark/>
          </w:tcPr>
          <w:p w14:paraId="62A4594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44</w:t>
            </w:r>
          </w:p>
        </w:tc>
        <w:tc>
          <w:tcPr>
            <w:tcW w:w="588" w:type="dxa"/>
            <w:noWrap/>
            <w:vAlign w:val="center"/>
            <w:hideMark/>
          </w:tcPr>
          <w:p w14:paraId="5602F4C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137</w:t>
            </w:r>
          </w:p>
        </w:tc>
        <w:tc>
          <w:tcPr>
            <w:tcW w:w="588" w:type="dxa"/>
            <w:noWrap/>
            <w:vAlign w:val="center"/>
            <w:hideMark/>
          </w:tcPr>
          <w:p w14:paraId="4A746DC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149</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6FA420B7" w14:textId="77777777" w:rsidR="00BE5A79" w:rsidRPr="00A8116B" w:rsidRDefault="00BE5A79" w:rsidP="00032C9B">
            <w:pPr>
              <w:ind w:firstLineChars="0" w:firstLine="0"/>
              <w:jc w:val="right"/>
              <w:rPr>
                <w:sz w:val="16"/>
                <w:szCs w:val="21"/>
              </w:rPr>
            </w:pPr>
            <w:r w:rsidRPr="00A8116B">
              <w:rPr>
                <w:rFonts w:hint="eastAsia"/>
                <w:sz w:val="16"/>
                <w:szCs w:val="21"/>
              </w:rPr>
              <w:t>831</w:t>
            </w:r>
          </w:p>
        </w:tc>
      </w:tr>
      <w:tr w:rsidR="002672D3" w:rsidRPr="00A8116B" w14:paraId="34D3A407"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2989E7B5" w14:textId="77777777" w:rsidR="00BE5A79" w:rsidRPr="00A8116B" w:rsidRDefault="00BE5A79" w:rsidP="00191AD9">
            <w:pPr>
              <w:ind w:firstLineChars="0" w:firstLine="0"/>
              <w:jc w:val="center"/>
              <w:rPr>
                <w:sz w:val="16"/>
                <w:szCs w:val="21"/>
              </w:rPr>
            </w:pPr>
            <w:r w:rsidRPr="00A8116B">
              <w:rPr>
                <w:rFonts w:hint="eastAsia"/>
                <w:sz w:val="16"/>
                <w:szCs w:val="21"/>
              </w:rPr>
              <w:t>采矿业</w:t>
            </w:r>
          </w:p>
        </w:tc>
        <w:tc>
          <w:tcPr>
            <w:tcW w:w="588" w:type="dxa"/>
            <w:noWrap/>
            <w:vAlign w:val="center"/>
            <w:hideMark/>
          </w:tcPr>
          <w:p w14:paraId="2A8AE2B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65</w:t>
            </w:r>
          </w:p>
        </w:tc>
        <w:tc>
          <w:tcPr>
            <w:tcW w:w="588" w:type="dxa"/>
            <w:noWrap/>
            <w:vAlign w:val="center"/>
            <w:hideMark/>
          </w:tcPr>
          <w:p w14:paraId="2D28902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78</w:t>
            </w:r>
          </w:p>
        </w:tc>
        <w:tc>
          <w:tcPr>
            <w:tcW w:w="588" w:type="dxa"/>
            <w:noWrap/>
            <w:vAlign w:val="center"/>
            <w:hideMark/>
          </w:tcPr>
          <w:p w14:paraId="082DE8F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101</w:t>
            </w:r>
          </w:p>
        </w:tc>
        <w:tc>
          <w:tcPr>
            <w:tcW w:w="588" w:type="dxa"/>
            <w:noWrap/>
            <w:vAlign w:val="center"/>
            <w:hideMark/>
          </w:tcPr>
          <w:p w14:paraId="644E9D7F"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124</w:t>
            </w:r>
          </w:p>
        </w:tc>
        <w:tc>
          <w:tcPr>
            <w:tcW w:w="588" w:type="dxa"/>
            <w:noWrap/>
            <w:vAlign w:val="center"/>
            <w:hideMark/>
          </w:tcPr>
          <w:p w14:paraId="36FD0E9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68</w:t>
            </w:r>
          </w:p>
        </w:tc>
        <w:tc>
          <w:tcPr>
            <w:tcW w:w="588" w:type="dxa"/>
            <w:noWrap/>
            <w:vAlign w:val="center"/>
            <w:hideMark/>
          </w:tcPr>
          <w:p w14:paraId="2524AD1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51</w:t>
            </w:r>
          </w:p>
        </w:tc>
        <w:tc>
          <w:tcPr>
            <w:tcW w:w="588" w:type="dxa"/>
            <w:noWrap/>
            <w:vAlign w:val="center"/>
            <w:hideMark/>
          </w:tcPr>
          <w:p w14:paraId="0B10173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50</w:t>
            </w:r>
          </w:p>
        </w:tc>
        <w:tc>
          <w:tcPr>
            <w:tcW w:w="588" w:type="dxa"/>
            <w:noWrap/>
            <w:vAlign w:val="center"/>
            <w:hideMark/>
          </w:tcPr>
          <w:p w14:paraId="0357F2C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66</w:t>
            </w:r>
          </w:p>
        </w:tc>
        <w:tc>
          <w:tcPr>
            <w:tcW w:w="588" w:type="dxa"/>
            <w:noWrap/>
            <w:vAlign w:val="center"/>
            <w:hideMark/>
          </w:tcPr>
          <w:p w14:paraId="600A571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104</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07BB3B03" w14:textId="77777777" w:rsidR="00BE5A79" w:rsidRPr="00A8116B" w:rsidRDefault="00BE5A79" w:rsidP="00032C9B">
            <w:pPr>
              <w:ind w:firstLineChars="0" w:firstLine="0"/>
              <w:jc w:val="right"/>
              <w:rPr>
                <w:sz w:val="16"/>
                <w:szCs w:val="21"/>
              </w:rPr>
            </w:pPr>
            <w:r w:rsidRPr="00A8116B">
              <w:rPr>
                <w:rFonts w:hint="eastAsia"/>
                <w:sz w:val="16"/>
                <w:szCs w:val="21"/>
              </w:rPr>
              <w:t>707</w:t>
            </w:r>
          </w:p>
        </w:tc>
      </w:tr>
      <w:tr w:rsidR="002672D3" w:rsidRPr="00A8116B" w14:paraId="4B5F004A"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36487463" w14:textId="77777777" w:rsidR="00BE5A79" w:rsidRPr="00A8116B" w:rsidRDefault="00BE5A79" w:rsidP="00191AD9">
            <w:pPr>
              <w:ind w:firstLineChars="0" w:firstLine="0"/>
              <w:jc w:val="center"/>
              <w:rPr>
                <w:sz w:val="16"/>
                <w:szCs w:val="21"/>
              </w:rPr>
            </w:pPr>
            <w:r w:rsidRPr="00A8116B">
              <w:rPr>
                <w:rFonts w:hint="eastAsia"/>
                <w:sz w:val="16"/>
                <w:szCs w:val="21"/>
              </w:rPr>
              <w:t>建筑业</w:t>
            </w:r>
          </w:p>
        </w:tc>
        <w:tc>
          <w:tcPr>
            <w:tcW w:w="588" w:type="dxa"/>
            <w:noWrap/>
            <w:vAlign w:val="center"/>
            <w:hideMark/>
          </w:tcPr>
          <w:p w14:paraId="14A5DD9F"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30</w:t>
            </w:r>
          </w:p>
        </w:tc>
        <w:tc>
          <w:tcPr>
            <w:tcW w:w="588" w:type="dxa"/>
            <w:noWrap/>
            <w:vAlign w:val="center"/>
            <w:hideMark/>
          </w:tcPr>
          <w:p w14:paraId="3A33E69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53</w:t>
            </w:r>
          </w:p>
        </w:tc>
        <w:tc>
          <w:tcPr>
            <w:tcW w:w="588" w:type="dxa"/>
            <w:noWrap/>
            <w:vAlign w:val="center"/>
            <w:hideMark/>
          </w:tcPr>
          <w:p w14:paraId="74211F4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70</w:t>
            </w:r>
          </w:p>
        </w:tc>
        <w:tc>
          <w:tcPr>
            <w:tcW w:w="588" w:type="dxa"/>
            <w:noWrap/>
            <w:vAlign w:val="center"/>
            <w:hideMark/>
          </w:tcPr>
          <w:p w14:paraId="35BA593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63</w:t>
            </w:r>
          </w:p>
        </w:tc>
        <w:tc>
          <w:tcPr>
            <w:tcW w:w="588" w:type="dxa"/>
            <w:noWrap/>
            <w:vAlign w:val="center"/>
            <w:hideMark/>
          </w:tcPr>
          <w:p w14:paraId="48FC514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66</w:t>
            </w:r>
          </w:p>
        </w:tc>
        <w:tc>
          <w:tcPr>
            <w:tcW w:w="588" w:type="dxa"/>
            <w:noWrap/>
            <w:vAlign w:val="center"/>
            <w:hideMark/>
          </w:tcPr>
          <w:p w14:paraId="12C76F5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42</w:t>
            </w:r>
          </w:p>
        </w:tc>
        <w:tc>
          <w:tcPr>
            <w:tcW w:w="588" w:type="dxa"/>
            <w:noWrap/>
            <w:vAlign w:val="center"/>
            <w:hideMark/>
          </w:tcPr>
          <w:p w14:paraId="0806D57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69</w:t>
            </w:r>
          </w:p>
        </w:tc>
        <w:tc>
          <w:tcPr>
            <w:tcW w:w="588" w:type="dxa"/>
            <w:noWrap/>
            <w:vAlign w:val="center"/>
            <w:hideMark/>
          </w:tcPr>
          <w:p w14:paraId="0938EC7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123</w:t>
            </w:r>
          </w:p>
        </w:tc>
        <w:tc>
          <w:tcPr>
            <w:tcW w:w="588" w:type="dxa"/>
            <w:noWrap/>
            <w:vAlign w:val="center"/>
            <w:hideMark/>
          </w:tcPr>
          <w:p w14:paraId="67D337D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139</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2D12F573" w14:textId="77777777" w:rsidR="00BE5A79" w:rsidRPr="00A8116B" w:rsidRDefault="00BE5A79" w:rsidP="00032C9B">
            <w:pPr>
              <w:ind w:firstLineChars="0" w:firstLine="0"/>
              <w:jc w:val="right"/>
              <w:rPr>
                <w:sz w:val="16"/>
                <w:szCs w:val="21"/>
              </w:rPr>
            </w:pPr>
            <w:r w:rsidRPr="00A8116B">
              <w:rPr>
                <w:rFonts w:hint="eastAsia"/>
                <w:sz w:val="16"/>
                <w:szCs w:val="21"/>
              </w:rPr>
              <w:t>655</w:t>
            </w:r>
          </w:p>
        </w:tc>
      </w:tr>
      <w:tr w:rsidR="002672D3" w:rsidRPr="00A8116B" w14:paraId="2FDD7291"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169AE39D" w14:textId="294CE5DB" w:rsidR="00BE5A79" w:rsidRPr="00A8116B" w:rsidRDefault="00BE5A79" w:rsidP="00032C9B">
            <w:pPr>
              <w:spacing w:line="240" w:lineRule="auto"/>
              <w:ind w:firstLineChars="0" w:firstLine="0"/>
              <w:jc w:val="center"/>
              <w:rPr>
                <w:sz w:val="16"/>
                <w:szCs w:val="21"/>
              </w:rPr>
            </w:pPr>
            <w:r w:rsidRPr="00A8116B">
              <w:rPr>
                <w:rFonts w:hint="eastAsia"/>
                <w:sz w:val="16"/>
                <w:szCs w:val="21"/>
              </w:rPr>
              <w:t>电力、热力、燃气及</w:t>
            </w:r>
            <w:r w:rsidR="002672D3">
              <w:rPr>
                <w:rFonts w:hint="eastAsia"/>
                <w:sz w:val="16"/>
                <w:szCs w:val="21"/>
              </w:rPr>
              <w:t>水生产和供应业</w:t>
            </w:r>
          </w:p>
        </w:tc>
        <w:tc>
          <w:tcPr>
            <w:tcW w:w="588" w:type="dxa"/>
            <w:noWrap/>
            <w:vAlign w:val="center"/>
            <w:hideMark/>
          </w:tcPr>
          <w:p w14:paraId="4F1AB183"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40</w:t>
            </w:r>
          </w:p>
        </w:tc>
        <w:tc>
          <w:tcPr>
            <w:tcW w:w="588" w:type="dxa"/>
            <w:noWrap/>
            <w:vAlign w:val="center"/>
            <w:hideMark/>
          </w:tcPr>
          <w:p w14:paraId="4E18C043"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41</w:t>
            </w:r>
          </w:p>
        </w:tc>
        <w:tc>
          <w:tcPr>
            <w:tcW w:w="588" w:type="dxa"/>
            <w:noWrap/>
            <w:vAlign w:val="center"/>
            <w:hideMark/>
          </w:tcPr>
          <w:p w14:paraId="2694A3BB"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30</w:t>
            </w:r>
          </w:p>
        </w:tc>
        <w:tc>
          <w:tcPr>
            <w:tcW w:w="588" w:type="dxa"/>
            <w:noWrap/>
            <w:vAlign w:val="center"/>
            <w:hideMark/>
          </w:tcPr>
          <w:p w14:paraId="2F5A0B29"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53</w:t>
            </w:r>
          </w:p>
        </w:tc>
        <w:tc>
          <w:tcPr>
            <w:tcW w:w="588" w:type="dxa"/>
            <w:noWrap/>
            <w:vAlign w:val="center"/>
            <w:hideMark/>
          </w:tcPr>
          <w:p w14:paraId="2C6AEFA6"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56</w:t>
            </w:r>
          </w:p>
        </w:tc>
        <w:tc>
          <w:tcPr>
            <w:tcW w:w="588" w:type="dxa"/>
            <w:noWrap/>
            <w:vAlign w:val="center"/>
            <w:hideMark/>
          </w:tcPr>
          <w:p w14:paraId="1D787F49"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47</w:t>
            </w:r>
          </w:p>
        </w:tc>
        <w:tc>
          <w:tcPr>
            <w:tcW w:w="588" w:type="dxa"/>
            <w:noWrap/>
            <w:vAlign w:val="center"/>
            <w:hideMark/>
          </w:tcPr>
          <w:p w14:paraId="32B7CE0A"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78</w:t>
            </w:r>
          </w:p>
        </w:tc>
        <w:tc>
          <w:tcPr>
            <w:tcW w:w="588" w:type="dxa"/>
            <w:noWrap/>
            <w:vAlign w:val="center"/>
            <w:hideMark/>
          </w:tcPr>
          <w:p w14:paraId="50682A27"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103</w:t>
            </w:r>
          </w:p>
        </w:tc>
        <w:tc>
          <w:tcPr>
            <w:tcW w:w="588" w:type="dxa"/>
            <w:noWrap/>
            <w:vAlign w:val="center"/>
            <w:hideMark/>
          </w:tcPr>
          <w:p w14:paraId="4725EFD0" w14:textId="77777777" w:rsidR="00BE5A79" w:rsidRPr="00A8116B" w:rsidRDefault="00BE5A79" w:rsidP="00032C9B">
            <w:pPr>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110</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156DC9A5" w14:textId="77777777" w:rsidR="00BE5A79" w:rsidRPr="00A8116B" w:rsidRDefault="00BE5A79" w:rsidP="00032C9B">
            <w:pPr>
              <w:spacing w:line="240" w:lineRule="auto"/>
              <w:ind w:firstLineChars="0" w:firstLine="0"/>
              <w:jc w:val="right"/>
              <w:rPr>
                <w:sz w:val="16"/>
                <w:szCs w:val="21"/>
              </w:rPr>
            </w:pPr>
            <w:r w:rsidRPr="00A8116B">
              <w:rPr>
                <w:rFonts w:hint="eastAsia"/>
                <w:sz w:val="16"/>
                <w:szCs w:val="21"/>
              </w:rPr>
              <w:t>558</w:t>
            </w:r>
          </w:p>
        </w:tc>
      </w:tr>
      <w:tr w:rsidR="002672D3" w:rsidRPr="00A8116B" w14:paraId="11C98C9A"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5D810448" w14:textId="77777777" w:rsidR="00BE5A79" w:rsidRPr="00A8116B" w:rsidRDefault="00BE5A79" w:rsidP="00191AD9">
            <w:pPr>
              <w:ind w:firstLineChars="0" w:firstLine="0"/>
              <w:jc w:val="center"/>
              <w:rPr>
                <w:sz w:val="16"/>
                <w:szCs w:val="21"/>
              </w:rPr>
            </w:pPr>
            <w:r w:rsidRPr="00A8116B">
              <w:rPr>
                <w:rFonts w:hint="eastAsia"/>
                <w:sz w:val="16"/>
                <w:szCs w:val="21"/>
              </w:rPr>
              <w:t>租赁和商务服务业</w:t>
            </w:r>
          </w:p>
        </w:tc>
        <w:tc>
          <w:tcPr>
            <w:tcW w:w="588" w:type="dxa"/>
            <w:noWrap/>
            <w:vAlign w:val="center"/>
            <w:hideMark/>
          </w:tcPr>
          <w:p w14:paraId="398E35A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15</w:t>
            </w:r>
          </w:p>
        </w:tc>
        <w:tc>
          <w:tcPr>
            <w:tcW w:w="588" w:type="dxa"/>
            <w:noWrap/>
            <w:vAlign w:val="center"/>
            <w:hideMark/>
          </w:tcPr>
          <w:p w14:paraId="1FADB01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27</w:t>
            </w:r>
          </w:p>
        </w:tc>
        <w:tc>
          <w:tcPr>
            <w:tcW w:w="588" w:type="dxa"/>
            <w:noWrap/>
            <w:vAlign w:val="center"/>
            <w:hideMark/>
          </w:tcPr>
          <w:p w14:paraId="654973C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42</w:t>
            </w:r>
          </w:p>
        </w:tc>
        <w:tc>
          <w:tcPr>
            <w:tcW w:w="588" w:type="dxa"/>
            <w:noWrap/>
            <w:vAlign w:val="center"/>
            <w:hideMark/>
          </w:tcPr>
          <w:p w14:paraId="4DEBFBE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37</w:t>
            </w:r>
          </w:p>
        </w:tc>
        <w:tc>
          <w:tcPr>
            <w:tcW w:w="588" w:type="dxa"/>
            <w:noWrap/>
            <w:vAlign w:val="center"/>
            <w:hideMark/>
          </w:tcPr>
          <w:p w14:paraId="712AA50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47</w:t>
            </w:r>
          </w:p>
        </w:tc>
        <w:tc>
          <w:tcPr>
            <w:tcW w:w="588" w:type="dxa"/>
            <w:noWrap/>
            <w:vAlign w:val="center"/>
            <w:hideMark/>
          </w:tcPr>
          <w:p w14:paraId="0C08EF0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24</w:t>
            </w:r>
          </w:p>
        </w:tc>
        <w:tc>
          <w:tcPr>
            <w:tcW w:w="588" w:type="dxa"/>
            <w:noWrap/>
            <w:vAlign w:val="center"/>
            <w:hideMark/>
          </w:tcPr>
          <w:p w14:paraId="4DC6CD7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47</w:t>
            </w:r>
          </w:p>
        </w:tc>
        <w:tc>
          <w:tcPr>
            <w:tcW w:w="588" w:type="dxa"/>
            <w:noWrap/>
            <w:vAlign w:val="center"/>
            <w:hideMark/>
          </w:tcPr>
          <w:p w14:paraId="5EC5139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71</w:t>
            </w:r>
          </w:p>
        </w:tc>
        <w:tc>
          <w:tcPr>
            <w:tcW w:w="588" w:type="dxa"/>
            <w:noWrap/>
            <w:vAlign w:val="center"/>
            <w:hideMark/>
          </w:tcPr>
          <w:p w14:paraId="498E4F8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96</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738D60DA" w14:textId="77777777" w:rsidR="00BE5A79" w:rsidRPr="00A8116B" w:rsidRDefault="00BE5A79" w:rsidP="00032C9B">
            <w:pPr>
              <w:ind w:firstLineChars="0" w:firstLine="0"/>
              <w:jc w:val="right"/>
              <w:rPr>
                <w:sz w:val="16"/>
                <w:szCs w:val="21"/>
              </w:rPr>
            </w:pPr>
            <w:r w:rsidRPr="00A8116B">
              <w:rPr>
                <w:rFonts w:hint="eastAsia"/>
                <w:sz w:val="16"/>
                <w:szCs w:val="21"/>
              </w:rPr>
              <w:t>406</w:t>
            </w:r>
          </w:p>
        </w:tc>
      </w:tr>
      <w:tr w:rsidR="002672D3" w:rsidRPr="00A8116B" w14:paraId="18C35424"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7C2397BB" w14:textId="19B7FE0C" w:rsidR="00BE5A79" w:rsidRPr="00A8116B" w:rsidRDefault="00BE5A79" w:rsidP="00191AD9">
            <w:pPr>
              <w:ind w:firstLineChars="0" w:firstLine="0"/>
              <w:jc w:val="center"/>
              <w:rPr>
                <w:sz w:val="16"/>
                <w:szCs w:val="21"/>
              </w:rPr>
            </w:pPr>
            <w:r w:rsidRPr="00A8116B">
              <w:rPr>
                <w:rFonts w:hint="eastAsia"/>
                <w:sz w:val="16"/>
                <w:szCs w:val="21"/>
              </w:rPr>
              <w:t>水利、环境和公共</w:t>
            </w:r>
            <w:r w:rsidR="002672D3">
              <w:rPr>
                <w:rFonts w:hint="eastAsia"/>
                <w:sz w:val="16"/>
                <w:szCs w:val="21"/>
              </w:rPr>
              <w:t>设施管理业</w:t>
            </w:r>
          </w:p>
        </w:tc>
        <w:tc>
          <w:tcPr>
            <w:tcW w:w="588" w:type="dxa"/>
            <w:noWrap/>
            <w:vAlign w:val="center"/>
            <w:hideMark/>
          </w:tcPr>
          <w:p w14:paraId="7C80CC1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14</w:t>
            </w:r>
          </w:p>
        </w:tc>
        <w:tc>
          <w:tcPr>
            <w:tcW w:w="588" w:type="dxa"/>
            <w:noWrap/>
            <w:vAlign w:val="center"/>
            <w:hideMark/>
          </w:tcPr>
          <w:p w14:paraId="742211E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26</w:t>
            </w:r>
          </w:p>
        </w:tc>
        <w:tc>
          <w:tcPr>
            <w:tcW w:w="588" w:type="dxa"/>
            <w:noWrap/>
            <w:vAlign w:val="center"/>
            <w:hideMark/>
          </w:tcPr>
          <w:p w14:paraId="5A14ACE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39</w:t>
            </w:r>
          </w:p>
        </w:tc>
        <w:tc>
          <w:tcPr>
            <w:tcW w:w="588" w:type="dxa"/>
            <w:noWrap/>
            <w:vAlign w:val="center"/>
            <w:hideMark/>
          </w:tcPr>
          <w:p w14:paraId="6639A40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38</w:t>
            </w:r>
          </w:p>
        </w:tc>
        <w:tc>
          <w:tcPr>
            <w:tcW w:w="588" w:type="dxa"/>
            <w:noWrap/>
            <w:vAlign w:val="center"/>
            <w:hideMark/>
          </w:tcPr>
          <w:p w14:paraId="4C56B4C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43</w:t>
            </w:r>
          </w:p>
        </w:tc>
        <w:tc>
          <w:tcPr>
            <w:tcW w:w="588" w:type="dxa"/>
            <w:noWrap/>
            <w:vAlign w:val="center"/>
            <w:hideMark/>
          </w:tcPr>
          <w:p w14:paraId="35610E8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25</w:t>
            </w:r>
          </w:p>
        </w:tc>
        <w:tc>
          <w:tcPr>
            <w:tcW w:w="588" w:type="dxa"/>
            <w:noWrap/>
            <w:vAlign w:val="center"/>
            <w:hideMark/>
          </w:tcPr>
          <w:p w14:paraId="677736A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27</w:t>
            </w:r>
          </w:p>
        </w:tc>
        <w:tc>
          <w:tcPr>
            <w:tcW w:w="588" w:type="dxa"/>
            <w:noWrap/>
            <w:vAlign w:val="center"/>
            <w:hideMark/>
          </w:tcPr>
          <w:p w14:paraId="63783D7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58</w:t>
            </w:r>
          </w:p>
        </w:tc>
        <w:tc>
          <w:tcPr>
            <w:tcW w:w="588" w:type="dxa"/>
            <w:noWrap/>
            <w:vAlign w:val="center"/>
            <w:hideMark/>
          </w:tcPr>
          <w:p w14:paraId="16DB032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87</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6B14D1D9" w14:textId="77777777" w:rsidR="00BE5A79" w:rsidRPr="00A8116B" w:rsidRDefault="00BE5A79" w:rsidP="00032C9B">
            <w:pPr>
              <w:ind w:firstLineChars="0" w:firstLine="0"/>
              <w:jc w:val="right"/>
              <w:rPr>
                <w:sz w:val="16"/>
                <w:szCs w:val="21"/>
              </w:rPr>
            </w:pPr>
            <w:r w:rsidRPr="00A8116B">
              <w:rPr>
                <w:rFonts w:hint="eastAsia"/>
                <w:sz w:val="16"/>
                <w:szCs w:val="21"/>
              </w:rPr>
              <w:t>357</w:t>
            </w:r>
          </w:p>
        </w:tc>
      </w:tr>
      <w:tr w:rsidR="002672D3" w:rsidRPr="00A8116B" w14:paraId="1A55D670"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187FA88C" w14:textId="77777777" w:rsidR="00BE5A79" w:rsidRPr="00A8116B" w:rsidRDefault="00BE5A79" w:rsidP="00191AD9">
            <w:pPr>
              <w:ind w:firstLineChars="0" w:firstLine="0"/>
              <w:jc w:val="center"/>
              <w:rPr>
                <w:sz w:val="16"/>
                <w:szCs w:val="21"/>
              </w:rPr>
            </w:pPr>
            <w:r w:rsidRPr="00A8116B">
              <w:rPr>
                <w:rFonts w:hint="eastAsia"/>
                <w:sz w:val="16"/>
                <w:szCs w:val="21"/>
              </w:rPr>
              <w:t>农、林、牧、渔业</w:t>
            </w:r>
          </w:p>
        </w:tc>
        <w:tc>
          <w:tcPr>
            <w:tcW w:w="588" w:type="dxa"/>
            <w:noWrap/>
            <w:vAlign w:val="center"/>
            <w:hideMark/>
          </w:tcPr>
          <w:p w14:paraId="7471B09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15</w:t>
            </w:r>
          </w:p>
        </w:tc>
        <w:tc>
          <w:tcPr>
            <w:tcW w:w="588" w:type="dxa"/>
            <w:noWrap/>
            <w:vAlign w:val="center"/>
            <w:hideMark/>
          </w:tcPr>
          <w:p w14:paraId="488F7CDF"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26</w:t>
            </w:r>
          </w:p>
        </w:tc>
        <w:tc>
          <w:tcPr>
            <w:tcW w:w="588" w:type="dxa"/>
            <w:noWrap/>
            <w:vAlign w:val="center"/>
            <w:hideMark/>
          </w:tcPr>
          <w:p w14:paraId="43B65AE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39</w:t>
            </w:r>
          </w:p>
        </w:tc>
        <w:tc>
          <w:tcPr>
            <w:tcW w:w="588" w:type="dxa"/>
            <w:noWrap/>
            <w:vAlign w:val="center"/>
            <w:hideMark/>
          </w:tcPr>
          <w:p w14:paraId="45C9BB8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44</w:t>
            </w:r>
          </w:p>
        </w:tc>
        <w:tc>
          <w:tcPr>
            <w:tcW w:w="588" w:type="dxa"/>
            <w:noWrap/>
            <w:vAlign w:val="center"/>
            <w:hideMark/>
          </w:tcPr>
          <w:p w14:paraId="672C676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39</w:t>
            </w:r>
          </w:p>
        </w:tc>
        <w:tc>
          <w:tcPr>
            <w:tcW w:w="588" w:type="dxa"/>
            <w:noWrap/>
            <w:vAlign w:val="center"/>
            <w:hideMark/>
          </w:tcPr>
          <w:p w14:paraId="2D871B0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29</w:t>
            </w:r>
          </w:p>
        </w:tc>
        <w:tc>
          <w:tcPr>
            <w:tcW w:w="588" w:type="dxa"/>
            <w:noWrap/>
            <w:vAlign w:val="center"/>
            <w:hideMark/>
          </w:tcPr>
          <w:p w14:paraId="3324C21F"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31</w:t>
            </w:r>
          </w:p>
        </w:tc>
        <w:tc>
          <w:tcPr>
            <w:tcW w:w="588" w:type="dxa"/>
            <w:noWrap/>
            <w:vAlign w:val="center"/>
            <w:hideMark/>
          </w:tcPr>
          <w:p w14:paraId="2437EC4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43</w:t>
            </w:r>
          </w:p>
        </w:tc>
        <w:tc>
          <w:tcPr>
            <w:tcW w:w="588" w:type="dxa"/>
            <w:noWrap/>
            <w:vAlign w:val="center"/>
            <w:hideMark/>
          </w:tcPr>
          <w:p w14:paraId="1070A23C"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64</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4C0C98FC" w14:textId="77777777" w:rsidR="00BE5A79" w:rsidRPr="00A8116B" w:rsidRDefault="00BE5A79" w:rsidP="00032C9B">
            <w:pPr>
              <w:ind w:firstLineChars="0" w:firstLine="0"/>
              <w:jc w:val="right"/>
              <w:rPr>
                <w:sz w:val="16"/>
                <w:szCs w:val="21"/>
              </w:rPr>
            </w:pPr>
            <w:r w:rsidRPr="00A8116B">
              <w:rPr>
                <w:rFonts w:hint="eastAsia"/>
                <w:sz w:val="16"/>
                <w:szCs w:val="21"/>
              </w:rPr>
              <w:t>330</w:t>
            </w:r>
          </w:p>
        </w:tc>
      </w:tr>
      <w:tr w:rsidR="002672D3" w:rsidRPr="00A8116B" w14:paraId="69C92A8E"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6A1046D3" w14:textId="77777777" w:rsidR="00BE5A79" w:rsidRPr="00A8116B" w:rsidRDefault="00BE5A79" w:rsidP="00191AD9">
            <w:pPr>
              <w:ind w:firstLineChars="0" w:firstLine="0"/>
              <w:jc w:val="center"/>
              <w:rPr>
                <w:sz w:val="16"/>
                <w:szCs w:val="21"/>
              </w:rPr>
            </w:pPr>
            <w:r w:rsidRPr="00A8116B">
              <w:rPr>
                <w:rFonts w:hint="eastAsia"/>
                <w:sz w:val="16"/>
                <w:szCs w:val="21"/>
              </w:rPr>
              <w:t>文化、体育和娱乐业</w:t>
            </w:r>
          </w:p>
        </w:tc>
        <w:tc>
          <w:tcPr>
            <w:tcW w:w="588" w:type="dxa"/>
            <w:noWrap/>
            <w:vAlign w:val="center"/>
            <w:hideMark/>
          </w:tcPr>
          <w:p w14:paraId="0D79F91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w:t>
            </w:r>
          </w:p>
        </w:tc>
        <w:tc>
          <w:tcPr>
            <w:tcW w:w="588" w:type="dxa"/>
            <w:noWrap/>
            <w:vAlign w:val="center"/>
            <w:hideMark/>
          </w:tcPr>
          <w:p w14:paraId="1B55216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w:t>
            </w:r>
          </w:p>
        </w:tc>
        <w:tc>
          <w:tcPr>
            <w:tcW w:w="588" w:type="dxa"/>
            <w:noWrap/>
            <w:vAlign w:val="center"/>
            <w:hideMark/>
          </w:tcPr>
          <w:p w14:paraId="2BEE20B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17</w:t>
            </w:r>
          </w:p>
        </w:tc>
        <w:tc>
          <w:tcPr>
            <w:tcW w:w="588" w:type="dxa"/>
            <w:noWrap/>
            <w:vAlign w:val="center"/>
            <w:hideMark/>
          </w:tcPr>
          <w:p w14:paraId="6968DE5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w:t>
            </w:r>
          </w:p>
        </w:tc>
        <w:tc>
          <w:tcPr>
            <w:tcW w:w="588" w:type="dxa"/>
            <w:noWrap/>
            <w:vAlign w:val="center"/>
            <w:hideMark/>
          </w:tcPr>
          <w:p w14:paraId="7726D11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14</w:t>
            </w:r>
          </w:p>
        </w:tc>
        <w:tc>
          <w:tcPr>
            <w:tcW w:w="588" w:type="dxa"/>
            <w:noWrap/>
            <w:vAlign w:val="center"/>
            <w:hideMark/>
          </w:tcPr>
          <w:p w14:paraId="272FB07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28</w:t>
            </w:r>
          </w:p>
        </w:tc>
        <w:tc>
          <w:tcPr>
            <w:tcW w:w="588" w:type="dxa"/>
            <w:noWrap/>
            <w:vAlign w:val="center"/>
            <w:hideMark/>
          </w:tcPr>
          <w:p w14:paraId="6B91110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46</w:t>
            </w:r>
          </w:p>
        </w:tc>
        <w:tc>
          <w:tcPr>
            <w:tcW w:w="588" w:type="dxa"/>
            <w:noWrap/>
            <w:vAlign w:val="center"/>
            <w:hideMark/>
          </w:tcPr>
          <w:p w14:paraId="37463C6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83</w:t>
            </w:r>
          </w:p>
        </w:tc>
        <w:tc>
          <w:tcPr>
            <w:tcW w:w="588" w:type="dxa"/>
            <w:noWrap/>
            <w:vAlign w:val="center"/>
            <w:hideMark/>
          </w:tcPr>
          <w:p w14:paraId="1C887B7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93</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3AF52640" w14:textId="77777777" w:rsidR="00BE5A79" w:rsidRPr="00A8116B" w:rsidRDefault="00BE5A79" w:rsidP="00032C9B">
            <w:pPr>
              <w:ind w:firstLineChars="0" w:firstLine="0"/>
              <w:jc w:val="right"/>
              <w:rPr>
                <w:sz w:val="16"/>
                <w:szCs w:val="21"/>
              </w:rPr>
            </w:pPr>
            <w:r w:rsidRPr="00A8116B">
              <w:rPr>
                <w:rFonts w:hint="eastAsia"/>
                <w:sz w:val="16"/>
                <w:szCs w:val="21"/>
              </w:rPr>
              <w:t>313</w:t>
            </w:r>
          </w:p>
        </w:tc>
      </w:tr>
      <w:tr w:rsidR="002672D3" w:rsidRPr="00A8116B" w14:paraId="35C7834F"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65728A76" w14:textId="77777777" w:rsidR="00BE5A79" w:rsidRPr="00A8116B" w:rsidRDefault="00BE5A79" w:rsidP="00191AD9">
            <w:pPr>
              <w:ind w:firstLineChars="0" w:firstLine="0"/>
              <w:jc w:val="center"/>
              <w:rPr>
                <w:sz w:val="16"/>
                <w:szCs w:val="21"/>
              </w:rPr>
            </w:pPr>
            <w:r w:rsidRPr="00A8116B">
              <w:rPr>
                <w:rFonts w:hint="eastAsia"/>
                <w:sz w:val="16"/>
                <w:szCs w:val="21"/>
              </w:rPr>
              <w:t>住宿和餐饮业</w:t>
            </w:r>
          </w:p>
        </w:tc>
        <w:tc>
          <w:tcPr>
            <w:tcW w:w="588" w:type="dxa"/>
            <w:noWrap/>
            <w:vAlign w:val="center"/>
            <w:hideMark/>
          </w:tcPr>
          <w:p w14:paraId="7636BAE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w:t>
            </w:r>
          </w:p>
        </w:tc>
        <w:tc>
          <w:tcPr>
            <w:tcW w:w="588" w:type="dxa"/>
            <w:noWrap/>
            <w:vAlign w:val="center"/>
            <w:hideMark/>
          </w:tcPr>
          <w:p w14:paraId="2CAC977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12</w:t>
            </w:r>
          </w:p>
        </w:tc>
        <w:tc>
          <w:tcPr>
            <w:tcW w:w="588" w:type="dxa"/>
            <w:noWrap/>
            <w:vAlign w:val="center"/>
            <w:hideMark/>
          </w:tcPr>
          <w:p w14:paraId="743C8E84"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14</w:t>
            </w:r>
          </w:p>
        </w:tc>
        <w:tc>
          <w:tcPr>
            <w:tcW w:w="588" w:type="dxa"/>
            <w:noWrap/>
            <w:vAlign w:val="center"/>
            <w:hideMark/>
          </w:tcPr>
          <w:p w14:paraId="523464AC"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w:t>
            </w:r>
          </w:p>
        </w:tc>
        <w:tc>
          <w:tcPr>
            <w:tcW w:w="588" w:type="dxa"/>
            <w:noWrap/>
            <w:vAlign w:val="center"/>
            <w:hideMark/>
          </w:tcPr>
          <w:p w14:paraId="3F070B1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w:t>
            </w:r>
          </w:p>
        </w:tc>
        <w:tc>
          <w:tcPr>
            <w:tcW w:w="588" w:type="dxa"/>
            <w:noWrap/>
            <w:vAlign w:val="center"/>
            <w:hideMark/>
          </w:tcPr>
          <w:p w14:paraId="0C41BE8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w:t>
            </w:r>
          </w:p>
        </w:tc>
        <w:tc>
          <w:tcPr>
            <w:tcW w:w="588" w:type="dxa"/>
            <w:noWrap/>
            <w:vAlign w:val="center"/>
            <w:hideMark/>
          </w:tcPr>
          <w:p w14:paraId="513667C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w:t>
            </w:r>
          </w:p>
        </w:tc>
        <w:tc>
          <w:tcPr>
            <w:tcW w:w="588" w:type="dxa"/>
            <w:noWrap/>
            <w:vAlign w:val="center"/>
            <w:hideMark/>
          </w:tcPr>
          <w:p w14:paraId="2F3916D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16</w:t>
            </w:r>
          </w:p>
        </w:tc>
        <w:tc>
          <w:tcPr>
            <w:tcW w:w="588" w:type="dxa"/>
            <w:noWrap/>
            <w:vAlign w:val="center"/>
            <w:hideMark/>
          </w:tcPr>
          <w:p w14:paraId="3C2EEBA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26</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6F128D66" w14:textId="77777777" w:rsidR="00BE5A79" w:rsidRPr="00A8116B" w:rsidRDefault="00BE5A79" w:rsidP="00032C9B">
            <w:pPr>
              <w:ind w:firstLineChars="0" w:firstLine="0"/>
              <w:jc w:val="right"/>
              <w:rPr>
                <w:sz w:val="16"/>
                <w:szCs w:val="21"/>
              </w:rPr>
            </w:pPr>
            <w:r w:rsidRPr="00A8116B">
              <w:rPr>
                <w:rFonts w:hint="eastAsia"/>
                <w:sz w:val="16"/>
                <w:szCs w:val="21"/>
              </w:rPr>
              <w:t>119</w:t>
            </w:r>
          </w:p>
        </w:tc>
      </w:tr>
      <w:tr w:rsidR="002672D3" w:rsidRPr="00A8116B" w14:paraId="3251EF8D"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42052DEA" w14:textId="77777777" w:rsidR="00BE5A79" w:rsidRPr="00A8116B" w:rsidRDefault="00BE5A79" w:rsidP="00191AD9">
            <w:pPr>
              <w:ind w:firstLineChars="0" w:firstLine="0"/>
              <w:jc w:val="center"/>
              <w:rPr>
                <w:sz w:val="16"/>
                <w:szCs w:val="21"/>
              </w:rPr>
            </w:pPr>
            <w:r w:rsidRPr="00A8116B">
              <w:rPr>
                <w:rFonts w:hint="eastAsia"/>
                <w:sz w:val="16"/>
                <w:szCs w:val="21"/>
              </w:rPr>
              <w:t>科学研究和技术服务业</w:t>
            </w:r>
          </w:p>
        </w:tc>
        <w:tc>
          <w:tcPr>
            <w:tcW w:w="588" w:type="dxa"/>
            <w:noWrap/>
            <w:vAlign w:val="center"/>
            <w:hideMark/>
          </w:tcPr>
          <w:p w14:paraId="5BBF370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noWrap/>
            <w:vAlign w:val="center"/>
            <w:hideMark/>
          </w:tcPr>
          <w:p w14:paraId="51AF239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w:t>
            </w:r>
          </w:p>
        </w:tc>
        <w:tc>
          <w:tcPr>
            <w:tcW w:w="588" w:type="dxa"/>
            <w:noWrap/>
            <w:vAlign w:val="center"/>
            <w:hideMark/>
          </w:tcPr>
          <w:p w14:paraId="46F64BF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w:t>
            </w:r>
          </w:p>
        </w:tc>
        <w:tc>
          <w:tcPr>
            <w:tcW w:w="588" w:type="dxa"/>
            <w:noWrap/>
            <w:vAlign w:val="center"/>
            <w:hideMark/>
          </w:tcPr>
          <w:p w14:paraId="71CC842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w:t>
            </w:r>
          </w:p>
        </w:tc>
        <w:tc>
          <w:tcPr>
            <w:tcW w:w="588" w:type="dxa"/>
            <w:noWrap/>
            <w:vAlign w:val="center"/>
            <w:hideMark/>
          </w:tcPr>
          <w:p w14:paraId="4DF725C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w:t>
            </w:r>
          </w:p>
        </w:tc>
        <w:tc>
          <w:tcPr>
            <w:tcW w:w="588" w:type="dxa"/>
            <w:noWrap/>
            <w:vAlign w:val="center"/>
            <w:hideMark/>
          </w:tcPr>
          <w:p w14:paraId="1D706FE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10</w:t>
            </w:r>
          </w:p>
        </w:tc>
        <w:tc>
          <w:tcPr>
            <w:tcW w:w="588" w:type="dxa"/>
            <w:noWrap/>
            <w:vAlign w:val="center"/>
            <w:hideMark/>
          </w:tcPr>
          <w:p w14:paraId="7D819E0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8</w:t>
            </w:r>
          </w:p>
        </w:tc>
        <w:tc>
          <w:tcPr>
            <w:tcW w:w="588" w:type="dxa"/>
            <w:noWrap/>
            <w:vAlign w:val="center"/>
            <w:hideMark/>
          </w:tcPr>
          <w:p w14:paraId="7098335A"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23</w:t>
            </w:r>
          </w:p>
        </w:tc>
        <w:tc>
          <w:tcPr>
            <w:tcW w:w="588" w:type="dxa"/>
            <w:noWrap/>
            <w:vAlign w:val="center"/>
            <w:hideMark/>
          </w:tcPr>
          <w:p w14:paraId="19F7088C"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24</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350F9849" w14:textId="77777777" w:rsidR="00BE5A79" w:rsidRPr="00A8116B" w:rsidRDefault="00BE5A79" w:rsidP="00032C9B">
            <w:pPr>
              <w:ind w:firstLineChars="0" w:firstLine="0"/>
              <w:jc w:val="right"/>
              <w:rPr>
                <w:sz w:val="16"/>
                <w:szCs w:val="21"/>
              </w:rPr>
            </w:pPr>
            <w:r w:rsidRPr="00A8116B">
              <w:rPr>
                <w:rFonts w:hint="eastAsia"/>
                <w:sz w:val="16"/>
                <w:szCs w:val="21"/>
              </w:rPr>
              <w:t>88</w:t>
            </w:r>
          </w:p>
        </w:tc>
      </w:tr>
      <w:tr w:rsidR="002672D3" w:rsidRPr="00A8116B" w14:paraId="566A8F64"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0C5FD58F" w14:textId="77777777" w:rsidR="00BE5A79" w:rsidRPr="00A8116B" w:rsidRDefault="00BE5A79" w:rsidP="00191AD9">
            <w:pPr>
              <w:ind w:firstLineChars="0" w:firstLine="0"/>
              <w:jc w:val="center"/>
              <w:rPr>
                <w:sz w:val="16"/>
                <w:szCs w:val="21"/>
              </w:rPr>
            </w:pPr>
            <w:r w:rsidRPr="00A8116B">
              <w:rPr>
                <w:rFonts w:hint="eastAsia"/>
                <w:sz w:val="16"/>
                <w:szCs w:val="21"/>
              </w:rPr>
              <w:t>综合</w:t>
            </w:r>
          </w:p>
        </w:tc>
        <w:tc>
          <w:tcPr>
            <w:tcW w:w="588" w:type="dxa"/>
            <w:noWrap/>
            <w:vAlign w:val="center"/>
            <w:hideMark/>
          </w:tcPr>
          <w:p w14:paraId="5390808D"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w:t>
            </w:r>
          </w:p>
        </w:tc>
        <w:tc>
          <w:tcPr>
            <w:tcW w:w="588" w:type="dxa"/>
            <w:noWrap/>
            <w:vAlign w:val="center"/>
            <w:hideMark/>
          </w:tcPr>
          <w:p w14:paraId="69A0848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w:t>
            </w:r>
          </w:p>
        </w:tc>
        <w:tc>
          <w:tcPr>
            <w:tcW w:w="588" w:type="dxa"/>
            <w:noWrap/>
            <w:vAlign w:val="center"/>
            <w:hideMark/>
          </w:tcPr>
          <w:p w14:paraId="4E08163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16</w:t>
            </w:r>
          </w:p>
        </w:tc>
        <w:tc>
          <w:tcPr>
            <w:tcW w:w="588" w:type="dxa"/>
            <w:noWrap/>
            <w:vAlign w:val="center"/>
            <w:hideMark/>
          </w:tcPr>
          <w:p w14:paraId="27481AA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w:t>
            </w:r>
          </w:p>
        </w:tc>
        <w:tc>
          <w:tcPr>
            <w:tcW w:w="588" w:type="dxa"/>
            <w:noWrap/>
            <w:vAlign w:val="center"/>
            <w:hideMark/>
          </w:tcPr>
          <w:p w14:paraId="14339C7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5</w:t>
            </w:r>
          </w:p>
        </w:tc>
        <w:tc>
          <w:tcPr>
            <w:tcW w:w="588" w:type="dxa"/>
            <w:noWrap/>
            <w:vAlign w:val="center"/>
            <w:hideMark/>
          </w:tcPr>
          <w:p w14:paraId="1B06374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4</w:t>
            </w:r>
          </w:p>
        </w:tc>
        <w:tc>
          <w:tcPr>
            <w:tcW w:w="588" w:type="dxa"/>
            <w:noWrap/>
            <w:vAlign w:val="center"/>
            <w:hideMark/>
          </w:tcPr>
          <w:p w14:paraId="5882910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w:t>
            </w:r>
          </w:p>
        </w:tc>
        <w:tc>
          <w:tcPr>
            <w:tcW w:w="588" w:type="dxa"/>
            <w:noWrap/>
            <w:vAlign w:val="center"/>
            <w:hideMark/>
          </w:tcPr>
          <w:p w14:paraId="2402A046"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19</w:t>
            </w:r>
          </w:p>
        </w:tc>
        <w:tc>
          <w:tcPr>
            <w:tcW w:w="588" w:type="dxa"/>
            <w:noWrap/>
            <w:vAlign w:val="center"/>
            <w:hideMark/>
          </w:tcPr>
          <w:p w14:paraId="13CB520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15</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7A16C403" w14:textId="77777777" w:rsidR="00BE5A79" w:rsidRPr="00A8116B" w:rsidRDefault="00BE5A79" w:rsidP="00032C9B">
            <w:pPr>
              <w:ind w:firstLineChars="0" w:firstLine="0"/>
              <w:jc w:val="right"/>
              <w:rPr>
                <w:sz w:val="16"/>
                <w:szCs w:val="21"/>
              </w:rPr>
            </w:pPr>
            <w:r w:rsidRPr="00A8116B">
              <w:rPr>
                <w:rFonts w:hint="eastAsia"/>
                <w:sz w:val="16"/>
                <w:szCs w:val="21"/>
              </w:rPr>
              <w:t>83</w:t>
            </w:r>
          </w:p>
        </w:tc>
      </w:tr>
      <w:tr w:rsidR="002672D3" w:rsidRPr="00A8116B" w14:paraId="54940E8A" w14:textId="77777777" w:rsidTr="002672D3">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noWrap/>
            <w:vAlign w:val="center"/>
            <w:hideMark/>
          </w:tcPr>
          <w:p w14:paraId="510BC32C" w14:textId="77777777" w:rsidR="00BE5A79" w:rsidRPr="00A8116B" w:rsidRDefault="00BE5A79" w:rsidP="00191AD9">
            <w:pPr>
              <w:ind w:firstLineChars="0" w:firstLine="0"/>
              <w:jc w:val="center"/>
              <w:rPr>
                <w:sz w:val="16"/>
                <w:szCs w:val="21"/>
              </w:rPr>
            </w:pPr>
            <w:r w:rsidRPr="00A8116B">
              <w:rPr>
                <w:rFonts w:hint="eastAsia"/>
                <w:sz w:val="16"/>
                <w:szCs w:val="21"/>
              </w:rPr>
              <w:t>卫生和社会工作</w:t>
            </w:r>
          </w:p>
        </w:tc>
        <w:tc>
          <w:tcPr>
            <w:tcW w:w="588" w:type="dxa"/>
            <w:noWrap/>
            <w:vAlign w:val="center"/>
            <w:hideMark/>
          </w:tcPr>
          <w:p w14:paraId="4B4B52A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noWrap/>
            <w:vAlign w:val="center"/>
            <w:hideMark/>
          </w:tcPr>
          <w:p w14:paraId="23AE2762"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w:t>
            </w:r>
          </w:p>
        </w:tc>
        <w:tc>
          <w:tcPr>
            <w:tcW w:w="588" w:type="dxa"/>
            <w:noWrap/>
            <w:vAlign w:val="center"/>
            <w:hideMark/>
          </w:tcPr>
          <w:p w14:paraId="6B29B137"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w:t>
            </w:r>
          </w:p>
        </w:tc>
        <w:tc>
          <w:tcPr>
            <w:tcW w:w="588" w:type="dxa"/>
            <w:noWrap/>
            <w:vAlign w:val="center"/>
            <w:hideMark/>
          </w:tcPr>
          <w:p w14:paraId="39808A4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noWrap/>
            <w:vAlign w:val="center"/>
            <w:hideMark/>
          </w:tcPr>
          <w:p w14:paraId="1345DD60"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w:t>
            </w:r>
          </w:p>
        </w:tc>
        <w:tc>
          <w:tcPr>
            <w:tcW w:w="588" w:type="dxa"/>
            <w:noWrap/>
            <w:vAlign w:val="center"/>
            <w:hideMark/>
          </w:tcPr>
          <w:p w14:paraId="7A4A70F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w:t>
            </w:r>
          </w:p>
        </w:tc>
        <w:tc>
          <w:tcPr>
            <w:tcW w:w="588" w:type="dxa"/>
            <w:noWrap/>
            <w:vAlign w:val="center"/>
            <w:hideMark/>
          </w:tcPr>
          <w:p w14:paraId="14DC52F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9</w:t>
            </w:r>
          </w:p>
        </w:tc>
        <w:tc>
          <w:tcPr>
            <w:tcW w:w="588" w:type="dxa"/>
            <w:noWrap/>
            <w:vAlign w:val="center"/>
            <w:hideMark/>
          </w:tcPr>
          <w:p w14:paraId="636810E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7</w:t>
            </w:r>
          </w:p>
        </w:tc>
        <w:tc>
          <w:tcPr>
            <w:tcW w:w="588" w:type="dxa"/>
            <w:noWrap/>
            <w:vAlign w:val="center"/>
            <w:hideMark/>
          </w:tcPr>
          <w:p w14:paraId="2A5DE7E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11</w:t>
            </w:r>
          </w:p>
        </w:tc>
        <w:tc>
          <w:tcPr>
            <w:cnfStyle w:val="000100000000" w:firstRow="0" w:lastRow="0" w:firstColumn="0" w:lastColumn="1" w:oddVBand="0" w:evenVBand="0" w:oddHBand="0" w:evenHBand="0" w:firstRowFirstColumn="0" w:firstRowLastColumn="0" w:lastRowFirstColumn="0" w:lastRowLastColumn="0"/>
            <w:tcW w:w="663" w:type="dxa"/>
            <w:noWrap/>
            <w:vAlign w:val="center"/>
            <w:hideMark/>
          </w:tcPr>
          <w:p w14:paraId="6F957AC7" w14:textId="77777777" w:rsidR="00BE5A79" w:rsidRPr="00A8116B" w:rsidRDefault="00BE5A79" w:rsidP="00032C9B">
            <w:pPr>
              <w:ind w:firstLineChars="0" w:firstLine="0"/>
              <w:jc w:val="right"/>
              <w:rPr>
                <w:sz w:val="16"/>
                <w:szCs w:val="21"/>
              </w:rPr>
            </w:pPr>
            <w:r w:rsidRPr="00A8116B">
              <w:rPr>
                <w:rFonts w:hint="eastAsia"/>
                <w:sz w:val="16"/>
                <w:szCs w:val="21"/>
              </w:rPr>
              <w:t>34</w:t>
            </w:r>
          </w:p>
        </w:tc>
      </w:tr>
      <w:tr w:rsidR="002672D3" w:rsidRPr="00A8116B" w14:paraId="5B121422" w14:textId="77777777" w:rsidTr="00E81A57">
        <w:trPr>
          <w:trHeight w:val="276"/>
          <w:jc w:val="center"/>
        </w:trPr>
        <w:tc>
          <w:tcPr>
            <w:cnfStyle w:val="001000000000" w:firstRow="0" w:lastRow="0" w:firstColumn="1" w:lastColumn="0" w:oddVBand="0" w:evenVBand="0" w:oddHBand="0" w:evenHBand="0" w:firstRowFirstColumn="0" w:firstRowLastColumn="0" w:lastRowFirstColumn="0" w:lastRowLastColumn="0"/>
            <w:tcW w:w="2351" w:type="dxa"/>
            <w:tcBorders>
              <w:bottom w:val="double" w:sz="4" w:space="0" w:color="000000" w:themeColor="text1"/>
            </w:tcBorders>
            <w:noWrap/>
            <w:vAlign w:val="center"/>
            <w:hideMark/>
          </w:tcPr>
          <w:p w14:paraId="4EFEB3DA" w14:textId="77777777" w:rsidR="00BE5A79" w:rsidRPr="00A8116B" w:rsidRDefault="00BE5A79" w:rsidP="00191AD9">
            <w:pPr>
              <w:ind w:firstLineChars="0" w:firstLine="0"/>
              <w:jc w:val="center"/>
              <w:rPr>
                <w:sz w:val="16"/>
                <w:szCs w:val="21"/>
              </w:rPr>
            </w:pPr>
            <w:r w:rsidRPr="00A8116B">
              <w:rPr>
                <w:rFonts w:hint="eastAsia"/>
                <w:sz w:val="16"/>
                <w:szCs w:val="21"/>
              </w:rPr>
              <w:t>教育</w:t>
            </w:r>
          </w:p>
        </w:tc>
        <w:tc>
          <w:tcPr>
            <w:tcW w:w="588" w:type="dxa"/>
            <w:tcBorders>
              <w:bottom w:val="double" w:sz="4" w:space="0" w:color="000000" w:themeColor="text1"/>
            </w:tcBorders>
            <w:noWrap/>
            <w:vAlign w:val="center"/>
            <w:hideMark/>
          </w:tcPr>
          <w:p w14:paraId="1C46855E"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tcBorders>
              <w:bottom w:val="double" w:sz="4" w:space="0" w:color="000000" w:themeColor="text1"/>
            </w:tcBorders>
            <w:noWrap/>
            <w:vAlign w:val="center"/>
            <w:hideMark/>
          </w:tcPr>
          <w:p w14:paraId="5877327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tcBorders>
              <w:bottom w:val="double" w:sz="4" w:space="0" w:color="000000" w:themeColor="text1"/>
            </w:tcBorders>
            <w:noWrap/>
            <w:vAlign w:val="center"/>
            <w:hideMark/>
          </w:tcPr>
          <w:p w14:paraId="6FD754A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tcBorders>
              <w:bottom w:val="double" w:sz="4" w:space="0" w:color="000000" w:themeColor="text1"/>
            </w:tcBorders>
            <w:noWrap/>
            <w:vAlign w:val="center"/>
            <w:hideMark/>
          </w:tcPr>
          <w:p w14:paraId="32D81DBB"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0</w:t>
            </w:r>
          </w:p>
        </w:tc>
        <w:tc>
          <w:tcPr>
            <w:tcW w:w="588" w:type="dxa"/>
            <w:tcBorders>
              <w:bottom w:val="double" w:sz="4" w:space="0" w:color="000000" w:themeColor="text1"/>
            </w:tcBorders>
            <w:noWrap/>
            <w:vAlign w:val="center"/>
            <w:hideMark/>
          </w:tcPr>
          <w:p w14:paraId="27F96148"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w:t>
            </w:r>
          </w:p>
        </w:tc>
        <w:tc>
          <w:tcPr>
            <w:tcW w:w="588" w:type="dxa"/>
            <w:tcBorders>
              <w:bottom w:val="double" w:sz="4" w:space="0" w:color="000000" w:themeColor="text1"/>
            </w:tcBorders>
            <w:noWrap/>
            <w:vAlign w:val="center"/>
            <w:hideMark/>
          </w:tcPr>
          <w:p w14:paraId="2515D289"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w:t>
            </w:r>
          </w:p>
        </w:tc>
        <w:tc>
          <w:tcPr>
            <w:tcW w:w="588" w:type="dxa"/>
            <w:tcBorders>
              <w:bottom w:val="double" w:sz="4" w:space="0" w:color="000000" w:themeColor="text1"/>
            </w:tcBorders>
            <w:noWrap/>
            <w:vAlign w:val="center"/>
            <w:hideMark/>
          </w:tcPr>
          <w:p w14:paraId="513AA145"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1</w:t>
            </w:r>
          </w:p>
        </w:tc>
        <w:tc>
          <w:tcPr>
            <w:tcW w:w="588" w:type="dxa"/>
            <w:tcBorders>
              <w:bottom w:val="double" w:sz="4" w:space="0" w:color="000000" w:themeColor="text1"/>
            </w:tcBorders>
            <w:noWrap/>
            <w:vAlign w:val="center"/>
            <w:hideMark/>
          </w:tcPr>
          <w:p w14:paraId="5149A331"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8</w:t>
            </w:r>
          </w:p>
        </w:tc>
        <w:tc>
          <w:tcPr>
            <w:tcW w:w="588" w:type="dxa"/>
            <w:tcBorders>
              <w:bottom w:val="double" w:sz="4" w:space="0" w:color="000000" w:themeColor="text1"/>
            </w:tcBorders>
            <w:noWrap/>
            <w:vAlign w:val="center"/>
            <w:hideMark/>
          </w:tcPr>
          <w:p w14:paraId="11066173" w14:textId="77777777" w:rsidR="00BE5A79" w:rsidRPr="00A8116B" w:rsidRDefault="00BE5A79" w:rsidP="00032C9B">
            <w:pPr>
              <w:ind w:firstLineChars="0" w:firstLine="0"/>
              <w:jc w:val="right"/>
              <w:cnfStyle w:val="000000000000" w:firstRow="0" w:lastRow="0" w:firstColumn="0" w:lastColumn="0" w:oddVBand="0" w:evenVBand="0" w:oddHBand="0" w:evenHBand="0" w:firstRowFirstColumn="0" w:firstRowLastColumn="0" w:lastRowFirstColumn="0" w:lastRowLastColumn="0"/>
              <w:rPr>
                <w:sz w:val="16"/>
                <w:szCs w:val="21"/>
              </w:rPr>
            </w:pPr>
            <w:r w:rsidRPr="00A8116B">
              <w:rPr>
                <w:rFonts w:hint="eastAsia"/>
                <w:sz w:val="16"/>
                <w:szCs w:val="21"/>
              </w:rPr>
              <w:t>2</w:t>
            </w:r>
          </w:p>
        </w:tc>
        <w:tc>
          <w:tcPr>
            <w:cnfStyle w:val="000100000000" w:firstRow="0" w:lastRow="0" w:firstColumn="0" w:lastColumn="1" w:oddVBand="0" w:evenVBand="0" w:oddHBand="0" w:evenHBand="0" w:firstRowFirstColumn="0" w:firstRowLastColumn="0" w:lastRowFirstColumn="0" w:lastRowLastColumn="0"/>
            <w:tcW w:w="663" w:type="dxa"/>
            <w:tcBorders>
              <w:bottom w:val="double" w:sz="4" w:space="0" w:color="000000" w:themeColor="text1"/>
            </w:tcBorders>
            <w:noWrap/>
            <w:vAlign w:val="center"/>
            <w:hideMark/>
          </w:tcPr>
          <w:p w14:paraId="3CD539AA" w14:textId="77777777" w:rsidR="00BE5A79" w:rsidRPr="00A8116B" w:rsidRDefault="00BE5A79" w:rsidP="00032C9B">
            <w:pPr>
              <w:ind w:firstLineChars="0" w:firstLine="0"/>
              <w:jc w:val="right"/>
              <w:rPr>
                <w:sz w:val="16"/>
                <w:szCs w:val="21"/>
              </w:rPr>
            </w:pPr>
            <w:r w:rsidRPr="00A8116B">
              <w:rPr>
                <w:rFonts w:hint="eastAsia"/>
                <w:sz w:val="16"/>
                <w:szCs w:val="21"/>
              </w:rPr>
              <w:t>13</w:t>
            </w:r>
          </w:p>
        </w:tc>
      </w:tr>
      <w:tr w:rsidR="002672D3" w:rsidRPr="00A8116B" w14:paraId="397078EE" w14:textId="77777777" w:rsidTr="00E81A57">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351" w:type="dxa"/>
            <w:tcBorders>
              <w:bottom w:val="single" w:sz="4" w:space="0" w:color="auto"/>
            </w:tcBorders>
            <w:noWrap/>
            <w:vAlign w:val="center"/>
            <w:hideMark/>
          </w:tcPr>
          <w:p w14:paraId="5F9B5356" w14:textId="77777777" w:rsidR="00BE5A79" w:rsidRPr="00A8116B" w:rsidRDefault="00BE5A79" w:rsidP="00191AD9">
            <w:pPr>
              <w:ind w:firstLineChars="0" w:firstLine="0"/>
              <w:jc w:val="center"/>
              <w:rPr>
                <w:sz w:val="16"/>
                <w:szCs w:val="21"/>
              </w:rPr>
            </w:pPr>
            <w:r w:rsidRPr="00A8116B">
              <w:rPr>
                <w:rFonts w:hint="eastAsia"/>
                <w:sz w:val="16"/>
                <w:szCs w:val="21"/>
              </w:rPr>
              <w:t>合计</w:t>
            </w:r>
          </w:p>
        </w:tc>
        <w:tc>
          <w:tcPr>
            <w:tcW w:w="588" w:type="dxa"/>
            <w:tcBorders>
              <w:bottom w:val="single" w:sz="4" w:space="0" w:color="auto"/>
            </w:tcBorders>
            <w:noWrap/>
            <w:vAlign w:val="center"/>
            <w:hideMark/>
          </w:tcPr>
          <w:p w14:paraId="64D8F52A"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1,172</w:t>
            </w:r>
          </w:p>
        </w:tc>
        <w:tc>
          <w:tcPr>
            <w:tcW w:w="588" w:type="dxa"/>
            <w:tcBorders>
              <w:bottom w:val="single" w:sz="4" w:space="0" w:color="auto"/>
            </w:tcBorders>
            <w:noWrap/>
            <w:vAlign w:val="center"/>
            <w:hideMark/>
          </w:tcPr>
          <w:p w14:paraId="72422DD0"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1,443</w:t>
            </w:r>
          </w:p>
        </w:tc>
        <w:tc>
          <w:tcPr>
            <w:tcW w:w="588" w:type="dxa"/>
            <w:tcBorders>
              <w:bottom w:val="single" w:sz="4" w:space="0" w:color="auto"/>
            </w:tcBorders>
            <w:noWrap/>
            <w:vAlign w:val="center"/>
            <w:hideMark/>
          </w:tcPr>
          <w:p w14:paraId="6FE4716E"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1,862</w:t>
            </w:r>
          </w:p>
        </w:tc>
        <w:tc>
          <w:tcPr>
            <w:tcW w:w="588" w:type="dxa"/>
            <w:tcBorders>
              <w:bottom w:val="single" w:sz="4" w:space="0" w:color="auto"/>
            </w:tcBorders>
            <w:noWrap/>
            <w:vAlign w:val="center"/>
            <w:hideMark/>
          </w:tcPr>
          <w:p w14:paraId="29E08651"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2,148</w:t>
            </w:r>
          </w:p>
        </w:tc>
        <w:tc>
          <w:tcPr>
            <w:tcW w:w="588" w:type="dxa"/>
            <w:tcBorders>
              <w:bottom w:val="single" w:sz="4" w:space="0" w:color="auto"/>
            </w:tcBorders>
            <w:noWrap/>
            <w:vAlign w:val="center"/>
            <w:hideMark/>
          </w:tcPr>
          <w:p w14:paraId="258DA6EC"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2,308</w:t>
            </w:r>
          </w:p>
        </w:tc>
        <w:tc>
          <w:tcPr>
            <w:tcW w:w="588" w:type="dxa"/>
            <w:tcBorders>
              <w:bottom w:val="single" w:sz="4" w:space="0" w:color="auto"/>
            </w:tcBorders>
            <w:noWrap/>
            <w:vAlign w:val="center"/>
            <w:hideMark/>
          </w:tcPr>
          <w:p w14:paraId="464968E0"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1,725</w:t>
            </w:r>
          </w:p>
        </w:tc>
        <w:tc>
          <w:tcPr>
            <w:tcW w:w="588" w:type="dxa"/>
            <w:tcBorders>
              <w:bottom w:val="single" w:sz="4" w:space="0" w:color="auto"/>
            </w:tcBorders>
            <w:noWrap/>
            <w:vAlign w:val="center"/>
            <w:hideMark/>
          </w:tcPr>
          <w:p w14:paraId="09493B9C"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2,008</w:t>
            </w:r>
          </w:p>
        </w:tc>
        <w:tc>
          <w:tcPr>
            <w:tcW w:w="588" w:type="dxa"/>
            <w:tcBorders>
              <w:bottom w:val="single" w:sz="4" w:space="0" w:color="auto"/>
            </w:tcBorders>
            <w:noWrap/>
            <w:vAlign w:val="center"/>
            <w:hideMark/>
          </w:tcPr>
          <w:p w14:paraId="5980882B"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3,509</w:t>
            </w:r>
          </w:p>
        </w:tc>
        <w:tc>
          <w:tcPr>
            <w:tcW w:w="588" w:type="dxa"/>
            <w:tcBorders>
              <w:bottom w:val="single" w:sz="4" w:space="0" w:color="auto"/>
            </w:tcBorders>
            <w:noWrap/>
            <w:vAlign w:val="center"/>
            <w:hideMark/>
          </w:tcPr>
          <w:p w14:paraId="32F4B1D0" w14:textId="77777777" w:rsidR="00BE5A79" w:rsidRPr="00A8116B" w:rsidRDefault="00BE5A79" w:rsidP="00032C9B">
            <w:pPr>
              <w:ind w:firstLineChars="0" w:firstLine="0"/>
              <w:jc w:val="right"/>
              <w:cnfStyle w:val="010000000000" w:firstRow="0" w:lastRow="1" w:firstColumn="0" w:lastColumn="0" w:oddVBand="0" w:evenVBand="0" w:oddHBand="0" w:evenHBand="0" w:firstRowFirstColumn="0" w:firstRowLastColumn="0" w:lastRowFirstColumn="0" w:lastRowLastColumn="0"/>
              <w:rPr>
                <w:sz w:val="16"/>
                <w:szCs w:val="21"/>
              </w:rPr>
            </w:pPr>
            <w:r w:rsidRPr="00A8116B">
              <w:rPr>
                <w:rFonts w:hint="eastAsia"/>
                <w:sz w:val="16"/>
                <w:szCs w:val="21"/>
              </w:rPr>
              <w:t>4,152</w:t>
            </w:r>
          </w:p>
        </w:tc>
        <w:tc>
          <w:tcPr>
            <w:cnfStyle w:val="000100000000" w:firstRow="0" w:lastRow="0" w:firstColumn="0" w:lastColumn="1" w:oddVBand="0" w:evenVBand="0" w:oddHBand="0" w:evenHBand="0" w:firstRowFirstColumn="0" w:firstRowLastColumn="0" w:lastRowFirstColumn="0" w:lastRowLastColumn="0"/>
            <w:tcW w:w="663" w:type="dxa"/>
            <w:tcBorders>
              <w:bottom w:val="single" w:sz="4" w:space="0" w:color="auto"/>
            </w:tcBorders>
            <w:noWrap/>
            <w:vAlign w:val="center"/>
            <w:hideMark/>
          </w:tcPr>
          <w:p w14:paraId="70564A62" w14:textId="77777777" w:rsidR="00BE5A79" w:rsidRPr="00A8116B" w:rsidRDefault="00BE5A79" w:rsidP="00032C9B">
            <w:pPr>
              <w:ind w:firstLineChars="0" w:firstLine="0"/>
              <w:jc w:val="right"/>
              <w:rPr>
                <w:sz w:val="16"/>
                <w:szCs w:val="21"/>
              </w:rPr>
            </w:pPr>
            <w:r w:rsidRPr="00A8116B">
              <w:rPr>
                <w:rFonts w:hint="eastAsia"/>
                <w:sz w:val="16"/>
                <w:szCs w:val="21"/>
              </w:rPr>
              <w:t>20,327</w:t>
            </w:r>
          </w:p>
        </w:tc>
      </w:tr>
    </w:tbl>
    <w:p w14:paraId="1E266E00" w14:textId="77777777" w:rsidR="00A8116B" w:rsidRPr="00447DB7" w:rsidRDefault="00A8116B" w:rsidP="00A8116B">
      <w:pPr>
        <w:pStyle w:val="ae"/>
      </w:pPr>
      <w:r w:rsidRPr="00447DB7">
        <w:rPr>
          <w:rFonts w:hint="eastAsia"/>
        </w:rPr>
        <w:t>资料来源：</w:t>
      </w:r>
      <w:r>
        <w:rPr>
          <w:rFonts w:hint="eastAsia"/>
        </w:rPr>
        <w:t>R</w:t>
      </w:r>
      <w:r>
        <w:t>ESSET</w:t>
      </w:r>
      <w:r w:rsidRPr="00447DB7">
        <w:rPr>
          <w:rFonts w:hint="eastAsia"/>
        </w:rPr>
        <w:t>数据库</w:t>
      </w:r>
    </w:p>
    <w:p w14:paraId="61E165B3" w14:textId="77777777" w:rsidR="00BA74B5" w:rsidRDefault="00BA74B5" w:rsidP="00500431"/>
    <w:p w14:paraId="0067F2BB" w14:textId="1F075F11" w:rsidR="000456CE" w:rsidRDefault="000456CE" w:rsidP="00500431">
      <w:r>
        <w:rPr>
          <w:rFonts w:hint="eastAsia"/>
        </w:rPr>
        <w:t>从行业分布情况来看，</w:t>
      </w:r>
      <w:r w:rsidR="00772D58">
        <w:rPr>
          <w:rFonts w:hint="eastAsia"/>
        </w:rPr>
        <w:t>深度研究报告的研究标的主要集中于制造业，其次是批发和零售业，信息传输、软件和信息</w:t>
      </w:r>
      <w:r w:rsidR="002672D3">
        <w:rPr>
          <w:rFonts w:hint="eastAsia"/>
        </w:rPr>
        <w:t>技术服务业，以及房地产业。除了</w:t>
      </w:r>
      <w:r w:rsidR="00772D58">
        <w:rPr>
          <w:rFonts w:hint="eastAsia"/>
        </w:rPr>
        <w:t>2014</w:t>
      </w:r>
      <w:r w:rsidR="00772D58">
        <w:rPr>
          <w:rFonts w:hint="eastAsia"/>
        </w:rPr>
        <w:t>年</w:t>
      </w:r>
      <w:r w:rsidR="002672D3">
        <w:rPr>
          <w:rFonts w:hint="eastAsia"/>
        </w:rPr>
        <w:t>深度研究报告数量出现了唯一的一次下滑</w:t>
      </w:r>
      <w:r w:rsidR="00772D58">
        <w:rPr>
          <w:rFonts w:hint="eastAsia"/>
        </w:rPr>
        <w:t>，</w:t>
      </w:r>
      <w:r w:rsidR="002672D3">
        <w:rPr>
          <w:rFonts w:hint="eastAsia"/>
        </w:rPr>
        <w:t>在</w:t>
      </w:r>
      <w:r w:rsidR="002672D3">
        <w:rPr>
          <w:rFonts w:hint="eastAsia"/>
        </w:rPr>
        <w:t>2009</w:t>
      </w:r>
      <w:r w:rsidR="002672D3">
        <w:rPr>
          <w:rFonts w:hint="eastAsia"/>
        </w:rPr>
        <w:t>至</w:t>
      </w:r>
      <w:r w:rsidR="002672D3">
        <w:rPr>
          <w:rFonts w:hint="eastAsia"/>
        </w:rPr>
        <w:t>2017</w:t>
      </w:r>
      <w:r w:rsidR="002672D3">
        <w:rPr>
          <w:rFonts w:hint="eastAsia"/>
        </w:rPr>
        <w:t>年的九年间深度研究报告数量一直保持着</w:t>
      </w:r>
      <w:r w:rsidR="00216184">
        <w:rPr>
          <w:rFonts w:hint="eastAsia"/>
        </w:rPr>
        <w:t>快速</w:t>
      </w:r>
      <w:r w:rsidR="002672D3">
        <w:rPr>
          <w:rFonts w:hint="eastAsia"/>
        </w:rPr>
        <w:t>增长趋势。</w:t>
      </w:r>
    </w:p>
    <w:p w14:paraId="78D6DD3F" w14:textId="77777777" w:rsidR="00BA74B5" w:rsidRPr="00500431" w:rsidRDefault="00BA74B5" w:rsidP="00500431">
      <w:pPr>
        <w:rPr>
          <w:rFonts w:hint="eastAsia"/>
        </w:rPr>
      </w:pPr>
    </w:p>
    <w:p w14:paraId="1353EB6C" w14:textId="6B745BDC" w:rsidR="00DD7EA5" w:rsidRDefault="008B410E" w:rsidP="002913DA">
      <w:pPr>
        <w:pStyle w:val="3"/>
      </w:pPr>
      <w:bookmarkStart w:id="20" w:name="_Toc509527755"/>
      <w:r>
        <w:rPr>
          <w:rFonts w:hint="eastAsia"/>
        </w:rPr>
        <w:lastRenderedPageBreak/>
        <w:t>关键</w:t>
      </w:r>
      <w:r w:rsidR="00777457">
        <w:rPr>
          <w:rFonts w:hint="eastAsia"/>
        </w:rPr>
        <w:t>变量</w:t>
      </w:r>
      <w:r>
        <w:rPr>
          <w:rFonts w:hint="eastAsia"/>
        </w:rPr>
        <w:t>的计算</w:t>
      </w:r>
      <w:bookmarkEnd w:id="20"/>
    </w:p>
    <w:p w14:paraId="605912C7" w14:textId="77777777" w:rsidR="00777457" w:rsidRPr="008B410E" w:rsidRDefault="00777457" w:rsidP="002913DA">
      <w:pPr>
        <w:pStyle w:val="4"/>
        <w:numPr>
          <w:ilvl w:val="0"/>
          <w:numId w:val="20"/>
        </w:numPr>
      </w:pPr>
      <w:r w:rsidRPr="008B410E">
        <w:rPr>
          <w:rFonts w:hint="eastAsia"/>
        </w:rPr>
        <w:t>综合投资者情绪</w:t>
      </w:r>
    </w:p>
    <w:p w14:paraId="4862A63B" w14:textId="42D9F797" w:rsidR="007549BC" w:rsidRDefault="00777457" w:rsidP="007549BC">
      <w:r>
        <w:rPr>
          <w:rFonts w:hint="eastAsia"/>
        </w:rPr>
        <w:t>目前关于投资者情绪的研究大多参照</w:t>
      </w:r>
      <w:r>
        <w:rPr>
          <w:rFonts w:hint="eastAsia"/>
        </w:rPr>
        <w:t>Baker</w:t>
      </w:r>
      <w:r>
        <w:rPr>
          <w:rFonts w:hint="eastAsia"/>
        </w:rPr>
        <w:t>和</w:t>
      </w:r>
      <w:r>
        <w:rPr>
          <w:rFonts w:hint="eastAsia"/>
        </w:rPr>
        <w:t>Wurgler</w:t>
      </w:r>
      <w:r>
        <w:rPr>
          <w:rFonts w:hint="eastAsia"/>
        </w:rPr>
        <w:t>（</w:t>
      </w:r>
      <w:r>
        <w:rPr>
          <w:rFonts w:hint="eastAsia"/>
        </w:rPr>
        <w:t>2006</w:t>
      </w:r>
      <w:r>
        <w:rPr>
          <w:rFonts w:hint="eastAsia"/>
        </w:rPr>
        <w:t>）</w:t>
      </w:r>
      <w:r w:rsidR="00EE48D6">
        <w:rPr>
          <w:rStyle w:val="afb"/>
        </w:rPr>
        <w:t>[</w:t>
      </w:r>
      <w:r w:rsidR="00EE48D6">
        <w:rPr>
          <w:rStyle w:val="afb"/>
        </w:rPr>
        <w:endnoteReference w:id="78"/>
      </w:r>
      <w:r w:rsidR="00EE48D6">
        <w:rPr>
          <w:rStyle w:val="afb"/>
        </w:rPr>
        <w:t>]</w:t>
      </w:r>
      <w:r>
        <w:rPr>
          <w:rFonts w:hint="eastAsia"/>
        </w:rPr>
        <w:t>的方法，选择</w:t>
      </w:r>
      <w:r w:rsidR="007E39DD">
        <w:rPr>
          <w:rFonts w:hint="eastAsia"/>
        </w:rPr>
        <w:t>数个</w:t>
      </w:r>
      <w:r>
        <w:rPr>
          <w:rFonts w:hint="eastAsia"/>
        </w:rPr>
        <w:t>相关指标进行主成分分析，然后计算出一个综合投资者情绪指数（</w:t>
      </w:r>
      <w:r>
        <w:rPr>
          <w:rFonts w:hint="eastAsia"/>
        </w:rPr>
        <w:t>Qian</w:t>
      </w:r>
      <w:r>
        <w:rPr>
          <w:rFonts w:hint="eastAsia"/>
        </w:rPr>
        <w:t>，</w:t>
      </w:r>
      <w:r>
        <w:rPr>
          <w:rFonts w:hint="eastAsia"/>
        </w:rPr>
        <w:t>2009</w:t>
      </w:r>
      <w:r>
        <w:rPr>
          <w:rFonts w:hint="eastAsia"/>
        </w:rPr>
        <w:t>；伍燕然等，</w:t>
      </w:r>
      <w:r>
        <w:rPr>
          <w:rFonts w:hint="eastAsia"/>
        </w:rPr>
        <w:t>2012</w:t>
      </w:r>
      <w:r>
        <w:rPr>
          <w:rFonts w:hint="eastAsia"/>
        </w:rPr>
        <w:t>；游家兴等，</w:t>
      </w:r>
      <w:r>
        <w:rPr>
          <w:rFonts w:hint="eastAsia"/>
        </w:rPr>
        <w:t>2013</w:t>
      </w:r>
      <w:r>
        <w:rPr>
          <w:rFonts w:hint="eastAsia"/>
        </w:rPr>
        <w:t>）。</w:t>
      </w:r>
      <w:r w:rsidR="00DA6928">
        <w:rPr>
          <w:rFonts w:hint="eastAsia"/>
        </w:rPr>
        <w:t>参考</w:t>
      </w:r>
      <w:r w:rsidR="007549BC">
        <w:rPr>
          <w:rFonts w:hint="eastAsia"/>
        </w:rPr>
        <w:t>伍燕然等（</w:t>
      </w:r>
      <w:r w:rsidR="007549BC">
        <w:rPr>
          <w:rFonts w:hint="eastAsia"/>
        </w:rPr>
        <w:t>2012</w:t>
      </w:r>
      <w:r w:rsidR="007549BC">
        <w:rPr>
          <w:rFonts w:hint="eastAsia"/>
        </w:rPr>
        <w:t>）的</w:t>
      </w:r>
      <w:r w:rsidR="00DA6928">
        <w:rPr>
          <w:rFonts w:hint="eastAsia"/>
        </w:rPr>
        <w:t>研究，本文选择</w:t>
      </w:r>
      <w:r w:rsidR="007549BC">
        <w:rPr>
          <w:rFonts w:hint="eastAsia"/>
        </w:rPr>
        <w:t>滞后一期的</w:t>
      </w:r>
      <w:r>
        <w:rPr>
          <w:rFonts w:hint="eastAsia"/>
        </w:rPr>
        <w:t>封闭式基金折价率</w:t>
      </w:r>
      <m:oMath>
        <m:sSub>
          <m:sSubPr>
            <m:ctrlPr>
              <w:rPr>
                <w:rFonts w:ascii="Cambria Math" w:hAnsi="Cambria Math"/>
              </w:rPr>
            </m:ctrlPr>
          </m:sSubPr>
          <m:e>
            <m:r>
              <w:rPr>
                <w:rFonts w:ascii="Cambria Math" w:hAnsi="Cambria Math"/>
              </w:rPr>
              <m:t>DCEF</m:t>
            </m:r>
          </m:e>
          <m:sub>
            <m:r>
              <w:rPr>
                <w:rFonts w:ascii="Cambria Math" w:hAnsi="Cambria Math" w:hint="eastAsia"/>
              </w:rPr>
              <m:t>t</m:t>
            </m:r>
            <m:r>
              <w:rPr>
                <w:rFonts w:ascii="Cambria Math" w:hAnsi="Cambria Math"/>
              </w:rPr>
              <m:t>-1</m:t>
            </m:r>
          </m:sub>
        </m:sSub>
      </m:oMath>
      <w:r>
        <w:rPr>
          <w:rFonts w:hint="eastAsia"/>
        </w:rPr>
        <w:t>、</w:t>
      </w:r>
      <w:r w:rsidR="007549BC">
        <w:rPr>
          <w:rFonts w:hint="eastAsia"/>
        </w:rPr>
        <w:t>同期</w:t>
      </w:r>
      <w:r>
        <w:rPr>
          <w:rFonts w:hint="eastAsia"/>
        </w:rPr>
        <w:t>换手率</w:t>
      </w:r>
      <m:oMath>
        <m:sSub>
          <m:sSubPr>
            <m:ctrlPr>
              <w:rPr>
                <w:rFonts w:ascii="Cambria Math" w:hAnsi="Cambria Math"/>
              </w:rPr>
            </m:ctrlPr>
          </m:sSubPr>
          <m:e>
            <m:r>
              <w:rPr>
                <w:rFonts w:ascii="Cambria Math" w:hAnsi="Cambria Math"/>
              </w:rPr>
              <m:t>TURN</m:t>
            </m:r>
          </m:e>
          <m:sub>
            <m:r>
              <w:rPr>
                <w:rFonts w:ascii="Cambria Math" w:hAnsi="Cambria Math" w:hint="eastAsia"/>
              </w:rPr>
              <m:t>t</m:t>
            </m:r>
          </m:sub>
        </m:sSub>
      </m:oMath>
      <w:r>
        <w:rPr>
          <w:rFonts w:hint="eastAsia"/>
        </w:rPr>
        <w:t>、</w:t>
      </w:r>
      <w:r w:rsidR="007549BC">
        <w:rPr>
          <w:rFonts w:hint="eastAsia"/>
        </w:rPr>
        <w:t>滞后一期的</w:t>
      </w:r>
      <w:r>
        <w:t>IPO</w:t>
      </w:r>
      <w:r w:rsidR="00DA6928">
        <w:rPr>
          <w:rFonts w:hint="eastAsia"/>
        </w:rPr>
        <w:t>首日收益率</w:t>
      </w:r>
      <m:oMath>
        <m:sSub>
          <m:sSubPr>
            <m:ctrlPr>
              <w:rPr>
                <w:rFonts w:ascii="Cambria Math" w:hAnsi="Cambria Math"/>
              </w:rPr>
            </m:ctrlPr>
          </m:sSubPr>
          <m:e>
            <m:r>
              <w:rPr>
                <w:rFonts w:ascii="Cambria Math" w:hAnsi="Cambria Math"/>
              </w:rPr>
              <m:t>IPOR</m:t>
            </m:r>
          </m:e>
          <m:sub>
            <m:r>
              <w:rPr>
                <w:rFonts w:ascii="Cambria Math" w:hAnsi="Cambria Math" w:hint="eastAsia"/>
              </w:rPr>
              <m:t>t</m:t>
            </m:r>
            <m:r>
              <w:rPr>
                <w:rFonts w:ascii="Cambria Math" w:eastAsia="微软雅黑" w:hAnsi="Cambria Math" w:cs="微软雅黑" w:hint="eastAsia"/>
              </w:rPr>
              <m:t>-</m:t>
            </m:r>
            <m:r>
              <w:rPr>
                <w:rFonts w:ascii="Cambria Math" w:hAnsi="Cambria Math"/>
              </w:rPr>
              <m:t>1</m:t>
            </m:r>
          </m:sub>
        </m:sSub>
      </m:oMath>
      <w:r w:rsidR="00DA6928">
        <w:rPr>
          <w:rFonts w:hint="eastAsia"/>
        </w:rPr>
        <w:t>和</w:t>
      </w:r>
      <w:r w:rsidR="007549BC">
        <w:rPr>
          <w:rFonts w:hint="eastAsia"/>
        </w:rPr>
        <w:t>同期</w:t>
      </w:r>
      <w:r>
        <w:rPr>
          <w:rFonts w:hint="eastAsia"/>
        </w:rPr>
        <w:t>新增投资者开户数量</w:t>
      </w:r>
      <m:oMath>
        <m:sSub>
          <m:sSubPr>
            <m:ctrlPr>
              <w:rPr>
                <w:rFonts w:ascii="Cambria Math" w:hAnsi="Cambria Math"/>
              </w:rPr>
            </m:ctrlPr>
          </m:sSubPr>
          <m:e>
            <m:r>
              <w:rPr>
                <w:rFonts w:ascii="Cambria Math" w:hAnsi="Cambria Math"/>
              </w:rPr>
              <m:t>NIA</m:t>
            </m:r>
          </m:e>
          <m:sub>
            <m:r>
              <w:rPr>
                <w:rFonts w:ascii="Cambria Math" w:hAnsi="Cambria Math"/>
              </w:rPr>
              <m:t>t</m:t>
            </m:r>
          </m:sub>
        </m:sSub>
      </m:oMath>
      <w:r w:rsidR="007549BC">
        <w:rPr>
          <w:rFonts w:hint="eastAsia"/>
        </w:rPr>
        <w:t>进行主成分分析。</w:t>
      </w:r>
    </w:p>
    <w:p w14:paraId="16F98588" w14:textId="79245052" w:rsidR="007549BC" w:rsidRDefault="00A449C2" w:rsidP="007549BC">
      <w:r>
        <w:rPr>
          <w:rFonts w:hint="eastAsia"/>
        </w:rPr>
        <w:t>主成分分析的具体步骤如下：首先对</w:t>
      </w:r>
      <w:r>
        <w:rPr>
          <w:rFonts w:hint="eastAsia"/>
        </w:rPr>
        <w:t>2009</w:t>
      </w:r>
      <w:r>
        <w:rPr>
          <w:rFonts w:hint="eastAsia"/>
        </w:rPr>
        <w:t>年</w:t>
      </w:r>
      <w:r>
        <w:rPr>
          <w:rFonts w:hint="eastAsia"/>
        </w:rPr>
        <w:t>1</w:t>
      </w:r>
      <w:r>
        <w:rPr>
          <w:rFonts w:hint="eastAsia"/>
        </w:rPr>
        <w:t>月至</w:t>
      </w:r>
      <w:r>
        <w:rPr>
          <w:rFonts w:hint="eastAsia"/>
        </w:rPr>
        <w:t>2017</w:t>
      </w:r>
      <w:r>
        <w:rPr>
          <w:rFonts w:hint="eastAsia"/>
        </w:rPr>
        <w:t>年</w:t>
      </w:r>
      <w:r>
        <w:rPr>
          <w:rFonts w:hint="eastAsia"/>
        </w:rPr>
        <w:t>12</w:t>
      </w:r>
      <w:r>
        <w:rPr>
          <w:rFonts w:hint="eastAsia"/>
        </w:rPr>
        <w:t>月的所有指标进行主成分分析，选取特征根大于</w:t>
      </w:r>
      <w:r>
        <w:rPr>
          <w:rFonts w:hint="eastAsia"/>
        </w:rPr>
        <w:t>1</w:t>
      </w:r>
      <w:r>
        <w:rPr>
          <w:rFonts w:hint="eastAsia"/>
        </w:rPr>
        <w:t>的主成分，计算各自的主成分得分，再与其方差贡献率相乘加总，得到最终的综合投资者情绪指数。</w:t>
      </w:r>
    </w:p>
    <w:p w14:paraId="7C8BFE52" w14:textId="77777777" w:rsidR="00A74116" w:rsidRDefault="00A74116" w:rsidP="007549BC">
      <w:pPr>
        <w:rPr>
          <w:rFonts w:hint="eastAsia"/>
        </w:rPr>
      </w:pPr>
    </w:p>
    <w:p w14:paraId="7C2D183E" w14:textId="51D3DB16" w:rsidR="00A449C2" w:rsidRDefault="00A449C2" w:rsidP="00A449C2">
      <w:pPr>
        <w:pStyle w:val="ad"/>
      </w:pPr>
      <w:bookmarkStart w:id="21" w:name="_Ref5094815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3</w:t>
      </w:r>
      <w:r>
        <w:fldChar w:fldCharType="end"/>
      </w:r>
      <w:bookmarkEnd w:id="21"/>
      <w:r>
        <w:rPr>
          <w:noProof/>
        </w:rPr>
        <w:t xml:space="preserve"> </w:t>
      </w:r>
      <w:r>
        <w:rPr>
          <w:rFonts w:hint="eastAsia"/>
          <w:noProof/>
        </w:rPr>
        <w:t>综合投资者情绪指数</w:t>
      </w:r>
    </w:p>
    <w:tbl>
      <w:tblPr>
        <w:tblStyle w:val="6"/>
        <w:tblW w:w="5000" w:type="pct"/>
        <w:tblLook w:val="06A0" w:firstRow="1" w:lastRow="0" w:firstColumn="1" w:lastColumn="0" w:noHBand="1" w:noVBand="1"/>
      </w:tblPr>
      <w:tblGrid>
        <w:gridCol w:w="1266"/>
        <w:gridCol w:w="972"/>
        <w:gridCol w:w="1517"/>
        <w:gridCol w:w="1517"/>
        <w:gridCol w:w="1517"/>
        <w:gridCol w:w="1517"/>
      </w:tblGrid>
      <w:tr w:rsidR="007549BC" w:rsidRPr="007549BC" w14:paraId="4505FDAE" w14:textId="77777777" w:rsidTr="00A449C2">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47" w:type="pct"/>
            <w:gridSpan w:val="2"/>
            <w:noWrap/>
            <w:vAlign w:val="center"/>
            <w:hideMark/>
          </w:tcPr>
          <w:p w14:paraId="4ACA13D8" w14:textId="77777777" w:rsidR="007549BC" w:rsidRPr="00A449C2" w:rsidRDefault="007549BC" w:rsidP="00191AD9">
            <w:pPr>
              <w:ind w:firstLineChars="0" w:firstLine="0"/>
              <w:jc w:val="center"/>
              <w:rPr>
                <w:sz w:val="21"/>
                <w:szCs w:val="21"/>
              </w:rPr>
            </w:pPr>
          </w:p>
        </w:tc>
        <w:tc>
          <w:tcPr>
            <w:tcW w:w="913" w:type="pct"/>
            <w:noWrap/>
            <w:vAlign w:val="center"/>
            <w:hideMark/>
          </w:tcPr>
          <w:p w14:paraId="45683556" w14:textId="77777777" w:rsidR="007549BC" w:rsidRPr="007549BC" w:rsidRDefault="007549BC" w:rsidP="00191AD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7549BC">
              <w:rPr>
                <w:rFonts w:hint="eastAsia"/>
                <w:sz w:val="21"/>
                <w:szCs w:val="21"/>
              </w:rPr>
              <w:t>第</w:t>
            </w:r>
            <w:r w:rsidRPr="007549BC">
              <w:rPr>
                <w:rFonts w:hint="eastAsia"/>
                <w:sz w:val="21"/>
                <w:szCs w:val="21"/>
              </w:rPr>
              <w:t>1</w:t>
            </w:r>
            <w:r w:rsidRPr="007549BC">
              <w:rPr>
                <w:rFonts w:hint="eastAsia"/>
                <w:sz w:val="21"/>
                <w:szCs w:val="21"/>
              </w:rPr>
              <w:t>主成分</w:t>
            </w:r>
          </w:p>
        </w:tc>
        <w:tc>
          <w:tcPr>
            <w:tcW w:w="913" w:type="pct"/>
            <w:noWrap/>
            <w:vAlign w:val="center"/>
            <w:hideMark/>
          </w:tcPr>
          <w:p w14:paraId="49D30559" w14:textId="77777777" w:rsidR="007549BC" w:rsidRPr="007549BC" w:rsidRDefault="007549BC" w:rsidP="00191A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第</w:t>
            </w:r>
            <w:r w:rsidRPr="007549BC">
              <w:rPr>
                <w:rFonts w:hint="eastAsia"/>
                <w:sz w:val="21"/>
                <w:szCs w:val="21"/>
              </w:rPr>
              <w:t>2</w:t>
            </w:r>
            <w:r w:rsidRPr="007549BC">
              <w:rPr>
                <w:rFonts w:hint="eastAsia"/>
                <w:sz w:val="21"/>
                <w:szCs w:val="21"/>
              </w:rPr>
              <w:t>主成分</w:t>
            </w:r>
          </w:p>
        </w:tc>
        <w:tc>
          <w:tcPr>
            <w:tcW w:w="913" w:type="pct"/>
            <w:noWrap/>
            <w:vAlign w:val="center"/>
            <w:hideMark/>
          </w:tcPr>
          <w:p w14:paraId="3F8110C2" w14:textId="77777777" w:rsidR="007549BC" w:rsidRPr="007549BC" w:rsidRDefault="007549BC" w:rsidP="00191A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第</w:t>
            </w:r>
            <w:r w:rsidRPr="007549BC">
              <w:rPr>
                <w:rFonts w:hint="eastAsia"/>
                <w:sz w:val="21"/>
                <w:szCs w:val="21"/>
              </w:rPr>
              <w:t>3</w:t>
            </w:r>
            <w:r w:rsidRPr="007549BC">
              <w:rPr>
                <w:rFonts w:hint="eastAsia"/>
                <w:sz w:val="21"/>
                <w:szCs w:val="21"/>
              </w:rPr>
              <w:t>主成分</w:t>
            </w:r>
          </w:p>
        </w:tc>
        <w:tc>
          <w:tcPr>
            <w:tcW w:w="913" w:type="pct"/>
            <w:noWrap/>
            <w:vAlign w:val="center"/>
            <w:hideMark/>
          </w:tcPr>
          <w:p w14:paraId="556CABC1" w14:textId="77777777" w:rsidR="007549BC" w:rsidRPr="007549BC" w:rsidRDefault="007549BC" w:rsidP="00191AD9">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第</w:t>
            </w:r>
            <w:r w:rsidRPr="007549BC">
              <w:rPr>
                <w:rFonts w:hint="eastAsia"/>
                <w:sz w:val="21"/>
                <w:szCs w:val="21"/>
              </w:rPr>
              <w:t>4</w:t>
            </w:r>
            <w:r w:rsidRPr="007549BC">
              <w:rPr>
                <w:rFonts w:hint="eastAsia"/>
                <w:sz w:val="21"/>
                <w:szCs w:val="21"/>
              </w:rPr>
              <w:t>主成分</w:t>
            </w:r>
          </w:p>
        </w:tc>
      </w:tr>
      <w:tr w:rsidR="007549BC" w:rsidRPr="007549BC" w14:paraId="25482A1F"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restart"/>
            <w:noWrap/>
            <w:vAlign w:val="center"/>
            <w:hideMark/>
          </w:tcPr>
          <w:p w14:paraId="78A16BC9" w14:textId="77777777" w:rsidR="00A449C2" w:rsidRDefault="007549BC" w:rsidP="00191AD9">
            <w:pPr>
              <w:ind w:firstLineChars="0" w:firstLine="0"/>
              <w:jc w:val="center"/>
              <w:rPr>
                <w:sz w:val="21"/>
                <w:szCs w:val="21"/>
              </w:rPr>
            </w:pPr>
            <w:r w:rsidRPr="007549BC">
              <w:rPr>
                <w:rFonts w:hint="eastAsia"/>
                <w:sz w:val="21"/>
                <w:szCs w:val="21"/>
              </w:rPr>
              <w:t>特</w:t>
            </w:r>
          </w:p>
          <w:p w14:paraId="191B36C3" w14:textId="77777777" w:rsidR="00A449C2" w:rsidRDefault="007549BC" w:rsidP="00191AD9">
            <w:pPr>
              <w:ind w:firstLineChars="0" w:firstLine="0"/>
              <w:jc w:val="center"/>
              <w:rPr>
                <w:sz w:val="21"/>
                <w:szCs w:val="21"/>
              </w:rPr>
            </w:pPr>
            <w:r w:rsidRPr="007549BC">
              <w:rPr>
                <w:rFonts w:hint="eastAsia"/>
                <w:sz w:val="21"/>
                <w:szCs w:val="21"/>
              </w:rPr>
              <w:t>征</w:t>
            </w:r>
          </w:p>
          <w:p w14:paraId="4CE710F2" w14:textId="77777777" w:rsidR="00A449C2" w:rsidRDefault="007549BC" w:rsidP="00191AD9">
            <w:pPr>
              <w:ind w:firstLineChars="0" w:firstLine="0"/>
              <w:jc w:val="center"/>
              <w:rPr>
                <w:sz w:val="21"/>
                <w:szCs w:val="21"/>
              </w:rPr>
            </w:pPr>
            <w:r w:rsidRPr="007549BC">
              <w:rPr>
                <w:rFonts w:hint="eastAsia"/>
                <w:sz w:val="21"/>
                <w:szCs w:val="21"/>
              </w:rPr>
              <w:t>向</w:t>
            </w:r>
          </w:p>
          <w:p w14:paraId="11E1CBA3" w14:textId="4410A06B" w:rsidR="007549BC" w:rsidRPr="007549BC" w:rsidRDefault="007549BC" w:rsidP="00191AD9">
            <w:pPr>
              <w:ind w:firstLineChars="0" w:firstLine="0"/>
              <w:jc w:val="center"/>
              <w:rPr>
                <w:rFonts w:hint="eastAsia"/>
                <w:sz w:val="21"/>
                <w:szCs w:val="21"/>
              </w:rPr>
            </w:pPr>
            <w:r w:rsidRPr="007549BC">
              <w:rPr>
                <w:rFonts w:hint="eastAsia"/>
                <w:sz w:val="21"/>
                <w:szCs w:val="21"/>
              </w:rPr>
              <w:t>量</w:t>
            </w:r>
          </w:p>
        </w:tc>
        <w:tc>
          <w:tcPr>
            <w:tcW w:w="585" w:type="pct"/>
            <w:noWrap/>
            <w:vAlign w:val="center"/>
            <w:hideMark/>
          </w:tcPr>
          <w:p w14:paraId="1E4DF460" w14:textId="1C40E3C4" w:rsidR="007549BC" w:rsidRPr="00A449C2"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1"/>
                <w:szCs w:val="21"/>
              </w:rPr>
            </w:pPr>
            <w:r w:rsidRPr="00A449C2">
              <w:rPr>
                <w:rFonts w:hint="eastAsia"/>
                <w:b/>
                <w:sz w:val="21"/>
                <w:szCs w:val="21"/>
              </w:rPr>
              <w:t>DCEF</w:t>
            </w:r>
            <w:r w:rsidR="00A449C2" w:rsidRPr="00A449C2">
              <w:rPr>
                <w:b/>
                <w:sz w:val="21"/>
                <w:szCs w:val="21"/>
                <w:vertAlign w:val="subscript"/>
              </w:rPr>
              <w:t>t-1</w:t>
            </w:r>
          </w:p>
        </w:tc>
        <w:tc>
          <w:tcPr>
            <w:tcW w:w="913" w:type="pct"/>
            <w:noWrap/>
            <w:vAlign w:val="center"/>
            <w:hideMark/>
          </w:tcPr>
          <w:p w14:paraId="2FA4B748"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-0.1071</w:t>
            </w:r>
          </w:p>
        </w:tc>
        <w:tc>
          <w:tcPr>
            <w:tcW w:w="913" w:type="pct"/>
            <w:noWrap/>
            <w:vAlign w:val="center"/>
            <w:hideMark/>
          </w:tcPr>
          <w:p w14:paraId="5D1805AB"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0.7874</w:t>
            </w:r>
          </w:p>
        </w:tc>
        <w:tc>
          <w:tcPr>
            <w:tcW w:w="913" w:type="pct"/>
            <w:noWrap/>
            <w:vAlign w:val="center"/>
            <w:hideMark/>
          </w:tcPr>
          <w:p w14:paraId="7D9E5A04"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0.6007</w:t>
            </w:r>
          </w:p>
        </w:tc>
        <w:tc>
          <w:tcPr>
            <w:tcW w:w="913" w:type="pct"/>
            <w:noWrap/>
            <w:vAlign w:val="center"/>
            <w:hideMark/>
          </w:tcPr>
          <w:p w14:paraId="3EF0570C"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0.0881</w:t>
            </w:r>
          </w:p>
        </w:tc>
      </w:tr>
      <w:tr w:rsidR="007549BC" w:rsidRPr="007549BC" w14:paraId="2AA03746"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ign w:val="center"/>
            <w:hideMark/>
          </w:tcPr>
          <w:p w14:paraId="5C84BB08" w14:textId="77777777" w:rsidR="007549BC" w:rsidRPr="007549BC" w:rsidRDefault="007549BC" w:rsidP="00191AD9">
            <w:pPr>
              <w:ind w:firstLineChars="0" w:firstLine="0"/>
              <w:jc w:val="center"/>
              <w:rPr>
                <w:sz w:val="21"/>
                <w:szCs w:val="21"/>
              </w:rPr>
            </w:pPr>
          </w:p>
        </w:tc>
        <w:tc>
          <w:tcPr>
            <w:tcW w:w="585" w:type="pct"/>
            <w:noWrap/>
            <w:vAlign w:val="center"/>
            <w:hideMark/>
          </w:tcPr>
          <w:p w14:paraId="6B07FE97" w14:textId="006E88DC" w:rsidR="007549BC" w:rsidRPr="00A449C2"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1"/>
                <w:szCs w:val="21"/>
              </w:rPr>
            </w:pPr>
            <w:r w:rsidRPr="00A449C2">
              <w:rPr>
                <w:rFonts w:hint="eastAsia"/>
                <w:b/>
                <w:sz w:val="21"/>
                <w:szCs w:val="21"/>
              </w:rPr>
              <w:t>TURN</w:t>
            </w:r>
            <w:r w:rsidR="00A449C2" w:rsidRPr="00A449C2">
              <w:rPr>
                <w:b/>
                <w:sz w:val="21"/>
                <w:szCs w:val="21"/>
                <w:vertAlign w:val="subscript"/>
              </w:rPr>
              <w:t>t</w:t>
            </w:r>
          </w:p>
        </w:tc>
        <w:tc>
          <w:tcPr>
            <w:tcW w:w="913" w:type="pct"/>
            <w:noWrap/>
            <w:vAlign w:val="center"/>
            <w:hideMark/>
          </w:tcPr>
          <w:p w14:paraId="2CBEDB25"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0.6684</w:t>
            </w:r>
          </w:p>
        </w:tc>
        <w:tc>
          <w:tcPr>
            <w:tcW w:w="913" w:type="pct"/>
            <w:noWrap/>
            <w:vAlign w:val="center"/>
            <w:hideMark/>
          </w:tcPr>
          <w:p w14:paraId="30E9F0AF"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-0.1570</w:t>
            </w:r>
          </w:p>
        </w:tc>
        <w:tc>
          <w:tcPr>
            <w:tcW w:w="913" w:type="pct"/>
            <w:noWrap/>
            <w:vAlign w:val="center"/>
            <w:hideMark/>
          </w:tcPr>
          <w:p w14:paraId="19C3460A"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0.2234</w:t>
            </w:r>
          </w:p>
        </w:tc>
        <w:tc>
          <w:tcPr>
            <w:tcW w:w="913" w:type="pct"/>
            <w:noWrap/>
            <w:vAlign w:val="center"/>
            <w:hideMark/>
          </w:tcPr>
          <w:p w14:paraId="7362A6A7"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0.6919</w:t>
            </w:r>
          </w:p>
        </w:tc>
      </w:tr>
      <w:tr w:rsidR="007549BC" w:rsidRPr="007549BC" w14:paraId="28982413"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ign w:val="center"/>
            <w:hideMark/>
          </w:tcPr>
          <w:p w14:paraId="5F7553C4" w14:textId="77777777" w:rsidR="007549BC" w:rsidRPr="007549BC" w:rsidRDefault="007549BC" w:rsidP="00191AD9">
            <w:pPr>
              <w:ind w:firstLineChars="0" w:firstLine="0"/>
              <w:jc w:val="center"/>
              <w:rPr>
                <w:sz w:val="21"/>
                <w:szCs w:val="21"/>
              </w:rPr>
            </w:pPr>
          </w:p>
        </w:tc>
        <w:tc>
          <w:tcPr>
            <w:tcW w:w="585" w:type="pct"/>
            <w:noWrap/>
            <w:vAlign w:val="center"/>
            <w:hideMark/>
          </w:tcPr>
          <w:p w14:paraId="331B7027" w14:textId="263FAFAA" w:rsidR="007549BC" w:rsidRPr="00A449C2"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1"/>
                <w:szCs w:val="21"/>
              </w:rPr>
            </w:pPr>
            <w:r w:rsidRPr="00A449C2">
              <w:rPr>
                <w:rFonts w:hint="eastAsia"/>
                <w:b/>
                <w:sz w:val="21"/>
                <w:szCs w:val="21"/>
              </w:rPr>
              <w:t>IPOR</w:t>
            </w:r>
            <w:r w:rsidR="00A449C2" w:rsidRPr="00A449C2">
              <w:rPr>
                <w:b/>
                <w:sz w:val="21"/>
                <w:szCs w:val="21"/>
                <w:vertAlign w:val="subscript"/>
              </w:rPr>
              <w:t>t-1</w:t>
            </w:r>
          </w:p>
        </w:tc>
        <w:tc>
          <w:tcPr>
            <w:tcW w:w="913" w:type="pct"/>
            <w:noWrap/>
            <w:vAlign w:val="center"/>
            <w:hideMark/>
          </w:tcPr>
          <w:p w14:paraId="3EAA5BDD"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0.2747</w:t>
            </w:r>
          </w:p>
        </w:tc>
        <w:tc>
          <w:tcPr>
            <w:tcW w:w="913" w:type="pct"/>
            <w:noWrap/>
            <w:vAlign w:val="center"/>
            <w:hideMark/>
          </w:tcPr>
          <w:p w14:paraId="28930301"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0.5950</w:t>
            </w:r>
          </w:p>
        </w:tc>
        <w:tc>
          <w:tcPr>
            <w:tcW w:w="913" w:type="pct"/>
            <w:noWrap/>
            <w:vAlign w:val="center"/>
            <w:hideMark/>
          </w:tcPr>
          <w:p w14:paraId="2AE70F69"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-0.7472</w:t>
            </w:r>
          </w:p>
        </w:tc>
        <w:tc>
          <w:tcPr>
            <w:tcW w:w="913" w:type="pct"/>
            <w:noWrap/>
            <w:vAlign w:val="center"/>
            <w:hideMark/>
          </w:tcPr>
          <w:p w14:paraId="7D470502"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0.1109</w:t>
            </w:r>
          </w:p>
        </w:tc>
      </w:tr>
      <w:tr w:rsidR="007549BC" w:rsidRPr="007549BC" w14:paraId="3AC137C7"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tcBorders>
              <w:bottom w:val="double" w:sz="4" w:space="0" w:color="auto"/>
            </w:tcBorders>
            <w:vAlign w:val="center"/>
            <w:hideMark/>
          </w:tcPr>
          <w:p w14:paraId="6FACBA9A" w14:textId="77777777" w:rsidR="007549BC" w:rsidRPr="007549BC" w:rsidRDefault="007549BC" w:rsidP="00191AD9">
            <w:pPr>
              <w:ind w:firstLineChars="0" w:firstLine="0"/>
              <w:jc w:val="center"/>
              <w:rPr>
                <w:sz w:val="21"/>
                <w:szCs w:val="21"/>
              </w:rPr>
            </w:pPr>
          </w:p>
        </w:tc>
        <w:tc>
          <w:tcPr>
            <w:tcW w:w="585" w:type="pct"/>
            <w:tcBorders>
              <w:bottom w:val="double" w:sz="4" w:space="0" w:color="auto"/>
            </w:tcBorders>
            <w:noWrap/>
            <w:vAlign w:val="center"/>
            <w:hideMark/>
          </w:tcPr>
          <w:p w14:paraId="507F8DA5" w14:textId="0987B2D8" w:rsidR="007549BC" w:rsidRPr="00A449C2"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b/>
                <w:sz w:val="21"/>
                <w:szCs w:val="21"/>
              </w:rPr>
            </w:pPr>
            <w:r w:rsidRPr="00A449C2">
              <w:rPr>
                <w:rFonts w:hint="eastAsia"/>
                <w:b/>
                <w:sz w:val="21"/>
                <w:szCs w:val="21"/>
              </w:rPr>
              <w:t>NIA</w:t>
            </w:r>
            <w:r w:rsidR="00A449C2" w:rsidRPr="00A449C2">
              <w:rPr>
                <w:b/>
                <w:sz w:val="21"/>
                <w:szCs w:val="21"/>
                <w:vertAlign w:val="subscript"/>
              </w:rPr>
              <w:t>t</w:t>
            </w:r>
          </w:p>
        </w:tc>
        <w:tc>
          <w:tcPr>
            <w:tcW w:w="913" w:type="pct"/>
            <w:tcBorders>
              <w:bottom w:val="double" w:sz="4" w:space="0" w:color="auto"/>
            </w:tcBorders>
            <w:noWrap/>
            <w:vAlign w:val="center"/>
            <w:hideMark/>
          </w:tcPr>
          <w:p w14:paraId="4869DBC4"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0.6829</w:t>
            </w:r>
          </w:p>
        </w:tc>
        <w:tc>
          <w:tcPr>
            <w:tcW w:w="913" w:type="pct"/>
            <w:tcBorders>
              <w:bottom w:val="double" w:sz="4" w:space="0" w:color="auto"/>
            </w:tcBorders>
            <w:noWrap/>
            <w:vAlign w:val="center"/>
            <w:hideMark/>
          </w:tcPr>
          <w:p w14:paraId="2020CC77"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0.0377</w:t>
            </w:r>
          </w:p>
        </w:tc>
        <w:tc>
          <w:tcPr>
            <w:tcW w:w="913" w:type="pct"/>
            <w:tcBorders>
              <w:bottom w:val="double" w:sz="4" w:space="0" w:color="auto"/>
            </w:tcBorders>
            <w:noWrap/>
            <w:vAlign w:val="center"/>
            <w:hideMark/>
          </w:tcPr>
          <w:p w14:paraId="2550B80A"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0.1761</w:t>
            </w:r>
          </w:p>
        </w:tc>
        <w:tc>
          <w:tcPr>
            <w:tcW w:w="913" w:type="pct"/>
            <w:tcBorders>
              <w:bottom w:val="double" w:sz="4" w:space="0" w:color="auto"/>
            </w:tcBorders>
            <w:noWrap/>
            <w:vAlign w:val="center"/>
            <w:hideMark/>
          </w:tcPr>
          <w:p w14:paraId="24B12410"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-0.7080</w:t>
            </w:r>
          </w:p>
        </w:tc>
      </w:tr>
      <w:tr w:rsidR="007549BC" w:rsidRPr="007549BC" w14:paraId="2C47B599"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tcBorders>
              <w:top w:val="double" w:sz="4" w:space="0" w:color="auto"/>
              <w:bottom w:val="nil"/>
            </w:tcBorders>
            <w:noWrap/>
            <w:vAlign w:val="center"/>
            <w:hideMark/>
          </w:tcPr>
          <w:p w14:paraId="2185AF74" w14:textId="77777777" w:rsidR="007549BC" w:rsidRPr="007549BC" w:rsidRDefault="007549BC" w:rsidP="00191AD9">
            <w:pPr>
              <w:ind w:firstLineChars="0" w:firstLine="0"/>
              <w:jc w:val="center"/>
              <w:rPr>
                <w:rFonts w:hint="eastAsia"/>
                <w:sz w:val="21"/>
                <w:szCs w:val="21"/>
              </w:rPr>
            </w:pPr>
            <w:r w:rsidRPr="007549BC">
              <w:rPr>
                <w:rFonts w:hint="eastAsia"/>
                <w:sz w:val="21"/>
                <w:szCs w:val="21"/>
              </w:rPr>
              <w:t>特征根</w:t>
            </w:r>
          </w:p>
        </w:tc>
        <w:tc>
          <w:tcPr>
            <w:tcW w:w="913" w:type="pct"/>
            <w:tcBorders>
              <w:top w:val="double" w:sz="4" w:space="0" w:color="auto"/>
              <w:bottom w:val="nil"/>
            </w:tcBorders>
            <w:noWrap/>
            <w:vAlign w:val="center"/>
            <w:hideMark/>
          </w:tcPr>
          <w:p w14:paraId="20A8A6AC"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1.8382</w:t>
            </w:r>
          </w:p>
        </w:tc>
        <w:tc>
          <w:tcPr>
            <w:tcW w:w="913" w:type="pct"/>
            <w:tcBorders>
              <w:top w:val="double" w:sz="4" w:space="0" w:color="auto"/>
              <w:bottom w:val="nil"/>
            </w:tcBorders>
            <w:noWrap/>
            <w:vAlign w:val="center"/>
            <w:hideMark/>
          </w:tcPr>
          <w:p w14:paraId="010ECA70"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1.0796</w:t>
            </w:r>
          </w:p>
        </w:tc>
        <w:tc>
          <w:tcPr>
            <w:tcW w:w="913" w:type="pct"/>
            <w:tcBorders>
              <w:top w:val="double" w:sz="4" w:space="0" w:color="auto"/>
              <w:bottom w:val="nil"/>
            </w:tcBorders>
            <w:noWrap/>
            <w:vAlign w:val="center"/>
            <w:hideMark/>
          </w:tcPr>
          <w:p w14:paraId="2F78D5C6"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0.8532</w:t>
            </w:r>
          </w:p>
        </w:tc>
        <w:tc>
          <w:tcPr>
            <w:tcW w:w="913" w:type="pct"/>
            <w:tcBorders>
              <w:top w:val="double" w:sz="4" w:space="0" w:color="auto"/>
              <w:bottom w:val="nil"/>
            </w:tcBorders>
            <w:noWrap/>
            <w:vAlign w:val="center"/>
            <w:hideMark/>
          </w:tcPr>
          <w:p w14:paraId="49ADD16A"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0.2291</w:t>
            </w:r>
          </w:p>
        </w:tc>
      </w:tr>
      <w:tr w:rsidR="007549BC" w:rsidRPr="007549BC" w14:paraId="5F9BD3A5"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tcBorders>
              <w:top w:val="nil"/>
            </w:tcBorders>
            <w:noWrap/>
            <w:vAlign w:val="center"/>
            <w:hideMark/>
          </w:tcPr>
          <w:p w14:paraId="560E87E5" w14:textId="77777777" w:rsidR="007549BC" w:rsidRPr="007549BC" w:rsidRDefault="007549BC" w:rsidP="00191AD9">
            <w:pPr>
              <w:ind w:firstLineChars="0" w:firstLine="0"/>
              <w:jc w:val="center"/>
              <w:rPr>
                <w:rFonts w:hint="eastAsia"/>
                <w:sz w:val="21"/>
                <w:szCs w:val="21"/>
              </w:rPr>
            </w:pPr>
            <w:r w:rsidRPr="007549BC">
              <w:rPr>
                <w:rFonts w:hint="eastAsia"/>
                <w:sz w:val="21"/>
                <w:szCs w:val="21"/>
              </w:rPr>
              <w:t>贡献率</w:t>
            </w:r>
          </w:p>
        </w:tc>
        <w:tc>
          <w:tcPr>
            <w:tcW w:w="913" w:type="pct"/>
            <w:tcBorders>
              <w:top w:val="nil"/>
            </w:tcBorders>
            <w:noWrap/>
            <w:vAlign w:val="center"/>
            <w:hideMark/>
          </w:tcPr>
          <w:p w14:paraId="068049D1"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45.95%</w:t>
            </w:r>
          </w:p>
        </w:tc>
        <w:tc>
          <w:tcPr>
            <w:tcW w:w="913" w:type="pct"/>
            <w:tcBorders>
              <w:top w:val="nil"/>
            </w:tcBorders>
            <w:noWrap/>
            <w:vAlign w:val="center"/>
            <w:hideMark/>
          </w:tcPr>
          <w:p w14:paraId="029C8071"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26.99%</w:t>
            </w:r>
          </w:p>
        </w:tc>
        <w:tc>
          <w:tcPr>
            <w:tcW w:w="913" w:type="pct"/>
            <w:tcBorders>
              <w:top w:val="nil"/>
            </w:tcBorders>
            <w:noWrap/>
            <w:vAlign w:val="center"/>
            <w:hideMark/>
          </w:tcPr>
          <w:p w14:paraId="48F8144A"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21.33%</w:t>
            </w:r>
          </w:p>
        </w:tc>
        <w:tc>
          <w:tcPr>
            <w:tcW w:w="913" w:type="pct"/>
            <w:tcBorders>
              <w:top w:val="nil"/>
            </w:tcBorders>
            <w:noWrap/>
            <w:vAlign w:val="center"/>
            <w:hideMark/>
          </w:tcPr>
          <w:p w14:paraId="702F3F49"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5.73%</w:t>
            </w:r>
          </w:p>
        </w:tc>
      </w:tr>
      <w:tr w:rsidR="007549BC" w:rsidRPr="007549BC" w14:paraId="25842B1F"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noWrap/>
            <w:vAlign w:val="center"/>
            <w:hideMark/>
          </w:tcPr>
          <w:p w14:paraId="78135228" w14:textId="77777777" w:rsidR="007549BC" w:rsidRPr="007549BC" w:rsidRDefault="007549BC" w:rsidP="00191AD9">
            <w:pPr>
              <w:ind w:firstLineChars="0" w:firstLine="0"/>
              <w:jc w:val="center"/>
              <w:rPr>
                <w:rFonts w:hint="eastAsia"/>
                <w:sz w:val="21"/>
                <w:szCs w:val="21"/>
              </w:rPr>
            </w:pPr>
            <w:r w:rsidRPr="007549BC">
              <w:rPr>
                <w:rFonts w:hint="eastAsia"/>
                <w:sz w:val="21"/>
                <w:szCs w:val="21"/>
              </w:rPr>
              <w:t>累计贡献率</w:t>
            </w:r>
          </w:p>
        </w:tc>
        <w:tc>
          <w:tcPr>
            <w:tcW w:w="913" w:type="pct"/>
            <w:noWrap/>
            <w:vAlign w:val="center"/>
            <w:hideMark/>
          </w:tcPr>
          <w:p w14:paraId="1843B3FB"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45.95%</w:t>
            </w:r>
          </w:p>
        </w:tc>
        <w:tc>
          <w:tcPr>
            <w:tcW w:w="913" w:type="pct"/>
            <w:noWrap/>
            <w:vAlign w:val="center"/>
            <w:hideMark/>
          </w:tcPr>
          <w:p w14:paraId="785C69F0"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72.94%</w:t>
            </w:r>
          </w:p>
        </w:tc>
        <w:tc>
          <w:tcPr>
            <w:tcW w:w="913" w:type="pct"/>
            <w:noWrap/>
            <w:vAlign w:val="center"/>
            <w:hideMark/>
          </w:tcPr>
          <w:p w14:paraId="0C592084"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94.27%</w:t>
            </w:r>
          </w:p>
        </w:tc>
        <w:tc>
          <w:tcPr>
            <w:tcW w:w="913" w:type="pct"/>
            <w:noWrap/>
            <w:vAlign w:val="center"/>
            <w:hideMark/>
          </w:tcPr>
          <w:p w14:paraId="52411309" w14:textId="77777777" w:rsidR="007549BC" w:rsidRPr="007549BC" w:rsidRDefault="007549BC" w:rsidP="00191AD9">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7549BC">
              <w:rPr>
                <w:rFonts w:hint="eastAsia"/>
                <w:sz w:val="21"/>
                <w:szCs w:val="21"/>
              </w:rPr>
              <w:t>100.00%</w:t>
            </w:r>
          </w:p>
        </w:tc>
      </w:tr>
    </w:tbl>
    <w:p w14:paraId="1B8DC146" w14:textId="77777777" w:rsidR="00191AD9" w:rsidRDefault="00191AD9" w:rsidP="007549BC"/>
    <w:p w14:paraId="7313CAE4" w14:textId="0DEC8EC0" w:rsidR="00BF1AC3" w:rsidRDefault="00395397" w:rsidP="007549BC">
      <w:pPr>
        <w:rPr>
          <w:rFonts w:hint="eastAsia"/>
        </w:rPr>
      </w:pPr>
      <w:r>
        <w:rPr>
          <w:rFonts w:hint="eastAsia"/>
        </w:rPr>
        <w:t>如</w:t>
      </w:r>
      <w:r>
        <w:fldChar w:fldCharType="begin"/>
      </w:r>
      <w:r>
        <w:instrText xml:space="preserve"> </w:instrText>
      </w:r>
      <w:r>
        <w:rPr>
          <w:rFonts w:hint="eastAsia"/>
        </w:rPr>
        <w:instrText>REF _Ref509481588 \h</w:instrText>
      </w:r>
      <w:r>
        <w:instrText xml:space="preserve"> </w:instrText>
      </w:r>
      <w:r>
        <w:fldChar w:fldCharType="separate"/>
      </w:r>
      <w:r>
        <w:rPr>
          <w:rFonts w:hint="eastAsia"/>
        </w:rPr>
        <w:t>表</w:t>
      </w:r>
      <w:r>
        <w:rPr>
          <w:noProof/>
        </w:rPr>
        <w:t>3</w:t>
      </w:r>
      <w:r>
        <w:fldChar w:fldCharType="end"/>
      </w:r>
      <w:r>
        <w:rPr>
          <w:rFonts w:hint="eastAsia"/>
        </w:rPr>
        <w:t>所示，根据特征根大于</w:t>
      </w:r>
      <w:r>
        <w:rPr>
          <w:rFonts w:hint="eastAsia"/>
        </w:rPr>
        <w:t>1</w:t>
      </w:r>
      <w:r>
        <w:rPr>
          <w:rFonts w:hint="eastAsia"/>
        </w:rPr>
        <w:t>的原则，本文提取了前</w:t>
      </w:r>
      <w:r>
        <w:rPr>
          <w:rFonts w:hint="eastAsia"/>
        </w:rPr>
        <w:t>2</w:t>
      </w:r>
      <w:r>
        <w:rPr>
          <w:rFonts w:hint="eastAsia"/>
        </w:rPr>
        <w:t>个主成分，累计贡献率为</w:t>
      </w:r>
      <w:r>
        <w:rPr>
          <w:rFonts w:hint="eastAsia"/>
        </w:rPr>
        <w:t>72.94%</w:t>
      </w:r>
      <w:r>
        <w:rPr>
          <w:rFonts w:hint="eastAsia"/>
        </w:rPr>
        <w:t>，已经可以较好地解释变量含有的信息。</w:t>
      </w:r>
      <w:r w:rsidR="00930AA3">
        <w:rPr>
          <w:rFonts w:hint="eastAsia"/>
        </w:rPr>
        <w:t>本文计算出</w:t>
      </w:r>
      <w:r>
        <w:rPr>
          <w:rFonts w:hint="eastAsia"/>
        </w:rPr>
        <w:t>的</w:t>
      </w:r>
      <w:r w:rsidR="00930AA3">
        <w:rPr>
          <w:rFonts w:hint="eastAsia"/>
        </w:rPr>
        <w:t>前</w:t>
      </w:r>
      <w:r w:rsidR="00930AA3">
        <w:rPr>
          <w:rFonts w:hint="eastAsia"/>
        </w:rPr>
        <w:t>2</w:t>
      </w:r>
      <w:r w:rsidR="00930AA3">
        <w:rPr>
          <w:rFonts w:hint="eastAsia"/>
        </w:rPr>
        <w:t>个主成分的得分如下：</w:t>
      </w:r>
    </w:p>
    <w:p w14:paraId="0F294B28" w14:textId="4D03093F" w:rsidR="00BF1AC3" w:rsidRPr="00BF1AC3" w:rsidRDefault="00BF1AC3" w:rsidP="00BF1AC3">
      <w:pPr>
        <w:ind w:firstLine="440"/>
        <w:rPr>
          <w:sz w:val="22"/>
        </w:rPr>
      </w:pPr>
      <m:oMathPara>
        <m:oMathParaPr>
          <m:jc m:val="left"/>
        </m:oMathParaPr>
        <m:oMath>
          <m:sSub>
            <m:sSubPr>
              <m:ctrlPr>
                <w:rPr>
                  <w:rFonts w:ascii="Cambria Math" w:hAnsi="Cambria Math"/>
                  <w:sz w:val="22"/>
                </w:rPr>
              </m:ctrlPr>
            </m:sSubPr>
            <m:e>
              <m:r>
                <w:rPr>
                  <w:rFonts w:ascii="Cambria Math" w:hAnsi="Cambria Math"/>
                  <w:sz w:val="22"/>
                </w:rPr>
                <m:t>SENT</m:t>
              </m:r>
              <m:r>
                <m:rPr>
                  <m:sty m:val="p"/>
                </m:rPr>
                <w:rPr>
                  <w:rFonts w:ascii="Cambria Math" w:hAnsi="Cambria Math"/>
                  <w:sz w:val="22"/>
                </w:rPr>
                <m:t>1</m:t>
              </m:r>
            </m:e>
            <m:sub>
              <m:r>
                <w:rPr>
                  <w:rFonts w:ascii="Cambria Math" w:hAnsi="Cambria Math"/>
                  <w:sz w:val="22"/>
                </w:rPr>
                <m:t>t</m:t>
              </m:r>
            </m:sub>
          </m:sSub>
          <m:r>
            <m:rPr>
              <m:sty m:val="p"/>
            </m:rPr>
            <w:rPr>
              <w:rFonts w:ascii="Cambria Math" w:hAnsi="Cambria Math"/>
              <w:sz w:val="22"/>
            </w:rPr>
            <m:t>=-0.1071*</m:t>
          </m:r>
          <m:sSub>
            <m:sSubPr>
              <m:ctrlPr>
                <w:rPr>
                  <w:rFonts w:ascii="Cambria Math" w:hAnsi="Cambria Math"/>
                  <w:sz w:val="22"/>
                </w:rPr>
              </m:ctrlPr>
            </m:sSubPr>
            <m:e>
              <m:r>
                <w:rPr>
                  <w:rFonts w:ascii="Cambria Math" w:hAnsi="Cambria Math"/>
                  <w:sz w:val="22"/>
                </w:rPr>
                <m:t>DCEF</m:t>
              </m:r>
            </m:e>
            <m:sub>
              <m:r>
                <w:rPr>
                  <w:rFonts w:ascii="Cambria Math" w:hAnsi="Cambria Math"/>
                  <w:sz w:val="22"/>
                </w:rPr>
                <m:t>t</m:t>
              </m:r>
              <m:r>
                <m:rPr>
                  <m:sty m:val="p"/>
                </m:rPr>
                <w:rPr>
                  <w:rFonts w:ascii="Cambria Math" w:hAnsi="Cambria Math"/>
                  <w:sz w:val="22"/>
                </w:rPr>
                <m:t>-1</m:t>
              </m:r>
            </m:sub>
          </m:sSub>
          <m:r>
            <m:rPr>
              <m:sty m:val="p"/>
            </m:rPr>
            <w:rPr>
              <w:rFonts w:ascii="Cambria Math" w:hAnsi="Cambria Math"/>
              <w:sz w:val="22"/>
            </w:rPr>
            <m:t>+0.6684*</m:t>
          </m:r>
          <m:sSub>
            <m:sSubPr>
              <m:ctrlPr>
                <w:rPr>
                  <w:rFonts w:ascii="Cambria Math" w:hAnsi="Cambria Math"/>
                  <w:sz w:val="22"/>
                </w:rPr>
              </m:ctrlPr>
            </m:sSubPr>
            <m:e>
              <m:r>
                <w:rPr>
                  <w:rFonts w:ascii="Cambria Math" w:hAnsi="Cambria Math"/>
                  <w:sz w:val="22"/>
                </w:rPr>
                <m:t>TURN</m:t>
              </m:r>
            </m:e>
            <m:sub>
              <m:r>
                <w:rPr>
                  <w:rFonts w:ascii="Cambria Math" w:hAnsi="Cambria Math"/>
                  <w:sz w:val="22"/>
                </w:rPr>
                <m:t>t</m:t>
              </m:r>
            </m:sub>
          </m:sSub>
          <m:r>
            <m:rPr>
              <m:sty m:val="p"/>
            </m:rPr>
            <w:rPr>
              <w:rFonts w:ascii="Cambria Math" w:hAnsi="Cambria Math"/>
              <w:sz w:val="22"/>
            </w:rPr>
            <m:t>+0.2747*</m:t>
          </m:r>
          <m:sSub>
            <m:sSubPr>
              <m:ctrlPr>
                <w:rPr>
                  <w:rFonts w:ascii="Cambria Math" w:hAnsi="Cambria Math"/>
                  <w:sz w:val="22"/>
                </w:rPr>
              </m:ctrlPr>
            </m:sSubPr>
            <m:e>
              <m:r>
                <w:rPr>
                  <w:rFonts w:ascii="Cambria Math" w:hAnsi="Cambria Math"/>
                  <w:sz w:val="22"/>
                </w:rPr>
                <m:t>IPOR</m:t>
              </m:r>
            </m:e>
            <m:sub>
              <m:r>
                <w:rPr>
                  <w:rFonts w:ascii="Cambria Math" w:hAnsi="Cambria Math"/>
                  <w:sz w:val="22"/>
                </w:rPr>
                <m:t>t</m:t>
              </m:r>
              <m:r>
                <m:rPr>
                  <m:sty m:val="p"/>
                </m:rPr>
                <w:rPr>
                  <w:rFonts w:ascii="Cambria Math" w:hAnsi="Cambria Math"/>
                  <w:sz w:val="22"/>
                </w:rPr>
                <m:t>-1</m:t>
              </m:r>
            </m:sub>
          </m:sSub>
          <m:r>
            <m:rPr>
              <m:sty m:val="p"/>
            </m:rPr>
            <w:rPr>
              <w:rFonts w:ascii="Cambria Math" w:hAnsi="Cambria Math"/>
              <w:sz w:val="22"/>
            </w:rPr>
            <m:t>+0.6829*</m:t>
          </m:r>
          <m:sSub>
            <m:sSubPr>
              <m:ctrlPr>
                <w:rPr>
                  <w:rFonts w:ascii="Cambria Math" w:hAnsi="Cambria Math"/>
                  <w:sz w:val="22"/>
                </w:rPr>
              </m:ctrlPr>
            </m:sSubPr>
            <m:e>
              <m:r>
                <w:rPr>
                  <w:rFonts w:ascii="Cambria Math" w:hAnsi="Cambria Math"/>
                  <w:sz w:val="22"/>
                </w:rPr>
                <m:t>NIA</m:t>
              </m:r>
            </m:e>
            <m:sub>
              <m:r>
                <w:rPr>
                  <w:rFonts w:ascii="Cambria Math" w:hAnsi="Cambria Math"/>
                  <w:sz w:val="22"/>
                </w:rPr>
                <m:t>t</m:t>
              </m:r>
            </m:sub>
          </m:sSub>
        </m:oMath>
      </m:oMathPara>
    </w:p>
    <w:p w14:paraId="08868743" w14:textId="76232B37" w:rsidR="00BF1AC3" w:rsidRPr="00BF1AC3" w:rsidRDefault="00BF1AC3" w:rsidP="00BF1AC3">
      <w:pPr>
        <w:ind w:firstLine="440"/>
        <w:rPr>
          <w:sz w:val="22"/>
        </w:rPr>
      </w:pPr>
      <m:oMathPara>
        <m:oMathParaPr>
          <m:jc m:val="left"/>
        </m:oMathParaPr>
        <m:oMath>
          <m:sSub>
            <m:sSubPr>
              <m:ctrlPr>
                <w:rPr>
                  <w:rFonts w:ascii="Cambria Math" w:hAnsi="Cambria Math"/>
                  <w:sz w:val="22"/>
                </w:rPr>
              </m:ctrlPr>
            </m:sSubPr>
            <m:e>
              <m:r>
                <w:rPr>
                  <w:rFonts w:ascii="Cambria Math" w:hAnsi="Cambria Math"/>
                  <w:sz w:val="22"/>
                </w:rPr>
                <m:t>SENT</m:t>
              </m:r>
              <m:r>
                <m:rPr>
                  <m:sty m:val="p"/>
                </m:rPr>
                <w:rPr>
                  <w:rFonts w:ascii="Cambria Math" w:hAnsi="Cambria Math"/>
                  <w:sz w:val="22"/>
                </w:rPr>
                <m:t>2</m:t>
              </m:r>
            </m:e>
            <m:sub>
              <m:r>
                <w:rPr>
                  <w:rFonts w:ascii="Cambria Math" w:hAnsi="Cambria Math"/>
                  <w:sz w:val="22"/>
                </w:rPr>
                <m:t>t</m:t>
              </m:r>
            </m:sub>
          </m:sSub>
          <m:r>
            <m:rPr>
              <m:sty m:val="p"/>
            </m:rPr>
            <w:rPr>
              <w:rFonts w:ascii="Cambria Math" w:hAnsi="Cambria Math"/>
              <w:sz w:val="22"/>
            </w:rPr>
            <m:t>=0.7874*</m:t>
          </m:r>
          <m:sSub>
            <m:sSubPr>
              <m:ctrlPr>
                <w:rPr>
                  <w:rFonts w:ascii="Cambria Math" w:hAnsi="Cambria Math"/>
                  <w:sz w:val="22"/>
                </w:rPr>
              </m:ctrlPr>
            </m:sSubPr>
            <m:e>
              <m:r>
                <w:rPr>
                  <w:rFonts w:ascii="Cambria Math" w:hAnsi="Cambria Math"/>
                  <w:sz w:val="22"/>
                </w:rPr>
                <m:t>DCEF</m:t>
              </m:r>
            </m:e>
            <m:sub>
              <m:r>
                <w:rPr>
                  <w:rFonts w:ascii="Cambria Math" w:hAnsi="Cambria Math"/>
                  <w:sz w:val="22"/>
                </w:rPr>
                <m:t>t</m:t>
              </m:r>
              <m:r>
                <m:rPr>
                  <m:sty m:val="p"/>
                </m:rPr>
                <w:rPr>
                  <w:rFonts w:ascii="Cambria Math" w:hAnsi="Cambria Math"/>
                  <w:sz w:val="22"/>
                </w:rPr>
                <m:t>-1</m:t>
              </m:r>
            </m:sub>
          </m:sSub>
          <m:r>
            <m:rPr>
              <m:sty m:val="p"/>
            </m:rPr>
            <w:rPr>
              <w:rFonts w:ascii="Cambria Math" w:hAnsi="Cambria Math"/>
              <w:sz w:val="22"/>
            </w:rPr>
            <m:t>-0.157*</m:t>
          </m:r>
          <m:sSub>
            <m:sSubPr>
              <m:ctrlPr>
                <w:rPr>
                  <w:rFonts w:ascii="Cambria Math" w:hAnsi="Cambria Math"/>
                  <w:sz w:val="22"/>
                </w:rPr>
              </m:ctrlPr>
            </m:sSubPr>
            <m:e>
              <m:r>
                <w:rPr>
                  <w:rFonts w:ascii="Cambria Math" w:hAnsi="Cambria Math"/>
                  <w:sz w:val="22"/>
                </w:rPr>
                <m:t>TURN</m:t>
              </m:r>
            </m:e>
            <m:sub>
              <m:r>
                <w:rPr>
                  <w:rFonts w:ascii="Cambria Math" w:hAnsi="Cambria Math"/>
                  <w:sz w:val="22"/>
                </w:rPr>
                <m:t>t</m:t>
              </m:r>
            </m:sub>
          </m:sSub>
          <m:r>
            <m:rPr>
              <m:sty m:val="p"/>
            </m:rPr>
            <w:rPr>
              <w:rFonts w:ascii="Cambria Math" w:hAnsi="Cambria Math"/>
              <w:sz w:val="22"/>
            </w:rPr>
            <m:t>+0.595*</m:t>
          </m:r>
          <m:sSub>
            <m:sSubPr>
              <m:ctrlPr>
                <w:rPr>
                  <w:rFonts w:ascii="Cambria Math" w:hAnsi="Cambria Math"/>
                  <w:sz w:val="22"/>
                </w:rPr>
              </m:ctrlPr>
            </m:sSubPr>
            <m:e>
              <m:r>
                <w:rPr>
                  <w:rFonts w:ascii="Cambria Math" w:hAnsi="Cambria Math"/>
                  <w:sz w:val="22"/>
                </w:rPr>
                <m:t>IPOR</m:t>
              </m:r>
            </m:e>
            <m:sub>
              <m:r>
                <w:rPr>
                  <w:rFonts w:ascii="Cambria Math" w:hAnsi="Cambria Math"/>
                  <w:sz w:val="22"/>
                </w:rPr>
                <m:t>t</m:t>
              </m:r>
              <m:r>
                <m:rPr>
                  <m:sty m:val="p"/>
                </m:rPr>
                <w:rPr>
                  <w:rFonts w:ascii="Cambria Math" w:hAnsi="Cambria Math"/>
                  <w:sz w:val="22"/>
                </w:rPr>
                <m:t>-1</m:t>
              </m:r>
            </m:sub>
          </m:sSub>
          <m:r>
            <m:rPr>
              <m:sty m:val="p"/>
            </m:rPr>
            <w:rPr>
              <w:rFonts w:ascii="Cambria Math" w:hAnsi="Cambria Math"/>
              <w:sz w:val="22"/>
            </w:rPr>
            <m:t>+0.0377*</m:t>
          </m:r>
          <m:sSub>
            <m:sSubPr>
              <m:ctrlPr>
                <w:rPr>
                  <w:rFonts w:ascii="Cambria Math" w:hAnsi="Cambria Math"/>
                  <w:sz w:val="22"/>
                </w:rPr>
              </m:ctrlPr>
            </m:sSubPr>
            <m:e>
              <m:r>
                <w:rPr>
                  <w:rFonts w:ascii="Cambria Math" w:hAnsi="Cambria Math"/>
                  <w:sz w:val="22"/>
                </w:rPr>
                <m:t>NIA</m:t>
              </m:r>
            </m:e>
            <m:sub>
              <m:r>
                <w:rPr>
                  <w:rFonts w:ascii="Cambria Math" w:hAnsi="Cambria Math"/>
                  <w:sz w:val="22"/>
                </w:rPr>
                <m:t>t</m:t>
              </m:r>
            </m:sub>
          </m:sSub>
        </m:oMath>
      </m:oMathPara>
    </w:p>
    <w:p w14:paraId="7D63ECEB" w14:textId="4CC4B5DC" w:rsidR="00930AA3" w:rsidRDefault="00930AA3" w:rsidP="00930AA3">
      <w:r>
        <w:rPr>
          <w:rFonts w:hint="eastAsia"/>
        </w:rPr>
        <w:t>再与各自的方差贡献率相乘，得到最终的投资者情绪指数：</w:t>
      </w:r>
    </w:p>
    <w:p w14:paraId="1507826F" w14:textId="754F4701" w:rsidR="00BF1AC3" w:rsidRPr="00BF1AC3" w:rsidRDefault="00BF1AC3" w:rsidP="00BF1AC3">
      <w:pPr>
        <w:ind w:firstLine="440"/>
        <w:rPr>
          <w:rFonts w:hint="eastAsia"/>
          <w:sz w:val="22"/>
        </w:rPr>
      </w:pPr>
      <m:oMathPara>
        <m:oMathParaPr>
          <m:jc m:val="left"/>
        </m:oMathParaPr>
        <m:oMath>
          <m:sSub>
            <m:sSubPr>
              <m:ctrlPr>
                <w:rPr>
                  <w:rFonts w:ascii="Cambria Math" w:hAnsi="Cambria Math"/>
                  <w:sz w:val="22"/>
                </w:rPr>
              </m:ctrlPr>
            </m:sSubPr>
            <m:e>
              <m:r>
                <w:rPr>
                  <w:rFonts w:ascii="Cambria Math" w:hAnsi="Cambria Math"/>
                  <w:sz w:val="22"/>
                </w:rPr>
                <m:t>SENT</m:t>
              </m:r>
            </m:e>
            <m:sub>
              <m:r>
                <w:rPr>
                  <w:rFonts w:ascii="Cambria Math" w:hAnsi="Cambria Math"/>
                  <w:sz w:val="22"/>
                </w:rPr>
                <m:t>t</m:t>
              </m:r>
            </m:sub>
          </m:sSub>
          <m:r>
            <m:rPr>
              <m:sty m:val="p"/>
            </m:rPr>
            <w:rPr>
              <w:rFonts w:ascii="Cambria Math" w:hAnsi="Cambria Math"/>
              <w:sz w:val="22"/>
            </w:rPr>
            <m:t>=0.4595*</m:t>
          </m:r>
          <m:sSub>
            <m:sSubPr>
              <m:ctrlPr>
                <w:rPr>
                  <w:rFonts w:ascii="Cambria Math" w:hAnsi="Cambria Math"/>
                  <w:sz w:val="22"/>
                </w:rPr>
              </m:ctrlPr>
            </m:sSubPr>
            <m:e>
              <m:r>
                <w:rPr>
                  <w:rFonts w:ascii="Cambria Math" w:hAnsi="Cambria Math"/>
                  <w:sz w:val="22"/>
                </w:rPr>
                <m:t>SENT</m:t>
              </m:r>
              <m:r>
                <m:rPr>
                  <m:sty m:val="p"/>
                </m:rPr>
                <w:rPr>
                  <w:rFonts w:ascii="Cambria Math" w:hAnsi="Cambria Math"/>
                  <w:sz w:val="22"/>
                </w:rPr>
                <m:t>1</m:t>
              </m:r>
            </m:e>
            <m:sub>
              <m:r>
                <w:rPr>
                  <w:rFonts w:ascii="Cambria Math" w:hAnsi="Cambria Math"/>
                  <w:sz w:val="22"/>
                </w:rPr>
                <m:t>t</m:t>
              </m:r>
            </m:sub>
          </m:sSub>
          <m:r>
            <m:rPr>
              <m:sty m:val="p"/>
            </m:rPr>
            <w:rPr>
              <w:rFonts w:ascii="Cambria Math" w:hAnsi="Cambria Math"/>
              <w:sz w:val="22"/>
            </w:rPr>
            <m:t>+0.2699*</m:t>
          </m:r>
          <m:sSub>
            <m:sSubPr>
              <m:ctrlPr>
                <w:rPr>
                  <w:rFonts w:ascii="Cambria Math" w:hAnsi="Cambria Math"/>
                  <w:sz w:val="22"/>
                </w:rPr>
              </m:ctrlPr>
            </m:sSubPr>
            <m:e>
              <m:r>
                <w:rPr>
                  <w:rFonts w:ascii="Cambria Math" w:hAnsi="Cambria Math"/>
                  <w:sz w:val="22"/>
                </w:rPr>
                <m:t>SENT</m:t>
              </m:r>
              <m:r>
                <m:rPr>
                  <m:sty m:val="p"/>
                </m:rPr>
                <w:rPr>
                  <w:rFonts w:ascii="Cambria Math" w:hAnsi="Cambria Math"/>
                  <w:sz w:val="22"/>
                </w:rPr>
                <m:t>2</m:t>
              </m:r>
            </m:e>
            <m:sub>
              <m:r>
                <w:rPr>
                  <w:rFonts w:ascii="Cambria Math" w:hAnsi="Cambria Math"/>
                  <w:sz w:val="22"/>
                </w:rPr>
                <m:t>t</m:t>
              </m:r>
            </m:sub>
          </m:sSub>
        </m:oMath>
      </m:oMathPara>
    </w:p>
    <w:p w14:paraId="5432432B" w14:textId="5D7747D0" w:rsidR="00777457" w:rsidRDefault="00191AD9" w:rsidP="00191AD9">
      <w:r>
        <w:rPr>
          <w:rFonts w:hint="eastAsia"/>
        </w:rPr>
        <w:t>最终计算出的综合投资者情绪指数绘制如</w:t>
      </w:r>
      <w:r w:rsidR="00930AA3">
        <w:fldChar w:fldCharType="begin"/>
      </w:r>
      <w:r w:rsidR="00930AA3">
        <w:instrText xml:space="preserve"> </w:instrText>
      </w:r>
      <w:r w:rsidR="00930AA3">
        <w:rPr>
          <w:rFonts w:hint="eastAsia"/>
        </w:rPr>
        <w:instrText>REF _Ref509514425 \h</w:instrText>
      </w:r>
      <w:r w:rsidR="00930AA3">
        <w:instrText xml:space="preserve"> </w:instrText>
      </w:r>
      <w:r w:rsidR="00930AA3">
        <w:fldChar w:fldCharType="separate"/>
      </w:r>
      <w:r w:rsidR="00930AA3">
        <w:rPr>
          <w:rFonts w:hint="eastAsia"/>
        </w:rPr>
        <w:t>图</w:t>
      </w:r>
      <w:r w:rsidR="00930AA3">
        <w:rPr>
          <w:noProof/>
        </w:rPr>
        <w:t>3</w:t>
      </w:r>
      <w:r w:rsidR="00930AA3">
        <w:fldChar w:fldCharType="end"/>
      </w:r>
      <w:r w:rsidR="00032C9B">
        <w:rPr>
          <w:rFonts w:hint="eastAsia"/>
        </w:rPr>
        <w:t>，图中的虚线为投资者情绪指</w:t>
      </w:r>
      <w:r w:rsidR="00032C9B">
        <w:rPr>
          <w:rFonts w:hint="eastAsia"/>
        </w:rPr>
        <w:lastRenderedPageBreak/>
        <w:t>数的趋势线，显示出计算的投资者情绪指数不存在</w:t>
      </w:r>
      <w:r w:rsidR="00930AA3">
        <w:rPr>
          <w:rFonts w:hint="eastAsia"/>
        </w:rPr>
        <w:t>很</w:t>
      </w:r>
      <w:r w:rsidR="00032C9B">
        <w:rPr>
          <w:rFonts w:hint="eastAsia"/>
        </w:rPr>
        <w:t>强的时间趋势</w:t>
      </w:r>
      <w:r>
        <w:rPr>
          <w:rFonts w:hint="eastAsia"/>
        </w:rPr>
        <w:t>。</w:t>
      </w:r>
    </w:p>
    <w:p w14:paraId="09276758" w14:textId="77777777" w:rsidR="00A74116" w:rsidRDefault="00A74116" w:rsidP="00191AD9">
      <w:pPr>
        <w:rPr>
          <w:rFonts w:hint="eastAsia"/>
        </w:rPr>
      </w:pPr>
    </w:p>
    <w:p w14:paraId="1995D5E9" w14:textId="77777777" w:rsidR="00BA74B5" w:rsidRDefault="00BA74B5" w:rsidP="00BA74B5">
      <w:pPr>
        <w:keepNext/>
        <w:ind w:firstLineChars="0" w:firstLine="0"/>
        <w:jc w:val="center"/>
      </w:pPr>
      <w:r w:rsidRPr="00BA74B5">
        <w:rPr>
          <w:rFonts w:hint="eastAsia"/>
          <w:noProof/>
        </w:rPr>
        <w:drawing>
          <wp:inline distT="0" distB="0" distL="0" distR="0" wp14:anchorId="213E284F" wp14:editId="03544F7F">
            <wp:extent cx="5274310" cy="266725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507CC17F" w14:textId="1FAC9501" w:rsidR="00C15018" w:rsidRDefault="00BA74B5" w:rsidP="00BA74B5">
      <w:pPr>
        <w:pStyle w:val="ad"/>
      </w:pPr>
      <w:bookmarkStart w:id="22" w:name="_Ref50951442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3</w:t>
      </w:r>
      <w:r>
        <w:fldChar w:fldCharType="end"/>
      </w:r>
      <w:bookmarkEnd w:id="22"/>
      <w:r>
        <w:rPr>
          <w:noProof/>
        </w:rPr>
        <w:t xml:space="preserve"> </w:t>
      </w:r>
      <w:r>
        <w:rPr>
          <w:rFonts w:hint="eastAsia"/>
          <w:noProof/>
        </w:rPr>
        <w:t>2009</w:t>
      </w:r>
      <w:r w:rsidR="00930AA3">
        <w:rPr>
          <w:rFonts w:hint="eastAsia"/>
          <w:noProof/>
        </w:rPr>
        <w:t>年</w:t>
      </w:r>
      <w:r>
        <w:rPr>
          <w:noProof/>
        </w:rPr>
        <w:t>1</w:t>
      </w:r>
      <w:r w:rsidR="00930AA3">
        <w:rPr>
          <w:rFonts w:hint="eastAsia"/>
          <w:noProof/>
        </w:rPr>
        <w:t>月</w:t>
      </w:r>
      <w:r>
        <w:rPr>
          <w:rFonts w:hint="eastAsia"/>
          <w:noProof/>
        </w:rPr>
        <w:t>-2017</w:t>
      </w:r>
      <w:r w:rsidR="00930AA3">
        <w:rPr>
          <w:rFonts w:hint="eastAsia"/>
          <w:noProof/>
        </w:rPr>
        <w:t>年</w:t>
      </w:r>
      <w:r>
        <w:rPr>
          <w:noProof/>
        </w:rPr>
        <w:t>12</w:t>
      </w:r>
      <w:r w:rsidR="00930AA3">
        <w:rPr>
          <w:rFonts w:hint="eastAsia"/>
          <w:noProof/>
        </w:rPr>
        <w:t>月</w:t>
      </w:r>
      <w:r>
        <w:rPr>
          <w:rFonts w:hint="eastAsia"/>
          <w:noProof/>
        </w:rPr>
        <w:t>综合投资者情绪指数</w:t>
      </w:r>
    </w:p>
    <w:p w14:paraId="0A5B136B" w14:textId="03052DE0" w:rsidR="00AA4847" w:rsidRDefault="00AA4847" w:rsidP="00DD7EA5"/>
    <w:p w14:paraId="1AAE84C8" w14:textId="77777777" w:rsidR="008B410E" w:rsidRPr="008B410E" w:rsidRDefault="008B410E" w:rsidP="002913DA">
      <w:pPr>
        <w:pStyle w:val="4"/>
      </w:pPr>
      <w:r w:rsidRPr="008B410E">
        <w:rPr>
          <w:rFonts w:hint="eastAsia"/>
        </w:rPr>
        <w:t>个股投资者情绪</w:t>
      </w:r>
    </w:p>
    <w:p w14:paraId="3428AA2C" w14:textId="3C43AE51" w:rsidR="008B410E" w:rsidRDefault="008B410E" w:rsidP="008B410E">
      <w:r>
        <w:rPr>
          <w:rFonts w:hint="eastAsia"/>
        </w:rPr>
        <w:t>由于在用于计算综合投资者情绪指数的指标中仅换手率存在个股维度的数据，本文拟参考林虎和刘冲（</w:t>
      </w:r>
      <w:r>
        <w:rPr>
          <w:rFonts w:hint="eastAsia"/>
        </w:rPr>
        <w:t>2011</w:t>
      </w:r>
      <w:r>
        <w:rPr>
          <w:rFonts w:hint="eastAsia"/>
        </w:rPr>
        <w:t>）</w:t>
      </w:r>
      <w:r w:rsidR="00EE48D6">
        <w:rPr>
          <w:rStyle w:val="afb"/>
        </w:rPr>
        <w:t>[</w:t>
      </w:r>
      <w:r w:rsidR="00EE48D6">
        <w:rPr>
          <w:rStyle w:val="afb"/>
        </w:rPr>
        <w:endnoteReference w:id="79"/>
      </w:r>
      <w:r w:rsidR="00EE48D6">
        <w:rPr>
          <w:rStyle w:val="afb"/>
        </w:rPr>
        <w:t>]</w:t>
      </w:r>
      <w:r>
        <w:rPr>
          <w:rFonts w:hint="eastAsia"/>
        </w:rPr>
        <w:t>的研究，采用异常换手率度量个股投资者情绪，即</w:t>
      </w:r>
    </w:p>
    <w:p w14:paraId="171538B2" w14:textId="29634C5F" w:rsidR="008B410E" w:rsidRDefault="007549BC" w:rsidP="008B410E">
      <w:pPr>
        <w:ind w:firstLine="420"/>
      </w:pPr>
      <m:oMathPara>
        <m:oMath>
          <m:sSub>
            <m:sSubPr>
              <m:ctrlPr>
                <w:rPr>
                  <w:rFonts w:ascii="Cambria Math" w:eastAsiaTheme="minorEastAsia" w:hAnsi="Cambria Math" w:cstheme="minorBidi"/>
                  <w:sz w:val="21"/>
                  <w:szCs w:val="22"/>
                </w:rPr>
              </m:ctrlPr>
            </m:sSubPr>
            <m:e>
              <m:r>
                <w:rPr>
                  <w:rFonts w:ascii="Cambria Math" w:hAnsi="Cambria Math"/>
                </w:rPr>
                <m:t>AbTURN</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cstheme="minorBidi"/>
                      <w:i/>
                      <w:sz w:val="21"/>
                      <w:szCs w:val="22"/>
                    </w:rPr>
                  </m:ctrlPr>
                </m:sSubPr>
                <m:e>
                  <m:r>
                    <w:rPr>
                      <w:rFonts w:ascii="Cambria Math" w:hAnsi="Cambria Math"/>
                    </w:rPr>
                    <m:t>Turnover</m:t>
                  </m:r>
                </m:e>
                <m:sub>
                  <m:r>
                    <w:rPr>
                      <w:rFonts w:ascii="Cambria Math" w:hAnsi="Cambria Math"/>
                    </w:rPr>
                    <m:t>i,t-1</m:t>
                  </m:r>
                </m:sub>
              </m:sSub>
              <m:ctrlPr>
                <w:rPr>
                  <w:rFonts w:ascii="Cambria Math" w:eastAsiaTheme="minorEastAsia" w:hAnsi="Cambria Math" w:cstheme="minorBidi"/>
                  <w:i/>
                  <w:sz w:val="21"/>
                  <w:szCs w:val="22"/>
                </w:rPr>
              </m:ctrlPr>
            </m:num>
            <m:den>
              <m:sSub>
                <m:sSubPr>
                  <m:ctrlPr>
                    <w:rPr>
                      <w:rFonts w:ascii="Cambria Math" w:eastAsiaTheme="minorEastAsia" w:hAnsi="Cambria Math" w:cstheme="minorBidi"/>
                      <w:i/>
                      <w:sz w:val="21"/>
                      <w:szCs w:val="22"/>
                    </w:rPr>
                  </m:ctrlPr>
                </m:sSubPr>
                <m:e>
                  <m:r>
                    <w:rPr>
                      <w:rFonts w:ascii="Cambria Math" w:hAnsi="Cambria Math"/>
                    </w:rPr>
                    <m:t>Turnover</m:t>
                  </m:r>
                </m:e>
                <m:sub>
                  <m:r>
                    <w:rPr>
                      <w:rFonts w:ascii="Cambria Math" w:hAnsi="Cambria Math"/>
                    </w:rPr>
                    <m:t>i,t-2</m:t>
                  </m:r>
                </m:sub>
              </m:sSub>
            </m:den>
          </m:f>
        </m:oMath>
      </m:oMathPara>
    </w:p>
    <w:p w14:paraId="242CCEEC" w14:textId="7D6C1EEA" w:rsidR="008B410E" w:rsidRPr="006F5F91" w:rsidRDefault="008B410E" w:rsidP="008B410E">
      <w:r>
        <w:rPr>
          <w:rFonts w:hint="eastAsia"/>
        </w:rPr>
        <w:t>其中</w:t>
      </w:r>
      <m:oMath>
        <m:sSub>
          <m:sSubPr>
            <m:ctrlPr>
              <w:rPr>
                <w:rFonts w:ascii="Cambria Math" w:eastAsiaTheme="minorEastAsia" w:hAnsi="Cambria Math" w:cstheme="minorBidi"/>
                <w:sz w:val="21"/>
                <w:szCs w:val="22"/>
              </w:rPr>
            </m:ctrlPr>
          </m:sSubPr>
          <m:e>
            <m:r>
              <w:rPr>
                <w:rFonts w:ascii="Cambria Math" w:hAnsi="Cambria Math"/>
              </w:rPr>
              <m:t>Turnover</m:t>
            </m:r>
          </m:e>
          <m:sub>
            <m:r>
              <w:rPr>
                <w:rFonts w:ascii="Cambria Math" w:hAnsi="Cambria Math"/>
              </w:rPr>
              <m:t>i,t</m:t>
            </m:r>
          </m:sub>
        </m:sSub>
      </m:oMath>
      <w:r>
        <w:rPr>
          <w:rFonts w:hint="eastAsia"/>
        </w:rPr>
        <w:t>代表公司</w:t>
      </w:r>
      <m:oMath>
        <m:r>
          <w:rPr>
            <w:rFonts w:ascii="Cambria Math" w:hAnsi="Cambria Math" w:hint="eastAsia"/>
          </w:rPr>
          <m:t>i</m:t>
        </m:r>
      </m:oMath>
      <w:r>
        <w:rPr>
          <w:rFonts w:hint="eastAsia"/>
        </w:rPr>
        <w:t>在</w:t>
      </w:r>
      <w:r w:rsidR="00A74116">
        <w:rPr>
          <w:rFonts w:hint="eastAsia"/>
        </w:rPr>
        <w:t>第</w:t>
      </w:r>
      <m:oMath>
        <m:r>
          <w:rPr>
            <w:rFonts w:ascii="Cambria Math" w:hAnsi="Cambria Math" w:hint="eastAsia"/>
          </w:rPr>
          <m:t>t</m:t>
        </m:r>
      </m:oMath>
      <w:r>
        <w:rPr>
          <w:rFonts w:hint="eastAsia"/>
        </w:rPr>
        <w:t>月的换手率。</w:t>
      </w:r>
    </w:p>
    <w:p w14:paraId="78BD8BF1" w14:textId="559FC54C" w:rsidR="008B410E" w:rsidRDefault="008B410E" w:rsidP="00DD7EA5"/>
    <w:p w14:paraId="6D1A9852" w14:textId="77777777" w:rsidR="008B410E" w:rsidRPr="008B410E" w:rsidRDefault="008B410E" w:rsidP="002913DA">
      <w:pPr>
        <w:pStyle w:val="4"/>
      </w:pPr>
      <w:r w:rsidRPr="008B410E">
        <w:rPr>
          <w:rFonts w:hint="eastAsia"/>
        </w:rPr>
        <w:t>信息含量</w:t>
      </w:r>
    </w:p>
    <w:p w14:paraId="30526EF6" w14:textId="3E920DBE" w:rsidR="008B410E" w:rsidRDefault="008B410E" w:rsidP="008B410E">
      <w:r>
        <w:rPr>
          <w:rFonts w:hint="eastAsia"/>
        </w:rPr>
        <w:t>参考</w:t>
      </w:r>
      <w:r>
        <w:rPr>
          <w:rFonts w:hint="eastAsia"/>
        </w:rPr>
        <w:t>Morck</w:t>
      </w:r>
      <w:r>
        <w:rPr>
          <w:rFonts w:hint="eastAsia"/>
        </w:rPr>
        <w:t>等（</w:t>
      </w:r>
      <w:r>
        <w:rPr>
          <w:rFonts w:hint="eastAsia"/>
        </w:rPr>
        <w:t>2000</w:t>
      </w:r>
      <w:r>
        <w:rPr>
          <w:rFonts w:hint="eastAsia"/>
        </w:rPr>
        <w:t>）</w:t>
      </w:r>
      <w:r w:rsidR="00EE48D6">
        <w:rPr>
          <w:rStyle w:val="afb"/>
        </w:rPr>
        <w:t>[</w:t>
      </w:r>
      <w:r w:rsidR="00EE48D6">
        <w:rPr>
          <w:rStyle w:val="afb"/>
        </w:rPr>
        <w:endnoteReference w:id="80"/>
      </w:r>
      <w:r w:rsidR="00EE48D6">
        <w:rPr>
          <w:rStyle w:val="afb"/>
        </w:rPr>
        <w:t>]</w:t>
      </w:r>
      <w:r>
        <w:rPr>
          <w:rFonts w:hint="eastAsia"/>
        </w:rPr>
        <w:t>的研究，本文拟使用股票同步性度量价格的信息含量。同步性的概念首先由</w:t>
      </w:r>
      <w:r>
        <w:rPr>
          <w:rFonts w:hint="eastAsia"/>
        </w:rPr>
        <w:t>Roll</w:t>
      </w:r>
      <w:r>
        <w:rPr>
          <w:rFonts w:hint="eastAsia"/>
        </w:rPr>
        <w:t>（</w:t>
      </w:r>
      <w:r>
        <w:rPr>
          <w:rFonts w:hint="eastAsia"/>
        </w:rPr>
        <w:t>1988</w:t>
      </w:r>
      <w:r>
        <w:rPr>
          <w:rFonts w:hint="eastAsia"/>
        </w:rPr>
        <w:t>）</w:t>
      </w:r>
      <w:r w:rsidR="00EE48D6">
        <w:rPr>
          <w:rStyle w:val="afb"/>
        </w:rPr>
        <w:t>[</w:t>
      </w:r>
      <w:r w:rsidR="00EE48D6">
        <w:rPr>
          <w:rStyle w:val="afb"/>
        </w:rPr>
        <w:endnoteReference w:id="81"/>
      </w:r>
      <w:r w:rsidR="00EE48D6">
        <w:rPr>
          <w:rStyle w:val="afb"/>
        </w:rPr>
        <w:t>]</w:t>
      </w:r>
      <w:r>
        <w:rPr>
          <w:rFonts w:hint="eastAsia"/>
        </w:rPr>
        <w:t>提出，</w:t>
      </w:r>
      <w:r w:rsidR="00395397">
        <w:rPr>
          <w:rFonts w:hint="eastAsia"/>
        </w:rPr>
        <w:t>其</w:t>
      </w:r>
      <w:r>
        <w:rPr>
          <w:rFonts w:hint="eastAsia"/>
        </w:rPr>
        <w:t>基本思想是使用市场模型的拟合系数度量个股收益率中可被市场收益率解释的部分，</w:t>
      </w:r>
      <w:r w:rsidR="00A74116">
        <w:rPr>
          <w:rFonts w:hint="eastAsia"/>
        </w:rPr>
        <w:t>拟合系数越高，意味着股价所包含的特质性信息水平越低，个股的“同涨同跌”现象更明显。</w:t>
      </w:r>
      <w:r>
        <w:rPr>
          <w:rFonts w:hint="eastAsia"/>
        </w:rPr>
        <w:t>具体的计算步骤如下</w:t>
      </w:r>
      <w:r w:rsidR="00A74116">
        <w:rPr>
          <w:rFonts w:hint="eastAsia"/>
        </w:rPr>
        <w:t>：</w:t>
      </w:r>
    </w:p>
    <w:p w14:paraId="65779FDE" w14:textId="77777777" w:rsidR="008B410E" w:rsidRPr="00447037" w:rsidRDefault="007549BC" w:rsidP="008B410E">
      <w:pPr>
        <w:ind w:firstLine="420"/>
      </w:pPr>
      <m:oMathPara>
        <m:oMath>
          <m:sSub>
            <m:sSubPr>
              <m:ctrlPr>
                <w:rPr>
                  <w:rFonts w:ascii="Cambria Math" w:eastAsiaTheme="minorEastAsia" w:hAnsi="Cambria Math" w:cstheme="minorBidi"/>
                  <w:sz w:val="21"/>
                  <w:szCs w:val="22"/>
                </w:rPr>
              </m:ctrlPr>
            </m:sSubPr>
            <m:e>
              <m:r>
                <w:rPr>
                  <w:rFonts w:ascii="Cambria Math" w:hAnsi="Cambria Math"/>
                </w:rPr>
                <m:t>r</m:t>
              </m:r>
            </m:e>
            <m:sub>
              <m:r>
                <w:rPr>
                  <w:rFonts w:ascii="Cambria Math" w:hAnsi="Cambria Math"/>
                </w:rPr>
                <m:t>i,t</m:t>
              </m:r>
            </m:sub>
          </m:sSub>
          <m:r>
            <w:rPr>
              <w:rFonts w:ascii="Cambria Math" w:hAnsi="Cambria Math"/>
            </w:rPr>
            <m:t>=</m:t>
          </m:r>
          <m:r>
            <w:rPr>
              <w:rFonts w:ascii="Cambria Math" w:hAnsi="Cambria Math" w:hint="eastAsia"/>
            </w:rPr>
            <m:t>α+</m:t>
          </m:r>
          <m:sSub>
            <m:sSubPr>
              <m:ctrlPr>
                <w:rPr>
                  <w:rFonts w:ascii="Cambria Math" w:eastAsiaTheme="minorEastAsia" w:hAnsi="Cambria Math" w:cstheme="minorBidi"/>
                  <w:i/>
                  <w:sz w:val="21"/>
                  <w:szCs w:val="22"/>
                </w:rPr>
              </m:ctrlPr>
            </m:sSubPr>
            <m:e>
              <m:r>
                <w:rPr>
                  <w:rFonts w:ascii="Cambria Math" w:hAnsi="Cambria Math" w:hint="eastAsia"/>
                </w:rPr>
                <m:t>β</m:t>
              </m:r>
            </m:e>
            <m:sub>
              <m:r>
                <w:rPr>
                  <w:rFonts w:ascii="Cambria Math" w:hAnsi="Cambria Math"/>
                </w:rPr>
                <m:t>i,t</m:t>
              </m:r>
            </m:sub>
          </m:sSub>
          <m:r>
            <w:rPr>
              <w:rFonts w:ascii="Cambria Math" w:hAnsi="Cambria Math"/>
            </w:rPr>
            <m:t>*</m:t>
          </m:r>
          <m:sSub>
            <m:sSubPr>
              <m:ctrlPr>
                <w:rPr>
                  <w:rFonts w:ascii="Cambria Math" w:eastAsiaTheme="minorEastAsia" w:hAnsi="Cambria Math" w:cstheme="minorBidi"/>
                  <w:i/>
                  <w:sz w:val="21"/>
                  <w:szCs w:val="22"/>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eastAsiaTheme="minorEastAsia" w:hAnsi="Cambria Math" w:cstheme="minorBidi"/>
                  <w:i/>
                  <w:sz w:val="21"/>
                  <w:szCs w:val="22"/>
                </w:rPr>
              </m:ctrlPr>
            </m:sSubPr>
            <m:e>
              <m:r>
                <w:rPr>
                  <w:rFonts w:ascii="Cambria Math" w:hAnsi="Cambria Math" w:hint="eastAsia"/>
                </w:rPr>
                <m:t>ε</m:t>
              </m:r>
            </m:e>
            <m:sub>
              <m:r>
                <w:rPr>
                  <w:rFonts w:ascii="Cambria Math" w:hAnsi="Cambria Math"/>
                </w:rPr>
                <m:t>i,t</m:t>
              </m:r>
            </m:sub>
          </m:sSub>
        </m:oMath>
      </m:oMathPara>
    </w:p>
    <w:p w14:paraId="7325BEC9" w14:textId="4C314B32" w:rsidR="003F640D" w:rsidRDefault="008B410E" w:rsidP="008B410E">
      <w:r>
        <w:rPr>
          <w:rFonts w:hint="eastAsia"/>
        </w:rPr>
        <w:t>其中</w:t>
      </w:r>
      <m:oMath>
        <m:sSub>
          <m:sSubPr>
            <m:ctrlPr>
              <w:rPr>
                <w:rFonts w:ascii="Cambria Math" w:eastAsiaTheme="minorEastAsia" w:hAnsi="Cambria Math" w:cstheme="minorBidi"/>
                <w:sz w:val="21"/>
                <w:szCs w:val="22"/>
              </w:rPr>
            </m:ctrlPr>
          </m:sSubPr>
          <m:e>
            <m:r>
              <w:rPr>
                <w:rFonts w:ascii="Cambria Math" w:hAnsi="Cambria Math"/>
              </w:rPr>
              <m:t>r</m:t>
            </m:r>
          </m:e>
          <m:sub>
            <m:r>
              <w:rPr>
                <w:rFonts w:ascii="Cambria Math" w:hAnsi="Cambria Math"/>
              </w:rPr>
              <m:t>i,t</m:t>
            </m:r>
          </m:sub>
        </m:sSub>
      </m:oMath>
      <w:r>
        <w:rPr>
          <w:rFonts w:hint="eastAsia"/>
        </w:rPr>
        <w:t>代表</w:t>
      </w:r>
      <w:r w:rsidR="00A74116">
        <w:rPr>
          <w:rFonts w:hint="eastAsia"/>
        </w:rPr>
        <w:t>公司</w:t>
      </w:r>
      <m:oMath>
        <m:r>
          <w:rPr>
            <w:rFonts w:ascii="Cambria Math" w:hAnsi="Cambria Math" w:hint="eastAsia"/>
          </w:rPr>
          <m:t>i</m:t>
        </m:r>
      </m:oMath>
      <w:r w:rsidR="00A74116">
        <w:rPr>
          <w:rFonts w:hint="eastAsia"/>
        </w:rPr>
        <w:t>在</w:t>
      </w:r>
      <w:r>
        <w:rPr>
          <w:rFonts w:hint="eastAsia"/>
        </w:rPr>
        <w:t>第</w:t>
      </w:r>
      <m:oMath>
        <m:r>
          <w:rPr>
            <w:rFonts w:ascii="Cambria Math" w:hAnsi="Cambria Math" w:hint="eastAsia"/>
          </w:rPr>
          <m:t>t</m:t>
        </m:r>
      </m:oMath>
      <w:r>
        <w:rPr>
          <w:rFonts w:hint="eastAsia"/>
        </w:rPr>
        <w:t>日的收益率，</w:t>
      </w:r>
      <m:oMath>
        <m:sSub>
          <m:sSubPr>
            <m:ctrlPr>
              <w:rPr>
                <w:rFonts w:ascii="Cambria Math" w:eastAsiaTheme="minorEastAsia" w:hAnsi="Cambria Math" w:cstheme="minorBidi"/>
                <w:sz w:val="21"/>
                <w:szCs w:val="22"/>
              </w:rPr>
            </m:ctrlPr>
          </m:sSubPr>
          <m:e>
            <m:r>
              <w:rPr>
                <w:rFonts w:ascii="Cambria Math" w:hAnsi="Cambria Math"/>
              </w:rPr>
              <m:t>r</m:t>
            </m:r>
          </m:e>
          <m:sub>
            <m:r>
              <w:rPr>
                <w:rFonts w:ascii="Cambria Math" w:hAnsi="Cambria Math"/>
              </w:rPr>
              <m:t>m,t</m:t>
            </m:r>
          </m:sub>
        </m:sSub>
      </m:oMath>
      <w:r>
        <w:rPr>
          <w:rFonts w:hint="eastAsia"/>
        </w:rPr>
        <w:t>代表市场第</w:t>
      </w:r>
      <m:oMath>
        <m:r>
          <w:rPr>
            <w:rFonts w:ascii="Cambria Math" w:hAnsi="Cambria Math" w:hint="eastAsia"/>
          </w:rPr>
          <m:t>t</m:t>
        </m:r>
      </m:oMath>
      <w:r>
        <w:rPr>
          <w:rFonts w:hint="eastAsia"/>
        </w:rPr>
        <w:t>日的收益率。本文使用</w:t>
      </w:r>
      <w:r>
        <w:rPr>
          <w:rFonts w:hint="eastAsia"/>
        </w:rPr>
        <w:t>t</w:t>
      </w:r>
      <w:r>
        <w:rPr>
          <w:rFonts w:hint="eastAsia"/>
        </w:rPr>
        <w:t>日前</w:t>
      </w:r>
      <w:r>
        <w:rPr>
          <w:rFonts w:hint="eastAsia"/>
        </w:rPr>
        <w:t>20</w:t>
      </w:r>
      <w:r>
        <w:rPr>
          <w:rFonts w:hint="eastAsia"/>
        </w:rPr>
        <w:t>个交易日的数据进行回归，以得到的判定系数作为该股票的同步性。</w:t>
      </w:r>
      <w:r w:rsidR="00117878">
        <w:rPr>
          <w:rFonts w:hint="eastAsia"/>
        </w:rPr>
        <w:t>由</w:t>
      </w:r>
      <w:r w:rsidR="00117878">
        <w:rPr>
          <w:rFonts w:hint="eastAsia"/>
        </w:rPr>
        <w:lastRenderedPageBreak/>
        <w:t>于</w:t>
      </w:r>
      <w:r w:rsidR="003F640D">
        <w:rPr>
          <w:rFonts w:hint="eastAsia"/>
        </w:rPr>
        <w:t>其他关于股价同步性的文献大多关心的是同步性的绝对水平，从而需要对同步性作对数变换以改变数据的分布，而本文主要关注的是同步性的变化，因此未进行进一步的变换。</w:t>
      </w:r>
    </w:p>
    <w:p w14:paraId="13771358" w14:textId="314342A8" w:rsidR="003F640D" w:rsidRDefault="008B410E" w:rsidP="00930AA3">
      <w:r>
        <w:rPr>
          <w:rFonts w:hint="eastAsia"/>
        </w:rPr>
        <w:t>参照</w:t>
      </w:r>
      <w:r>
        <w:rPr>
          <w:rFonts w:hint="eastAsia"/>
        </w:rPr>
        <w:t>Iv</w:t>
      </w:r>
      <w:r>
        <w:t>kovic</w:t>
      </w:r>
      <w:r>
        <w:rPr>
          <w:rFonts w:hint="eastAsia"/>
        </w:rPr>
        <w:t>和</w:t>
      </w:r>
      <w:r>
        <w:rPr>
          <w:rFonts w:hint="eastAsia"/>
        </w:rPr>
        <w:t>Jegadeesh</w:t>
      </w:r>
      <w:r>
        <w:rPr>
          <w:rFonts w:hint="eastAsia"/>
        </w:rPr>
        <w:t>（</w:t>
      </w:r>
      <w:r>
        <w:rPr>
          <w:rFonts w:hint="eastAsia"/>
        </w:rPr>
        <w:t>2004</w:t>
      </w:r>
      <w:r>
        <w:rPr>
          <w:rFonts w:hint="eastAsia"/>
        </w:rPr>
        <w:t>）对时间窗口的划分，</w:t>
      </w:r>
      <w:r w:rsidR="003F640D">
        <w:rPr>
          <w:rFonts w:hint="eastAsia"/>
        </w:rPr>
        <w:t>本文针对第</w:t>
      </w:r>
      <m:oMath>
        <m:r>
          <w:rPr>
            <w:rFonts w:ascii="Cambria Math" w:hAnsi="Cambria Math" w:hint="eastAsia"/>
          </w:rPr>
          <m:t>t</m:t>
        </m:r>
      </m:oMath>
      <w:r w:rsidR="003F640D">
        <w:rPr>
          <w:rFonts w:hint="eastAsia"/>
        </w:rPr>
        <w:t>日发布的深度研究报告</w:t>
      </w:r>
      <m:oMath>
        <m:r>
          <w:rPr>
            <w:rFonts w:ascii="Cambria Math" w:hAnsi="Cambria Math" w:hint="eastAsia"/>
          </w:rPr>
          <m:t>i</m:t>
        </m:r>
      </m:oMath>
      <w:r>
        <w:rPr>
          <w:rFonts w:hint="eastAsia"/>
        </w:rPr>
        <w:t>通过滚动回归得到</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10</m:t>
        </m:r>
      </m:oMath>
      <w:r>
        <w:rPr>
          <w:rFonts w:hint="eastAsia"/>
        </w:rPr>
        <w:t>日到</w:t>
      </w:r>
      <m:oMath>
        <m:r>
          <w:rPr>
            <w:rFonts w:ascii="Cambria Math" w:hAnsi="Cambria Math" w:hint="eastAsia"/>
          </w:rPr>
          <m:t>t+11</m:t>
        </m:r>
      </m:oMath>
      <w:r>
        <w:rPr>
          <w:rFonts w:hint="eastAsia"/>
        </w:rPr>
        <w:t>日（共</w:t>
      </w:r>
      <w:r>
        <w:rPr>
          <w:rFonts w:hint="eastAsia"/>
        </w:rPr>
        <w:t>22</w:t>
      </w:r>
      <w:r>
        <w:rPr>
          <w:rFonts w:hint="eastAsia"/>
        </w:rPr>
        <w:t>天）的同步性水平</w:t>
      </w:r>
      <w:r w:rsidR="003F640D">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i,t-10</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i,t+11</m:t>
            </m:r>
          </m:sub>
        </m:sSub>
        <m:r>
          <m:rPr>
            <m:sty m:val="p"/>
          </m:rPr>
          <w:rPr>
            <w:rFonts w:ascii="Cambria Math" w:hAnsi="Cambria Math"/>
          </w:rPr>
          <m:t>}</m:t>
        </m:r>
      </m:oMath>
      <w:r>
        <w:rPr>
          <w:rFonts w:hint="eastAsia"/>
        </w:rPr>
        <w:t>，并观察其变化趋势。</w:t>
      </w:r>
      <w:r w:rsidR="003F640D">
        <w:rPr>
          <w:rFonts w:hint="eastAsia"/>
        </w:rPr>
        <w:t>考虑到许多文献都观察到了研究报告发布后市场反应不足的现象（</w:t>
      </w:r>
      <w:r w:rsidR="003F7B52">
        <w:rPr>
          <w:rFonts w:hint="eastAsia"/>
        </w:rPr>
        <w:t>Womack</w:t>
      </w:r>
      <w:r w:rsidR="003F7B52">
        <w:rPr>
          <w:rFonts w:hint="eastAsia"/>
        </w:rPr>
        <w:t>等，</w:t>
      </w:r>
      <w:r w:rsidR="003F7B52">
        <w:rPr>
          <w:rFonts w:hint="eastAsia"/>
        </w:rPr>
        <w:t>1996</w:t>
      </w:r>
      <w:r w:rsidR="003F7B52">
        <w:rPr>
          <w:rFonts w:hint="eastAsia"/>
        </w:rPr>
        <w:t>；</w:t>
      </w:r>
      <w:r w:rsidR="003F640D">
        <w:rPr>
          <w:rFonts w:hint="eastAsia"/>
        </w:rPr>
        <w:t>Ivkovic</w:t>
      </w:r>
      <w:r w:rsidR="003F640D">
        <w:rPr>
          <w:rFonts w:hint="eastAsia"/>
        </w:rPr>
        <w:t>和</w:t>
      </w:r>
      <w:r w:rsidR="003F640D">
        <w:rPr>
          <w:rFonts w:hint="eastAsia"/>
        </w:rPr>
        <w:t>Jegadeesh</w:t>
      </w:r>
      <w:r w:rsidR="003F640D">
        <w:rPr>
          <w:rFonts w:hint="eastAsia"/>
        </w:rPr>
        <w:t>，</w:t>
      </w:r>
      <w:r w:rsidR="003F640D">
        <w:rPr>
          <w:rFonts w:hint="eastAsia"/>
        </w:rPr>
        <w:t>2004</w:t>
      </w:r>
      <w:r w:rsidR="003F640D">
        <w:rPr>
          <w:rFonts w:hint="eastAsia"/>
        </w:rPr>
        <w:t>），本文定义每份报告引起的同步性变化</w:t>
      </w:r>
      <m:oMath>
        <m:sSub>
          <m:sSubPr>
            <m:ctrlPr>
              <w:rPr>
                <w:rFonts w:ascii="Cambria Math" w:hAnsi="Cambria Math"/>
              </w:rPr>
            </m:ctrlPr>
          </m:sSubPr>
          <m:e>
            <m:r>
              <w:rPr>
                <w:rFonts w:ascii="Cambria Math" w:hAnsi="Cambria Math"/>
              </w:rPr>
              <m:t>dr2</m:t>
            </m:r>
          </m:e>
          <m:sub>
            <m:r>
              <w:rPr>
                <w:rFonts w:ascii="Cambria Math" w:hAnsi="Cambria Math"/>
              </w:rPr>
              <m:t>i</m:t>
            </m:r>
          </m:sub>
        </m:sSub>
      </m:oMath>
      <w:r w:rsidR="003F640D">
        <w:rPr>
          <w:rFonts w:hint="eastAsia"/>
        </w:rPr>
        <w:t>的计算方式如下</w:t>
      </w:r>
    </w:p>
    <w:p w14:paraId="284979C5" w14:textId="3810B027" w:rsidR="003F640D" w:rsidRPr="00A74116" w:rsidRDefault="007549BC" w:rsidP="008B410E">
      <m:oMathPara>
        <m:oMath>
          <m:sSub>
            <m:sSubPr>
              <m:ctrlPr>
                <w:rPr>
                  <w:rFonts w:ascii="Cambria Math" w:hAnsi="Cambria Math"/>
                </w:rPr>
              </m:ctrlPr>
            </m:sSubPr>
            <m:e>
              <m:r>
                <w:rPr>
                  <w:rFonts w:ascii="Cambria Math" w:hAnsi="Cambria Math" w:hint="eastAsia"/>
                </w:rPr>
                <m:t>dr2</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r2</m:t>
              </m:r>
            </m:e>
            <m:sub>
              <m:r>
                <w:rPr>
                  <w:rFonts w:ascii="Cambria Math" w:hAnsi="Cambria Math"/>
                </w:rPr>
                <m:t>i,t+2</m:t>
              </m:r>
            </m:sub>
          </m:sSub>
          <m:r>
            <w:rPr>
              <w:rFonts w:ascii="Cambria Math" w:hAnsi="Cambria Math"/>
            </w:rPr>
            <m:t>-</m:t>
          </m:r>
          <m:sSub>
            <m:sSubPr>
              <m:ctrlPr>
                <w:rPr>
                  <w:rFonts w:ascii="Cambria Math" w:hAnsi="Cambria Math"/>
                  <w:i/>
                </w:rPr>
              </m:ctrlPr>
            </m:sSubPr>
            <m:e>
              <m:r>
                <w:rPr>
                  <w:rFonts w:ascii="Cambria Math" w:hAnsi="Cambria Math"/>
                </w:rPr>
                <m:t>r2</m:t>
              </m:r>
            </m:e>
            <m:sub>
              <m:r>
                <w:rPr>
                  <w:rFonts w:ascii="Cambria Math" w:hAnsi="Cambria Math"/>
                </w:rPr>
                <m:t>i,t-1</m:t>
              </m:r>
            </m:sub>
          </m:sSub>
        </m:oMath>
      </m:oMathPara>
    </w:p>
    <w:p w14:paraId="7342963E" w14:textId="25CED100" w:rsidR="00A74116" w:rsidRDefault="00A74116" w:rsidP="008B410E">
      <w:r>
        <w:rPr>
          <w:rFonts w:hint="eastAsia"/>
        </w:rPr>
        <w:t>即以报告发布当日和第二日为事件窗，以报告发布第三日和报告发布前一日的拟合系数之差作为信息含量的变化幅度。</w:t>
      </w:r>
    </w:p>
    <w:p w14:paraId="02DA2C33" w14:textId="77777777" w:rsidR="00A74116" w:rsidRDefault="00A74116" w:rsidP="008B410E">
      <w:pPr>
        <w:rPr>
          <w:rFonts w:hint="eastAsia"/>
        </w:rPr>
      </w:pPr>
    </w:p>
    <w:p w14:paraId="6D60E6DF" w14:textId="7F10B0F4" w:rsidR="008B410E" w:rsidRPr="00A74116" w:rsidRDefault="0002579D" w:rsidP="00032C9B">
      <w:pPr>
        <w:pStyle w:val="4"/>
      </w:pPr>
      <w:r w:rsidRPr="00A74116">
        <w:rPr>
          <w:rFonts w:hint="eastAsia"/>
        </w:rPr>
        <w:t>超额收益率</w:t>
      </w:r>
      <w:r w:rsidR="00117878" w:rsidRPr="00A74116">
        <w:rPr>
          <w:rFonts w:hint="eastAsia"/>
        </w:rPr>
        <w:t>与累计超额收益率</w:t>
      </w:r>
    </w:p>
    <w:p w14:paraId="0007F4F4" w14:textId="33CEE6FC" w:rsidR="00DE6D57" w:rsidRDefault="00E1379C" w:rsidP="00DE6D57">
      <w:r>
        <w:rPr>
          <w:rFonts w:hint="eastAsia"/>
        </w:rPr>
        <w:t>参考已有研究</w:t>
      </w:r>
      <w:r w:rsidR="00DE6D57">
        <w:rPr>
          <w:rFonts w:hint="eastAsia"/>
        </w:rPr>
        <w:t>的做法（</w:t>
      </w:r>
      <w:r w:rsidR="00991132">
        <w:rPr>
          <w:rFonts w:hint="eastAsia"/>
        </w:rPr>
        <w:t>Womack</w:t>
      </w:r>
      <w:r w:rsidR="00991132">
        <w:rPr>
          <w:rFonts w:hint="eastAsia"/>
        </w:rPr>
        <w:t>，</w:t>
      </w:r>
      <w:r w:rsidR="00991132">
        <w:rPr>
          <w:rFonts w:hint="eastAsia"/>
        </w:rPr>
        <w:t>1996</w:t>
      </w:r>
      <w:r w:rsidR="00991132">
        <w:rPr>
          <w:rFonts w:hint="eastAsia"/>
        </w:rPr>
        <w:t>；</w:t>
      </w:r>
      <w:r w:rsidR="00991132">
        <w:rPr>
          <w:rFonts w:hint="eastAsia"/>
        </w:rPr>
        <w:t>Ivkovic</w:t>
      </w:r>
      <w:r w:rsidR="00991132">
        <w:rPr>
          <w:rFonts w:hint="eastAsia"/>
        </w:rPr>
        <w:t>和</w:t>
      </w:r>
      <w:r w:rsidR="00991132">
        <w:rPr>
          <w:rFonts w:hint="eastAsia"/>
        </w:rPr>
        <w:t>Jegadeesh</w:t>
      </w:r>
      <w:r w:rsidR="00991132">
        <w:rPr>
          <w:rFonts w:hint="eastAsia"/>
        </w:rPr>
        <w:t>，</w:t>
      </w:r>
      <w:r w:rsidR="00991132">
        <w:rPr>
          <w:rFonts w:hint="eastAsia"/>
        </w:rPr>
        <w:t>2004</w:t>
      </w:r>
      <w:r w:rsidR="00DE6D57">
        <w:rPr>
          <w:rFonts w:hint="eastAsia"/>
        </w:rPr>
        <w:t>）</w:t>
      </w:r>
      <w:r>
        <w:rPr>
          <w:rFonts w:hint="eastAsia"/>
        </w:rPr>
        <w:t>，本文拟采用</w:t>
      </w:r>
      <w:r w:rsidR="00DE6D57">
        <w:rPr>
          <w:rFonts w:hint="eastAsia"/>
        </w:rPr>
        <w:t>市场</w:t>
      </w:r>
      <w:r w:rsidR="00991132">
        <w:rPr>
          <w:rFonts w:hint="eastAsia"/>
        </w:rPr>
        <w:t>调整</w:t>
      </w:r>
      <w:r w:rsidR="00DE6D57">
        <w:rPr>
          <w:rFonts w:hint="eastAsia"/>
        </w:rPr>
        <w:t>模型度量异常收益。</w:t>
      </w:r>
      <w:r w:rsidR="00DE6D57" w:rsidRPr="00DE6D57">
        <w:rPr>
          <w:rFonts w:hint="eastAsia"/>
        </w:rPr>
        <w:t>记</w:t>
      </w:r>
      <w:r w:rsidR="00827030">
        <w:rPr>
          <w:rFonts w:hint="eastAsia"/>
        </w:rPr>
        <w:t>公司</w:t>
      </w:r>
      <m:oMath>
        <m:r>
          <w:rPr>
            <w:rFonts w:ascii="Cambria Math" w:hAnsi="Cambria Math"/>
          </w:rPr>
          <m:t>i</m:t>
        </m:r>
      </m:oMath>
      <w:r w:rsidR="00DE6D57" w:rsidRPr="00DE6D57">
        <w:rPr>
          <w:rFonts w:hint="eastAsia"/>
        </w:rPr>
        <w:t>第</w:t>
      </w:r>
      <m:oMath>
        <m:r>
          <w:rPr>
            <w:rFonts w:ascii="Cambria Math" w:hAnsi="Cambria Math"/>
          </w:rPr>
          <m:t>t</m:t>
        </m:r>
      </m:oMath>
      <w:r w:rsidR="00DE6D57" w:rsidRPr="00DE6D57">
        <w:rPr>
          <w:rFonts w:hint="eastAsia"/>
        </w:rPr>
        <w:t>日的价格为</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00DE6D57" w:rsidRPr="00DE6D57">
        <w:rPr>
          <w:rFonts w:hint="eastAsia"/>
        </w:rPr>
        <w:t>，第</w:t>
      </w:r>
      <m:oMath>
        <m:r>
          <w:rPr>
            <w:rFonts w:ascii="Cambria Math" w:hAnsi="Cambria Math"/>
          </w:rPr>
          <m:t>t-1</m:t>
        </m:r>
      </m:oMath>
      <w:r w:rsidR="00DE6D57" w:rsidRPr="00DE6D57">
        <w:rPr>
          <w:rFonts w:hint="eastAsia"/>
        </w:rPr>
        <w:t>日的价格为</w:t>
      </w:r>
      <m:oMath>
        <m:sSub>
          <m:sSubPr>
            <m:ctrlPr>
              <w:rPr>
                <w:rFonts w:ascii="Cambria Math" w:hAnsi="Cambria Math"/>
              </w:rPr>
            </m:ctrlPr>
          </m:sSubPr>
          <m:e>
            <m:r>
              <w:rPr>
                <w:rFonts w:ascii="Cambria Math" w:hAnsi="Cambria Math"/>
              </w:rPr>
              <m:t>P</m:t>
            </m:r>
          </m:e>
          <m:sub>
            <m:r>
              <w:rPr>
                <w:rFonts w:ascii="Cambria Math" w:hAnsi="Cambria Math"/>
              </w:rPr>
              <m:t>i,t</m:t>
            </m:r>
            <m:r>
              <w:rPr>
                <w:rFonts w:ascii="微软雅黑" w:eastAsia="微软雅黑" w:hAnsi="微软雅黑" w:cs="微软雅黑" w:hint="eastAsia"/>
              </w:rPr>
              <m:t>-</m:t>
            </m:r>
            <m:r>
              <w:rPr>
                <w:rFonts w:ascii="Cambria Math" w:hAnsi="Cambria Math" w:hint="eastAsia"/>
              </w:rPr>
              <m:t>1</m:t>
            </m:r>
          </m:sub>
        </m:sSub>
      </m:oMath>
      <w:r w:rsidR="00DE6D57" w:rsidRPr="00DE6D57">
        <w:rPr>
          <w:rFonts w:hint="eastAsia"/>
        </w:rPr>
        <w:t>，则股票</w:t>
      </w:r>
      <m:oMath>
        <m:r>
          <w:rPr>
            <w:rFonts w:ascii="Cambria Math" w:hAnsi="Cambria Math"/>
          </w:rPr>
          <m:t>i</m:t>
        </m:r>
      </m:oMath>
      <w:r w:rsidR="00DE6D57" w:rsidRPr="00DE6D57">
        <w:rPr>
          <w:rFonts w:hint="eastAsia"/>
        </w:rPr>
        <w:t>第</w:t>
      </w:r>
      <m:oMath>
        <m:r>
          <w:rPr>
            <w:rFonts w:ascii="Cambria Math" w:hAnsi="Cambria Math"/>
          </w:rPr>
          <m:t>t</m:t>
        </m:r>
      </m:oMath>
      <w:r w:rsidR="00DE6D57">
        <w:rPr>
          <w:rFonts w:hint="eastAsia"/>
        </w:rPr>
        <w:t>日的对数收益率</w:t>
      </w:r>
    </w:p>
    <w:p w14:paraId="371F3E9F" w14:textId="7F3B55BD" w:rsidR="00DE6D57" w:rsidRPr="00991132" w:rsidRDefault="00DE6D57" w:rsidP="00DE6D57">
      <m:oMathPara>
        <m:oMath>
          <m:sSub>
            <m:sSubPr>
              <m:ctrlPr>
                <w:rPr>
                  <w:rFonts w:ascii="Cambria Math" w:hAnsi="Cambria Math"/>
                </w:rPr>
              </m:ctrlPr>
            </m:sSubPr>
            <m:e>
              <m:r>
                <w:rPr>
                  <w:rFonts w:ascii="Cambria Math" w:hAnsi="Cambria Math"/>
                </w:rPr>
                <m:t>R</m:t>
              </m:r>
            </m:e>
            <m:sub>
              <m:r>
                <w:rPr>
                  <w:rFonts w:ascii="Cambria Math" w:hAnsi="Cambria Math"/>
                </w:rPr>
                <m:t>i,t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i,t</m:t>
                  </m:r>
                </m:sub>
              </m:sSub>
            </m:e>
          </m:func>
          <m:r>
            <m:rPr>
              <m:sty m:val="p"/>
            </m:rPr>
            <w:rPr>
              <w:rFonts w:ascii="微软雅黑" w:eastAsia="微软雅黑" w:hAnsi="微软雅黑" w:cs="微软雅黑" w:hint="eastAsia"/>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i,t-1</m:t>
                  </m:r>
                </m:sub>
              </m:sSub>
            </m:e>
          </m:func>
        </m:oMath>
      </m:oMathPara>
    </w:p>
    <w:p w14:paraId="225520AF" w14:textId="6A2756D2" w:rsidR="00991132" w:rsidRDefault="00117878" w:rsidP="00DE6D57">
      <w:r>
        <w:rPr>
          <w:rFonts w:hint="eastAsia"/>
        </w:rPr>
        <w:t>以</w:t>
      </w:r>
      <m:oMath>
        <m:sSub>
          <m:sSubPr>
            <m:ctrlPr>
              <w:rPr>
                <w:rFonts w:ascii="Cambria Math" w:hAnsi="Cambria Math"/>
              </w:rPr>
            </m:ctrlPr>
          </m:sSubPr>
          <m:e>
            <m:r>
              <w:rPr>
                <w:rFonts w:ascii="Cambria Math" w:hAnsi="Cambria Math"/>
              </w:rPr>
              <m:t>R</m:t>
            </m:r>
          </m:e>
          <m:sub>
            <m:r>
              <w:rPr>
                <w:rFonts w:ascii="Cambria Math" w:hAnsi="Cambria Math"/>
              </w:rPr>
              <m:t>m,t</m:t>
            </m:r>
          </m:sub>
        </m:sSub>
      </m:oMath>
      <w:r>
        <w:rPr>
          <w:rFonts w:hint="eastAsia"/>
        </w:rPr>
        <w:t>表示第</w:t>
      </w:r>
      <m:oMath>
        <m:r>
          <w:rPr>
            <w:rFonts w:ascii="Cambria Math" w:hAnsi="Cambria Math"/>
          </w:rPr>
          <m:t>t</m:t>
        </m:r>
      </m:oMath>
      <w:r>
        <w:rPr>
          <w:rFonts w:hint="eastAsia"/>
        </w:rPr>
        <w:t>日的综合市场收益率，</w:t>
      </w:r>
      <w:r w:rsidR="00991132">
        <w:rPr>
          <w:rFonts w:hint="eastAsia"/>
        </w:rPr>
        <w:t>相应的超额收益率为</w:t>
      </w:r>
    </w:p>
    <w:p w14:paraId="0A356B49" w14:textId="72841BB8" w:rsidR="00991132" w:rsidRDefault="00991132" w:rsidP="00DE6D57">
      <w:pPr>
        <w:rPr>
          <w:rFonts w:hint="eastAsia"/>
        </w:rPr>
      </w:pPr>
      <m:oMathPara>
        <m:oMath>
          <m:sSub>
            <m:sSubPr>
              <m:ctrlPr>
                <w:rPr>
                  <w:rFonts w:ascii="Cambria Math" w:hAnsi="Cambria Math"/>
                </w:rPr>
              </m:ctrlPr>
            </m:sSubPr>
            <m:e>
              <m:r>
                <w:rPr>
                  <w:rFonts w:ascii="Cambria Math" w:hAnsi="Cambria Math"/>
                </w:rPr>
                <m:t>AR</m:t>
              </m:r>
            </m:e>
            <m:sub>
              <m:r>
                <w:rPr>
                  <w:rFonts w:ascii="Cambria Math" w:hAnsi="Cambria Math"/>
                </w:rPr>
                <m:t>i,t</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oMath>
      </m:oMathPara>
    </w:p>
    <w:p w14:paraId="13D92875" w14:textId="08044B9B" w:rsidR="00991132" w:rsidRDefault="00117878" w:rsidP="00DE6D57">
      <w:r>
        <w:rPr>
          <w:rFonts w:hint="eastAsia"/>
        </w:rPr>
        <w:t>累计超额收益率</w:t>
      </w:r>
      <w:r w:rsidR="00977F82">
        <w:rPr>
          <w:rFonts w:hint="eastAsia"/>
        </w:rPr>
        <w:t>为</w:t>
      </w:r>
    </w:p>
    <w:p w14:paraId="76254903" w14:textId="7105AE58" w:rsidR="00117878" w:rsidRPr="00117878" w:rsidRDefault="00117878" w:rsidP="00DE6D57">
      <m:oMathPara>
        <m:oMath>
          <m:sSub>
            <m:sSubPr>
              <m:ctrlPr>
                <w:rPr>
                  <w:rFonts w:ascii="Cambria Math" w:hAnsi="Cambria Math"/>
                </w:rPr>
              </m:ctrlPr>
            </m:sSubPr>
            <m:e>
              <m:r>
                <w:rPr>
                  <w:rFonts w:ascii="Cambria Math" w:hAnsi="Cambria Math"/>
                </w:rPr>
                <m:t>CAR</m:t>
              </m:r>
            </m:e>
            <m:sub>
              <m:r>
                <w:rPr>
                  <w:rFonts w:ascii="Cambria Math" w:hAnsi="Cambria Math"/>
                </w:rPr>
                <m:t>t1,t2</m:t>
              </m:r>
            </m:sub>
          </m:sSub>
          <m:r>
            <w:rPr>
              <w:rFonts w:ascii="Cambria Math" w:hAnsi="Cambria Math"/>
            </w:rPr>
            <m:t>=</m:t>
          </m:r>
          <m:nary>
            <m:naryPr>
              <m:chr m:val="∑"/>
              <m:limLoc m:val="undOvr"/>
              <m:ctrlPr>
                <w:rPr>
                  <w:rFonts w:ascii="Cambria Math" w:hAnsi="Cambria Math"/>
                  <w:i/>
                </w:rPr>
              </m:ctrlPr>
            </m:naryPr>
            <m:sub>
              <m:r>
                <w:rPr>
                  <w:rFonts w:ascii="Cambria Math" w:hAnsi="Cambria Math"/>
                </w:rPr>
                <m:t>t=t1</m:t>
              </m:r>
            </m:sub>
            <m:sup>
              <m:r>
                <w:rPr>
                  <w:rFonts w:ascii="Cambria Math" w:hAnsi="Cambria Math"/>
                </w:rPr>
                <m:t>t2</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m:oMathPara>
    </w:p>
    <w:p w14:paraId="01FE601B" w14:textId="3331DA76" w:rsidR="00117878" w:rsidRDefault="00117878" w:rsidP="00DE6D57">
      <w:r>
        <w:rPr>
          <w:rFonts w:hint="eastAsia"/>
        </w:rPr>
        <w:t>检验统计量</w:t>
      </w:r>
      <w:r w:rsidR="00977F82">
        <w:rPr>
          <w:rFonts w:hint="eastAsia"/>
        </w:rPr>
        <w:t>为</w:t>
      </w:r>
    </w:p>
    <w:p w14:paraId="168892EF" w14:textId="0B4F99CC" w:rsidR="00117878" w:rsidRDefault="00117878" w:rsidP="00DE6D57">
      <w:pPr>
        <w:rPr>
          <w:rFonts w:hint="eastAsia"/>
        </w:rPr>
      </w:pPr>
      <m:oMathPara>
        <m:oMath>
          <m:r>
            <m:rPr>
              <m:sty m:val="p"/>
            </m:rPr>
            <w:rPr>
              <w:rFonts w:ascii="Cambria Math" w:hAnsi="Cambria Math"/>
            </w:rPr>
            <m:t>t=</m:t>
          </m:r>
          <m:f>
            <m:fPr>
              <m:ctrlPr>
                <w:rPr>
                  <w:rFonts w:ascii="Cambria Math" w:hAnsi="Cambria Math"/>
                  <w:i/>
                </w:rPr>
              </m:ctrlPr>
            </m:fPr>
            <m:num>
              <m:sSub>
                <m:sSubPr>
                  <m:ctrlPr>
                    <w:rPr>
                      <w:rFonts w:ascii="Cambria Math" w:hAnsi="Cambria Math"/>
                    </w:rPr>
                  </m:ctrlPr>
                </m:sSubPr>
                <m:e>
                  <m:r>
                    <w:rPr>
                      <w:rFonts w:ascii="Cambria Math" w:hAnsi="Cambria Math"/>
                    </w:rPr>
                    <m:t>CAR</m:t>
                  </m:r>
                </m:e>
                <m:sub>
                  <m:r>
                    <w:rPr>
                      <w:rFonts w:ascii="Cambria Math" w:hAnsi="Cambria Math"/>
                    </w:rPr>
                    <m:t>t1,t2</m:t>
                  </m:r>
                </m:sub>
              </m:sSub>
            </m:num>
            <m:den>
              <m:acc>
                <m:accPr>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AR</m:t>
                      </m:r>
                    </m:e>
                    <m:sub>
                      <m:r>
                        <w:rPr>
                          <w:rFonts w:ascii="Cambria Math" w:hAnsi="Cambria Math"/>
                        </w:rPr>
                        <m:t>t</m:t>
                      </m:r>
                    </m:sub>
                  </m:sSub>
                </m:e>
              </m:d>
              <m:rad>
                <m:radPr>
                  <m:degHide m:val="1"/>
                  <m:ctrlPr>
                    <w:rPr>
                      <w:rFonts w:ascii="Cambria Math" w:hAnsi="Cambria Math"/>
                      <w:i/>
                    </w:rPr>
                  </m:ctrlPr>
                </m:radPr>
                <m:deg/>
                <m:e>
                  <m:r>
                    <w:rPr>
                      <w:rFonts w:ascii="Cambria Math" w:hAnsi="Cambria Math"/>
                    </w:rPr>
                    <m:t>t2-t1+1</m:t>
                  </m:r>
                </m:e>
              </m:rad>
            </m:den>
          </m:f>
        </m:oMath>
      </m:oMathPara>
    </w:p>
    <w:p w14:paraId="3372CEAD" w14:textId="2BCEED99" w:rsidR="0002579D" w:rsidRPr="008B410E" w:rsidRDefault="00DE6D57" w:rsidP="00DD7EA5">
      <w:pPr>
        <w:rPr>
          <w:rFonts w:hint="eastAsia"/>
        </w:rPr>
      </w:pPr>
      <w:r>
        <w:rPr>
          <w:rFonts w:hint="eastAsia"/>
        </w:rPr>
        <w:t>参考</w:t>
      </w:r>
      <w:r>
        <w:rPr>
          <w:rFonts w:hint="eastAsia"/>
        </w:rPr>
        <w:t>Iv</w:t>
      </w:r>
      <w:r w:rsidR="006F6B4D">
        <w:t>k</w:t>
      </w:r>
      <w:r>
        <w:rPr>
          <w:rFonts w:hint="eastAsia"/>
        </w:rPr>
        <w:t>o</w:t>
      </w:r>
      <w:r w:rsidR="006F6B4D">
        <w:t>vic</w:t>
      </w:r>
      <w:r w:rsidR="006F6B4D">
        <w:rPr>
          <w:rFonts w:hint="eastAsia"/>
        </w:rPr>
        <w:t>和</w:t>
      </w:r>
      <w:r w:rsidR="006F6B4D">
        <w:rPr>
          <w:rFonts w:hint="eastAsia"/>
        </w:rPr>
        <w:t>Jegadeesh</w:t>
      </w:r>
      <w:r w:rsidR="006F6B4D">
        <w:rPr>
          <w:rFonts w:hint="eastAsia"/>
        </w:rPr>
        <w:t>（</w:t>
      </w:r>
      <w:r w:rsidR="006F6B4D">
        <w:rPr>
          <w:rFonts w:hint="eastAsia"/>
        </w:rPr>
        <w:t>2004</w:t>
      </w:r>
      <w:r w:rsidR="006F6B4D">
        <w:rPr>
          <w:rFonts w:hint="eastAsia"/>
        </w:rPr>
        <w:t>）的事件窗口划分，本文共设置了</w:t>
      </w:r>
      <m:oMath>
        <m:r>
          <m:rPr>
            <m:sty m:val="p"/>
          </m:rPr>
          <w:rPr>
            <w:rFonts w:ascii="Cambria Math" w:hAnsi="Cambria Math"/>
          </w:rPr>
          <m:t>day</m:t>
        </m:r>
        <m:d>
          <m:dPr>
            <m:ctrlPr>
              <w:rPr>
                <w:rFonts w:ascii="Cambria Math" w:hAnsi="Cambria Math"/>
              </w:rPr>
            </m:ctrlPr>
          </m:dPr>
          <m:e>
            <m:r>
              <m:rPr>
                <m:sty m:val="p"/>
              </m:rPr>
              <w:rPr>
                <w:rFonts w:ascii="Cambria Math" w:hAnsi="Cambria Math"/>
              </w:rPr>
              <m:t>-10,-6</m:t>
            </m:r>
          </m:e>
        </m:d>
        <m:r>
          <m:rPr>
            <m:sty m:val="p"/>
          </m:rPr>
          <w:rPr>
            <w:rFonts w:ascii="Cambria Math" w:hAnsi="Cambria Math" w:hint="eastAsia"/>
          </w:rPr>
          <m:t>，</m:t>
        </m:r>
        <m:r>
          <m:rPr>
            <m:sty m:val="p"/>
          </m:rPr>
          <w:rPr>
            <w:rFonts w:ascii="Cambria Math" w:hAnsi="Cambria Math"/>
          </w:rPr>
          <m:t>day</m:t>
        </m:r>
        <m:d>
          <m:dPr>
            <m:ctrlPr>
              <w:rPr>
                <w:rFonts w:ascii="Cambria Math" w:hAnsi="Cambria Math"/>
              </w:rPr>
            </m:ctrlPr>
          </m:dPr>
          <m:e>
            <m:r>
              <w:rPr>
                <w:rFonts w:ascii="Cambria Math" w:hAnsi="Cambria Math"/>
              </w:rPr>
              <m:t>-5,-1</m:t>
            </m:r>
          </m:e>
        </m:d>
        <m:r>
          <m:rPr>
            <m:sty m:val="p"/>
          </m:rPr>
          <w:rPr>
            <w:rFonts w:ascii="Cambria Math" w:hAnsi="Cambria Math" w:hint="eastAsia"/>
          </w:rPr>
          <m:t>，</m:t>
        </m:r>
        <m:r>
          <m:rPr>
            <m:sty m:val="p"/>
          </m:rPr>
          <w:rPr>
            <w:rFonts w:ascii="Cambria Math" w:hAnsi="Cambria Math"/>
          </w:rPr>
          <m:t>day0</m:t>
        </m:r>
        <m:r>
          <m:rPr>
            <m:sty m:val="p"/>
          </m:rPr>
          <w:rPr>
            <w:rFonts w:ascii="Cambria Math" w:hAnsi="Cambria Math" w:hint="eastAsia"/>
          </w:rPr>
          <m:t>，</m:t>
        </m:r>
        <m:r>
          <m:rPr>
            <m:sty m:val="p"/>
          </m:rPr>
          <w:rPr>
            <w:rFonts w:ascii="Cambria Math" w:hAnsi="Cambria Math" w:hint="eastAsia"/>
          </w:rPr>
          <m:t>day</m:t>
        </m:r>
        <m:r>
          <m:rPr>
            <m:sty m:val="p"/>
          </m:rPr>
          <w:rPr>
            <w:rFonts w:ascii="Cambria Math" w:hAnsi="Cambria Math"/>
          </w:rPr>
          <m:t>1</m:t>
        </m:r>
        <m:r>
          <m:rPr>
            <m:sty m:val="p"/>
          </m:rPr>
          <w:rPr>
            <w:rFonts w:ascii="Cambria Math" w:hAnsi="Cambria Math" w:hint="eastAsia"/>
          </w:rPr>
          <m:t>，</m:t>
        </m:r>
        <m:r>
          <m:rPr>
            <m:sty m:val="p"/>
          </m:rPr>
          <w:rPr>
            <w:rFonts w:ascii="Cambria Math" w:hAnsi="Cambria Math" w:hint="eastAsia"/>
          </w:rPr>
          <m:t>day</m:t>
        </m:r>
        <m:d>
          <m:dPr>
            <m:ctrlPr>
              <w:rPr>
                <w:rFonts w:ascii="Cambria Math" w:hAnsi="Cambria Math"/>
              </w:rPr>
            </m:ctrlPr>
          </m:dPr>
          <m:e>
            <m:r>
              <m:rPr>
                <m:sty m:val="p"/>
              </m:rPr>
              <w:rPr>
                <w:rFonts w:ascii="Cambria Math" w:hAnsi="Cambria Math"/>
              </w:rPr>
              <m:t>2,6</m:t>
            </m:r>
          </m:e>
        </m:d>
        <m:r>
          <m:rPr>
            <m:sty m:val="p"/>
          </m:rPr>
          <w:rPr>
            <w:rFonts w:ascii="Cambria Math" w:hAnsi="Cambria Math" w:hint="eastAsia"/>
          </w:rPr>
          <m:t>，</m:t>
        </m:r>
        <m:r>
          <m:rPr>
            <m:sty m:val="p"/>
          </m:rPr>
          <w:rPr>
            <w:rFonts w:ascii="Cambria Math" w:hAnsi="Cambria Math"/>
          </w:rPr>
          <m:t>day(7,11)</m:t>
        </m:r>
      </m:oMath>
      <w:r w:rsidR="006F6B4D">
        <w:rPr>
          <w:rFonts w:hint="eastAsia"/>
        </w:rPr>
        <w:t>六个窗口，考察超额收益率的变化情况。</w:t>
      </w:r>
    </w:p>
    <w:p w14:paraId="42ECE633" w14:textId="7A5A1282" w:rsidR="003F7B52" w:rsidRDefault="00360417" w:rsidP="002C1AA6">
      <w:pPr>
        <w:pStyle w:val="3"/>
      </w:pPr>
      <w:bookmarkStart w:id="23" w:name="_Toc509527756"/>
      <w:r>
        <w:rPr>
          <w:rFonts w:hint="eastAsia"/>
        </w:rPr>
        <w:lastRenderedPageBreak/>
        <w:t>研究</w:t>
      </w:r>
      <w:r w:rsidR="003F7B52">
        <w:rPr>
          <w:rFonts w:hint="eastAsia"/>
        </w:rPr>
        <w:t>设计</w:t>
      </w:r>
      <w:bookmarkEnd w:id="23"/>
    </w:p>
    <w:p w14:paraId="05FB7BC0" w14:textId="53651404" w:rsidR="003F7B52" w:rsidRDefault="003F7B52" w:rsidP="003F7B52">
      <w:r>
        <w:rPr>
          <w:rFonts w:hint="eastAsia"/>
        </w:rPr>
        <w:t>为了检验假设</w:t>
      </w:r>
      <w:r>
        <w:rPr>
          <w:rFonts w:hint="eastAsia"/>
        </w:rPr>
        <w:t>1</w:t>
      </w:r>
      <w:r>
        <w:rPr>
          <w:rFonts w:hint="eastAsia"/>
        </w:rPr>
        <w:t>，本文</w:t>
      </w:r>
      <w:r w:rsidR="008E0C13">
        <w:rPr>
          <w:rFonts w:hint="eastAsia"/>
        </w:rPr>
        <w:t>拟</w:t>
      </w:r>
      <w:r>
        <w:rPr>
          <w:rFonts w:hint="eastAsia"/>
        </w:rPr>
        <w:t>建立两个模型</w:t>
      </w:r>
      <w:r w:rsidR="001F79CA">
        <w:rPr>
          <w:rFonts w:hint="eastAsia"/>
        </w:rPr>
        <w:t>分别</w:t>
      </w:r>
      <w:r>
        <w:rPr>
          <w:rFonts w:hint="eastAsia"/>
        </w:rPr>
        <w:t>从</w:t>
      </w:r>
      <w:r w:rsidR="000D6891">
        <w:rPr>
          <w:rFonts w:hint="eastAsia"/>
        </w:rPr>
        <w:t>宏观和微观</w:t>
      </w:r>
      <w:r w:rsidR="00360417">
        <w:rPr>
          <w:rFonts w:hint="eastAsia"/>
        </w:rPr>
        <w:t>两个不同的</w:t>
      </w:r>
      <w:r>
        <w:rPr>
          <w:rFonts w:hint="eastAsia"/>
        </w:rPr>
        <w:t>角度进行验证</w:t>
      </w:r>
      <w:r w:rsidR="00B5640B">
        <w:rPr>
          <w:rFonts w:hint="eastAsia"/>
        </w:rPr>
        <w:t>。宏观层次的回归模型如下</w:t>
      </w:r>
    </w:p>
    <w:p w14:paraId="5DAB8B27" w14:textId="7C00ABFD" w:rsidR="003F7B52" w:rsidRPr="008E0C13" w:rsidRDefault="007549BC" w:rsidP="003F7B52">
      <m:oMathPara>
        <m:oMath>
          <m:sSub>
            <m:sSubPr>
              <m:ctrlPr>
                <w:rPr>
                  <w:rFonts w:ascii="Cambria Math" w:hAnsi="Cambria Math"/>
                </w:rPr>
              </m:ctrlPr>
            </m:sSubPr>
            <m:e>
              <m:r>
                <w:rPr>
                  <w:rFonts w:ascii="Cambria Math" w:hAnsi="Cambria Math"/>
                </w:rPr>
                <m:t>Report</m:t>
              </m:r>
            </m:e>
            <m:sub>
              <m:r>
                <w:rPr>
                  <w:rFonts w:ascii="Cambria Math" w:hAnsi="Cambria Math"/>
                </w:rPr>
                <m:t>t</m:t>
              </m:r>
            </m:sub>
          </m:sSub>
          <m:r>
            <w:rPr>
              <w:rFonts w:ascii="Cambria Math" w:hAnsi="Cambria Math"/>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SENT</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Mktrt</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t</m:t>
              </m:r>
            </m:sub>
          </m:sSub>
        </m:oMath>
      </m:oMathPara>
    </w:p>
    <w:p w14:paraId="48238096" w14:textId="5BC1FE49" w:rsidR="008E0C13" w:rsidRDefault="008E0C13" w:rsidP="003F7B52">
      <w:r>
        <w:rPr>
          <w:rFonts w:hint="eastAsia"/>
        </w:rPr>
        <w:t>其中</w:t>
      </w:r>
      <m:oMath>
        <m:sSub>
          <m:sSubPr>
            <m:ctrlPr>
              <w:rPr>
                <w:rFonts w:ascii="Cambria Math" w:hAnsi="Cambria Math"/>
              </w:rPr>
            </m:ctrlPr>
          </m:sSubPr>
          <m:e>
            <m:r>
              <w:rPr>
                <w:rFonts w:ascii="Cambria Math" w:hAnsi="Cambria Math"/>
              </w:rPr>
              <m:t>Report</m:t>
            </m:r>
          </m:e>
          <m:sub>
            <m:r>
              <w:rPr>
                <w:rFonts w:ascii="Cambria Math" w:hAnsi="Cambria Math"/>
              </w:rPr>
              <m:t>t</m:t>
            </m:r>
          </m:sub>
        </m:sSub>
      </m:oMath>
      <w:r>
        <w:rPr>
          <w:rFonts w:hint="eastAsia"/>
        </w:rPr>
        <w:t>代表第</w:t>
      </w:r>
      <w:r>
        <w:rPr>
          <w:rFonts w:hint="eastAsia"/>
        </w:rPr>
        <w:t>t</w:t>
      </w:r>
      <w:r>
        <w:rPr>
          <w:rFonts w:hint="eastAsia"/>
        </w:rPr>
        <w:t>月发布的深度研究报告数量，</w:t>
      </w:r>
      <m:oMath>
        <m:sSub>
          <m:sSubPr>
            <m:ctrlPr>
              <w:rPr>
                <w:rFonts w:ascii="Cambria Math" w:hAnsi="Cambria Math"/>
                <w:i/>
              </w:rPr>
            </m:ctrlPr>
          </m:sSubPr>
          <m:e>
            <m:r>
              <w:rPr>
                <w:rFonts w:ascii="Cambria Math" w:hAnsi="Cambria Math"/>
              </w:rPr>
              <m:t>SENT</m:t>
            </m:r>
          </m:e>
          <m:sub>
            <m:r>
              <w:rPr>
                <w:rFonts w:ascii="Cambria Math" w:hAnsi="Cambria Math" w:hint="eastAsia"/>
              </w:rPr>
              <m:t>t</m:t>
            </m:r>
          </m:sub>
        </m:sSub>
      </m:oMath>
      <w:r>
        <w:rPr>
          <w:rFonts w:hint="eastAsia"/>
        </w:rPr>
        <w:t>代表第</w:t>
      </w:r>
      <m:oMath>
        <m:r>
          <w:rPr>
            <w:rFonts w:ascii="Cambria Math" w:hAnsi="Cambria Math" w:hint="eastAsia"/>
          </w:rPr>
          <m:t>t</m:t>
        </m:r>
      </m:oMath>
      <w:r>
        <w:rPr>
          <w:rFonts w:hint="eastAsia"/>
        </w:rPr>
        <w:t>月的</w:t>
      </w:r>
      <w:r w:rsidR="000D6891">
        <w:rPr>
          <w:rFonts w:hint="eastAsia"/>
        </w:rPr>
        <w:t>综合投资者情绪指数，由于本多元回归分析方程是从宏观</w:t>
      </w:r>
      <w:r>
        <w:rPr>
          <w:rFonts w:hint="eastAsia"/>
        </w:rPr>
        <w:t>角度考察分析师择时情况，因此加入当月市场综合收益率</w:t>
      </w:r>
      <m:oMath>
        <m:sSub>
          <m:sSubPr>
            <m:ctrlPr>
              <w:rPr>
                <w:rFonts w:ascii="Cambria Math" w:hAnsi="Cambria Math"/>
                <w:i/>
              </w:rPr>
            </m:ctrlPr>
          </m:sSubPr>
          <m:e>
            <m:r>
              <w:rPr>
                <w:rFonts w:ascii="Cambria Math" w:hAnsi="Cambria Math"/>
              </w:rPr>
              <m:t>Mktrt</m:t>
            </m:r>
          </m:e>
          <m:sub>
            <m:r>
              <w:rPr>
                <w:rFonts w:ascii="Cambria Math" w:hAnsi="Cambria Math" w:hint="eastAsia"/>
              </w:rPr>
              <m:t>t</m:t>
            </m:r>
          </m:sub>
        </m:sSub>
      </m:oMath>
      <w:r w:rsidR="00484964">
        <w:rPr>
          <w:rFonts w:hint="eastAsia"/>
        </w:rPr>
        <w:t>对回归</w:t>
      </w:r>
      <w:r>
        <w:rPr>
          <w:rFonts w:hint="eastAsia"/>
        </w:rPr>
        <w:t>进行控制。</w:t>
      </w:r>
      <w:r w:rsidR="00082282">
        <w:rPr>
          <w:rFonts w:hint="eastAsia"/>
        </w:rPr>
        <w:t>从前文的样本描述性统计中可以发现，</w:t>
      </w:r>
      <w:r w:rsidR="00BA74B5">
        <w:rPr>
          <w:rFonts w:hint="eastAsia"/>
        </w:rPr>
        <w:t>我国的证券研究行业仍然处于</w:t>
      </w:r>
      <w:r w:rsidR="00032C9B">
        <w:rPr>
          <w:rFonts w:hint="eastAsia"/>
        </w:rPr>
        <w:t>快速发展阶段，</w:t>
      </w:r>
      <w:r w:rsidR="00827030">
        <w:fldChar w:fldCharType="begin"/>
      </w:r>
      <w:r w:rsidR="00827030">
        <w:instrText xml:space="preserve"> </w:instrText>
      </w:r>
      <w:r w:rsidR="00827030">
        <w:rPr>
          <w:rFonts w:hint="eastAsia"/>
        </w:rPr>
        <w:instrText>REF _Ref509514263 \h</w:instrText>
      </w:r>
      <w:r w:rsidR="00827030">
        <w:instrText xml:space="preserve"> </w:instrText>
      </w:r>
      <w:r w:rsidR="00827030">
        <w:fldChar w:fldCharType="separate"/>
      </w:r>
      <w:r w:rsidR="00827030">
        <w:rPr>
          <w:rFonts w:hint="eastAsia"/>
        </w:rPr>
        <w:t>图</w:t>
      </w:r>
      <w:r w:rsidR="00827030">
        <w:rPr>
          <w:noProof/>
        </w:rPr>
        <w:t>4</w:t>
      </w:r>
      <w:r w:rsidR="00827030">
        <w:fldChar w:fldCharType="end"/>
      </w:r>
      <w:r w:rsidR="00827030">
        <w:rPr>
          <w:rFonts w:hint="eastAsia"/>
        </w:rPr>
        <w:t>中</w:t>
      </w:r>
      <w:r w:rsidR="00082282">
        <w:rPr>
          <w:rFonts w:hint="eastAsia"/>
        </w:rPr>
        <w:t>左图同样显示</w:t>
      </w:r>
      <w:r w:rsidR="00B5640B">
        <w:rPr>
          <w:rFonts w:hint="eastAsia"/>
        </w:rPr>
        <w:t>在标准化之前各月的报告数量呈现明显的逐年增长趋势</w:t>
      </w:r>
      <w:r w:rsidR="00082282">
        <w:rPr>
          <w:rFonts w:hint="eastAsia"/>
        </w:rPr>
        <w:t>。</w:t>
      </w:r>
      <w:r w:rsidR="00B5640B">
        <w:rPr>
          <w:rFonts w:hint="eastAsia"/>
        </w:rPr>
        <w:t>因此本文采用各月报告占当年报告总数的比例对其进行标准化，剔除了</w:t>
      </w:r>
      <w:r w:rsidR="00082282">
        <w:rPr>
          <w:rFonts w:hint="eastAsia"/>
        </w:rPr>
        <w:t>报告</w:t>
      </w:r>
      <w:r w:rsidR="00B5640B">
        <w:rPr>
          <w:rFonts w:hint="eastAsia"/>
        </w:rPr>
        <w:t>数量的时间趋势</w:t>
      </w:r>
      <w:r w:rsidR="00082282">
        <w:rPr>
          <w:rFonts w:hint="eastAsia"/>
        </w:rPr>
        <w:t>，剔除后的变量散点图如</w:t>
      </w:r>
      <w:r w:rsidR="00082282">
        <w:fldChar w:fldCharType="begin"/>
      </w:r>
      <w:r w:rsidR="00082282">
        <w:instrText xml:space="preserve"> </w:instrText>
      </w:r>
      <w:r w:rsidR="00082282">
        <w:rPr>
          <w:rFonts w:hint="eastAsia"/>
        </w:rPr>
        <w:instrText>REF _Ref509514263 \h</w:instrText>
      </w:r>
      <w:r w:rsidR="00082282">
        <w:instrText xml:space="preserve"> </w:instrText>
      </w:r>
      <w:r w:rsidR="00082282">
        <w:fldChar w:fldCharType="separate"/>
      </w:r>
      <w:r w:rsidR="00082282">
        <w:rPr>
          <w:rFonts w:hint="eastAsia"/>
        </w:rPr>
        <w:t>图</w:t>
      </w:r>
      <w:r w:rsidR="00082282">
        <w:rPr>
          <w:noProof/>
        </w:rPr>
        <w:t>4</w:t>
      </w:r>
      <w:r w:rsidR="00082282">
        <w:fldChar w:fldCharType="end"/>
      </w:r>
      <w:r w:rsidR="00082282">
        <w:rPr>
          <w:rFonts w:hint="eastAsia"/>
        </w:rPr>
        <w:t>中右图所示，不再与时间相关</w:t>
      </w:r>
      <w:r w:rsidR="00B5640B">
        <w:rPr>
          <w:rFonts w:hint="eastAsia"/>
        </w:rPr>
        <w:t>。</w:t>
      </w:r>
    </w:p>
    <w:p w14:paraId="46733B67" w14:textId="77777777" w:rsidR="00082282" w:rsidRDefault="00082282" w:rsidP="003F7B52">
      <w:pPr>
        <w:rPr>
          <w:rFonts w:hint="eastAsia"/>
        </w:rPr>
      </w:pPr>
    </w:p>
    <w:p w14:paraId="5D030612" w14:textId="77777777" w:rsidR="00B5640B" w:rsidRDefault="00032C9B" w:rsidP="00B5640B">
      <w:pPr>
        <w:pStyle w:val="ad"/>
      </w:pPr>
      <w:r w:rsidRPr="00032C9B">
        <w:rPr>
          <w:rFonts w:hint="eastAsia"/>
          <w:noProof/>
        </w:rPr>
        <w:drawing>
          <wp:inline distT="0" distB="0" distL="0" distR="0" wp14:anchorId="36C5D4D6" wp14:editId="42AFA0BE">
            <wp:extent cx="2540000"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r w:rsidRPr="00032C9B">
        <w:rPr>
          <w:rFonts w:hint="eastAsia"/>
          <w:noProof/>
        </w:rPr>
        <w:drawing>
          <wp:inline distT="0" distB="0" distL="0" distR="0" wp14:anchorId="797739A0" wp14:editId="010AF255">
            <wp:extent cx="2540000" cy="254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06520993" w14:textId="7CE563CB" w:rsidR="00B5640B" w:rsidRDefault="00B5640B" w:rsidP="00B5640B">
      <w:pPr>
        <w:pStyle w:val="ad"/>
        <w:rPr>
          <w:rFonts w:hint="eastAsia"/>
        </w:rPr>
      </w:pPr>
      <w:bookmarkStart w:id="24" w:name="_Ref50951426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4</w:t>
      </w:r>
      <w:r>
        <w:fldChar w:fldCharType="end"/>
      </w:r>
      <w:bookmarkEnd w:id="24"/>
      <w:r>
        <w:t xml:space="preserve"> </w:t>
      </w:r>
      <w:r w:rsidR="0040036C">
        <w:rPr>
          <w:rFonts w:hint="eastAsia"/>
        </w:rPr>
        <w:t>标准化前（左）后（右）</w:t>
      </w:r>
      <w:r>
        <w:rPr>
          <w:rFonts w:hint="eastAsia"/>
        </w:rPr>
        <w:t>报告数量变化趋势</w:t>
      </w:r>
    </w:p>
    <w:p w14:paraId="2DF64265" w14:textId="580CD62D" w:rsidR="00032C9B" w:rsidRDefault="00032C9B" w:rsidP="00395397"/>
    <w:p w14:paraId="7F815CED" w14:textId="23C02D91" w:rsidR="00B5640B" w:rsidRPr="00B5640B" w:rsidRDefault="00B5640B" w:rsidP="00B5640B">
      <w:r>
        <w:rPr>
          <w:rFonts w:hint="eastAsia"/>
        </w:rPr>
        <w:t>微观层次的</w:t>
      </w:r>
      <w:r w:rsidR="00395397">
        <w:rPr>
          <w:rFonts w:hint="eastAsia"/>
        </w:rPr>
        <w:t>分析主要是从研究报告的维度出发，</w:t>
      </w:r>
      <w:r>
        <w:rPr>
          <w:rFonts w:hint="eastAsia"/>
        </w:rPr>
        <w:t>回归模型如下</w:t>
      </w:r>
    </w:p>
    <w:p w14:paraId="25F820E8" w14:textId="453DF308" w:rsidR="00484964" w:rsidRPr="001E166E" w:rsidRDefault="007549BC" w:rsidP="003F7B52">
      <w:pPr>
        <w:ind w:firstLine="400"/>
        <w:rPr>
          <w:sz w:val="21"/>
        </w:rPr>
      </w:pPr>
      <m:oMathPara>
        <m:oMath>
          <m:func>
            <m:funcPr>
              <m:ctrlPr>
                <w:rPr>
                  <w:rFonts w:ascii="Cambria Math" w:hAnsi="Cambria Math"/>
                  <w:sz w:val="20"/>
                </w:rPr>
              </m:ctrlPr>
            </m:funcPr>
            <m:fName>
              <m:r>
                <m:rPr>
                  <m:sty m:val="p"/>
                </m:rPr>
                <w:rPr>
                  <w:rFonts w:ascii="Cambria Math" w:hAnsi="Cambria Math"/>
                  <w:sz w:val="20"/>
                </w:rPr>
                <m:t>log</m:t>
              </m:r>
            </m:fName>
            <m:e>
              <m:d>
                <m:dPr>
                  <m:ctrlPr>
                    <w:rPr>
                      <w:rFonts w:ascii="Cambria Math" w:hAnsi="Cambria Math"/>
                      <w:sz w:val="20"/>
                    </w:rPr>
                  </m:ctrlPr>
                </m:dPr>
                <m:e>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r</m:t>
                              </m:r>
                              <m:r>
                                <w:rPr>
                                  <w:rFonts w:ascii="Cambria Math" w:hAnsi="Cambria Math"/>
                                  <w:sz w:val="20"/>
                                </w:rPr>
                                <m:t>l</m:t>
                              </m:r>
                              <m:r>
                                <w:rPr>
                                  <w:rFonts w:ascii="Cambria Math" w:hAnsi="Cambria Math"/>
                                  <w:sz w:val="20"/>
                                </w:rPr>
                                <m:t>s</m:t>
                              </m:r>
                            </m:e>
                            <m:sub>
                              <m:r>
                                <w:rPr>
                                  <w:rFonts w:ascii="Cambria Math" w:hAnsi="Cambria Math"/>
                                  <w:sz w:val="20"/>
                                </w:rPr>
                                <m:t>i,t</m:t>
                              </m:r>
                            </m:sub>
                          </m:sSub>
                        </m:e>
                      </m:d>
                    </m:num>
                    <m:den>
                      <m:r>
                        <w:rPr>
                          <w:rFonts w:ascii="Cambria Math" w:hAnsi="Cambria Math"/>
                          <w:sz w:val="20"/>
                        </w:rPr>
                        <m:t>1-P</m:t>
                      </m:r>
                      <m:d>
                        <m:dPr>
                          <m:ctrlPr>
                            <w:rPr>
                              <w:rFonts w:ascii="Cambria Math" w:hAnsi="Cambria Math"/>
                              <w:i/>
                              <w:sz w:val="20"/>
                            </w:rPr>
                          </m:ctrlPr>
                        </m:dPr>
                        <m:e>
                          <m:sSub>
                            <m:sSubPr>
                              <m:ctrlPr>
                                <w:rPr>
                                  <w:rFonts w:ascii="Cambria Math" w:hAnsi="Cambria Math"/>
                                  <w:sz w:val="20"/>
                                </w:rPr>
                              </m:ctrlPr>
                            </m:sSubPr>
                            <m:e>
                              <m:r>
                                <w:rPr>
                                  <w:rFonts w:ascii="Cambria Math" w:hAnsi="Cambria Math"/>
                                  <w:sz w:val="20"/>
                                </w:rPr>
                                <m:t>r</m:t>
                              </m:r>
                              <m:r>
                                <w:rPr>
                                  <w:rFonts w:ascii="Cambria Math" w:hAnsi="Cambria Math" w:hint="eastAsia"/>
                                  <w:sz w:val="20"/>
                                </w:rPr>
                                <m:t>l</m:t>
                              </m:r>
                              <m:r>
                                <w:rPr>
                                  <w:rFonts w:ascii="Cambria Math" w:hAnsi="Cambria Math"/>
                                  <w:sz w:val="20"/>
                                </w:rPr>
                                <m:t>s</m:t>
                              </m:r>
                            </m:e>
                            <m:sub>
                              <m:r>
                                <w:rPr>
                                  <w:rFonts w:ascii="Cambria Math" w:hAnsi="Cambria Math"/>
                                  <w:sz w:val="20"/>
                                </w:rPr>
                                <m:t>i,t</m:t>
                              </m:r>
                            </m:sub>
                          </m:sSub>
                        </m:e>
                      </m:d>
                    </m:den>
                  </m:f>
                </m:e>
              </m:d>
            </m:e>
          </m:func>
          <m:r>
            <m:rPr>
              <m:sty m:val="p"/>
            </m:rPr>
            <w:rPr>
              <w:rFonts w:ascii="Cambria Math" w:hAnsi="Cambria Math"/>
              <w:sz w:val="20"/>
            </w:rPr>
            <m:t>=α</m:t>
          </m:r>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AbTURN</m:t>
              </m:r>
            </m:e>
            <m:sub>
              <m:r>
                <w:rPr>
                  <w:rFonts w:ascii="Cambria Math" w:hAnsi="Cambria Math"/>
                  <w:sz w:val="20"/>
                </w:rPr>
                <m:t>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Attention</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Firmsize</m:t>
              </m:r>
            </m:e>
            <m:sub>
              <m:r>
                <w:rPr>
                  <w:rFonts w:ascii="Cambria Math" w:hAnsi="Cambria Math"/>
                  <w:sz w:val="20"/>
                </w:rPr>
                <m:t>i</m:t>
              </m:r>
            </m:sub>
          </m:sSub>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β</m:t>
              </m:r>
            </m:e>
            <m:sub>
              <m:r>
                <w:rPr>
                  <w:rFonts w:ascii="Cambria Math" w:hAnsi="Cambria Math"/>
                  <w:sz w:val="20"/>
                </w:rPr>
                <m:t>4</m:t>
              </m:r>
            </m:sub>
          </m:sSub>
          <m:r>
            <w:rPr>
              <w:rFonts w:ascii="Cambria Math" w:hAnsi="Cambria Math"/>
              <w:sz w:val="20"/>
            </w:rPr>
            <m:t>*</m:t>
          </m:r>
          <m:sSub>
            <m:sSubPr>
              <m:ctrlPr>
                <w:rPr>
                  <w:rFonts w:ascii="Cambria Math" w:hAnsi="Cambria Math"/>
                  <w:i/>
                  <w:sz w:val="20"/>
                </w:rPr>
              </m:ctrlPr>
            </m:sSubPr>
            <m:e>
              <m:r>
                <w:rPr>
                  <w:rFonts w:ascii="Cambria Math" w:hAnsi="Cambria Math"/>
                  <w:sz w:val="20"/>
                </w:rPr>
                <m:t>Profit</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ε</m:t>
              </m:r>
            </m:e>
            <m:sub>
              <m:r>
                <w:rPr>
                  <w:rFonts w:ascii="Cambria Math" w:hAnsi="Cambria Math"/>
                  <w:sz w:val="20"/>
                </w:rPr>
                <m:t>i,t</m:t>
              </m:r>
            </m:sub>
          </m:sSub>
        </m:oMath>
      </m:oMathPara>
    </w:p>
    <w:p w14:paraId="497A338D" w14:textId="38BF06D0" w:rsidR="0003193D" w:rsidRDefault="00D55F64" w:rsidP="002C259D">
      <w:r>
        <w:rPr>
          <w:rFonts w:hint="eastAsia"/>
        </w:rPr>
        <w:t>其中当第</w:t>
      </w:r>
      <w:r>
        <w:rPr>
          <w:rFonts w:hint="eastAsia"/>
        </w:rPr>
        <w:t>t</w:t>
      </w:r>
      <w:r>
        <w:rPr>
          <w:rFonts w:hint="eastAsia"/>
        </w:rPr>
        <w:t>月有分析师针对公司</w:t>
      </w:r>
      <w:r>
        <w:rPr>
          <w:rFonts w:hint="eastAsia"/>
        </w:rPr>
        <w:t>i</w:t>
      </w:r>
      <w:r>
        <w:rPr>
          <w:rFonts w:hint="eastAsia"/>
        </w:rPr>
        <w:t>发布深度研究报告时，</w:t>
      </w:r>
      <m:oMath>
        <m:sSub>
          <m:sSubPr>
            <m:ctrlPr>
              <w:rPr>
                <w:rFonts w:ascii="Cambria Math" w:hAnsi="Cambria Math"/>
              </w:rPr>
            </m:ctrlPr>
          </m:sSubPr>
          <m:e>
            <m:r>
              <w:rPr>
                <w:rFonts w:ascii="Cambria Math" w:hAnsi="Cambria Math"/>
              </w:rPr>
              <m:t>r</m:t>
            </m:r>
            <m:r>
              <w:rPr>
                <w:rFonts w:ascii="Cambria Math" w:hAnsi="Cambria Math"/>
              </w:rPr>
              <m:t>l</m:t>
            </m:r>
            <m:r>
              <w:rPr>
                <w:rFonts w:ascii="Cambria Math" w:hAnsi="Cambria Math"/>
              </w:rPr>
              <m:t>s</m:t>
            </m:r>
          </m:e>
          <m:sub>
            <m:r>
              <w:rPr>
                <w:rFonts w:ascii="Cambria Math" w:hAnsi="Cambria Math"/>
              </w:rPr>
              <m:t>i,t</m:t>
            </m:r>
          </m:sub>
        </m:sSub>
        <m:r>
          <w:rPr>
            <w:rFonts w:ascii="Cambria Math" w:hAnsi="Cambria Math"/>
          </w:rPr>
          <m:t>=1</m:t>
        </m:r>
      </m:oMath>
      <w:r>
        <w:rPr>
          <w:rFonts w:hint="eastAsia"/>
        </w:rPr>
        <w:t>，否则为</w:t>
      </w:r>
      <m:oMath>
        <m:r>
          <m:rPr>
            <m:sty m:val="p"/>
          </m:rP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AbTURN</m:t>
            </m:r>
          </m:e>
          <m:sub>
            <m:r>
              <w:rPr>
                <w:rFonts w:ascii="Cambria Math" w:hAnsi="Cambria Math"/>
              </w:rPr>
              <m:t>i,t</m:t>
            </m:r>
          </m:sub>
        </m:sSub>
      </m:oMath>
      <w:r>
        <w:rPr>
          <w:rFonts w:hint="eastAsia"/>
        </w:rPr>
        <w:t>为异常换手率，计算方法见前文</w:t>
      </w:r>
      <w:r w:rsidR="0040036C">
        <w:rPr>
          <w:rFonts w:hint="eastAsia"/>
        </w:rPr>
        <w:t>关键变量计算部分</w:t>
      </w:r>
      <w:r>
        <w:rPr>
          <w:rFonts w:hint="eastAsia"/>
        </w:rPr>
        <w:t>。</w:t>
      </w:r>
      <m:oMath>
        <m:sSub>
          <m:sSubPr>
            <m:ctrlPr>
              <w:rPr>
                <w:rFonts w:ascii="Cambria Math" w:hAnsi="Cambria Math"/>
                <w:i/>
              </w:rPr>
            </m:ctrlPr>
          </m:sSubPr>
          <m:e>
            <m:r>
              <w:rPr>
                <w:rFonts w:ascii="Cambria Math" w:hAnsi="Cambria Math"/>
              </w:rPr>
              <m:t>Attention</m:t>
            </m:r>
          </m:e>
          <m:sub>
            <m:r>
              <w:rPr>
                <w:rFonts w:ascii="Cambria Math" w:hAnsi="Cambria Math"/>
              </w:rPr>
              <m:t>i</m:t>
            </m:r>
          </m:sub>
        </m:sSub>
      </m:oMath>
      <w:r w:rsidR="002C259D">
        <w:rPr>
          <w:rFonts w:hint="eastAsia"/>
        </w:rPr>
        <w:t>、</w:t>
      </w:r>
      <m:oMath>
        <m:sSub>
          <m:sSubPr>
            <m:ctrlPr>
              <w:rPr>
                <w:rFonts w:ascii="Cambria Math" w:hAnsi="Cambria Math"/>
                <w:i/>
              </w:rPr>
            </m:ctrlPr>
          </m:sSubPr>
          <m:e>
            <m:r>
              <w:rPr>
                <w:rFonts w:ascii="Cambria Math" w:hAnsi="Cambria Math"/>
              </w:rPr>
              <m:t>Firmsize</m:t>
            </m:r>
          </m:e>
          <m:sub>
            <m:r>
              <w:rPr>
                <w:rFonts w:ascii="Cambria Math" w:hAnsi="Cambria Math"/>
              </w:rPr>
              <m:t>i</m:t>
            </m:r>
          </m:sub>
        </m:sSub>
      </m:oMath>
      <w:r w:rsidR="002C259D">
        <w:rPr>
          <w:rFonts w:hint="eastAsia"/>
        </w:rPr>
        <w:t>、</w:t>
      </w:r>
      <m:oMath>
        <m:sSub>
          <m:sSubPr>
            <m:ctrlPr>
              <w:rPr>
                <w:rFonts w:ascii="Cambria Math" w:hAnsi="Cambria Math"/>
                <w:i/>
              </w:rPr>
            </m:ctrlPr>
          </m:sSubPr>
          <m:e>
            <m:r>
              <w:rPr>
                <w:rFonts w:ascii="Cambria Math" w:hAnsi="Cambria Math"/>
              </w:rPr>
              <m:t>Profit</m:t>
            </m:r>
          </m:e>
          <m:sub>
            <m:r>
              <w:rPr>
                <w:rFonts w:ascii="Cambria Math" w:hAnsi="Cambria Math"/>
              </w:rPr>
              <m:t>i</m:t>
            </m:r>
          </m:sub>
        </m:sSub>
      </m:oMath>
      <w:r w:rsidR="002C259D">
        <w:rPr>
          <w:rFonts w:hint="eastAsia"/>
        </w:rPr>
        <w:t>为控制变量：</w:t>
      </w:r>
    </w:p>
    <w:p w14:paraId="79089D0C" w14:textId="5888D77B" w:rsidR="0003193D" w:rsidRDefault="008E4C6B" w:rsidP="002C259D">
      <w:r>
        <w:rPr>
          <w:rFonts w:hint="eastAsia"/>
        </w:rPr>
        <w:t>1</w:t>
      </w:r>
      <w:r>
        <w:rPr>
          <w:rFonts w:hint="eastAsia"/>
        </w:rPr>
        <w:t>）</w:t>
      </w:r>
      <w:r w:rsidR="002C259D">
        <w:rPr>
          <w:rFonts w:hint="eastAsia"/>
        </w:rPr>
        <w:t>由于分析师跟踪行为受到同业竞争的影响，因此本文对此因素进行控制，</w:t>
      </w:r>
      <w:r w:rsidR="00595646">
        <w:rPr>
          <w:rFonts w:hint="eastAsia"/>
        </w:rPr>
        <w:lastRenderedPageBreak/>
        <w:t>分别</w:t>
      </w:r>
      <w:r w:rsidR="002C259D">
        <w:rPr>
          <w:rFonts w:hint="eastAsia"/>
        </w:rPr>
        <w:t>采用分析师跟踪数量</w:t>
      </w:r>
      <m:oMath>
        <m:r>
          <w:rPr>
            <w:rFonts w:ascii="Cambria Math" w:hAnsi="Cambria Math"/>
          </w:rPr>
          <m:t>AnaAttention</m:t>
        </m:r>
      </m:oMath>
      <w:r w:rsidR="002C259D">
        <w:rPr>
          <w:rFonts w:hint="eastAsia"/>
        </w:rPr>
        <w:t>和报告数量</w:t>
      </w:r>
      <m:oMath>
        <m:r>
          <w:rPr>
            <w:rFonts w:ascii="Cambria Math" w:hAnsi="Cambria Math"/>
          </w:rPr>
          <m:t>RptAttention</m:t>
        </m:r>
      </m:oMath>
      <w:r w:rsidR="00932DC6">
        <w:rPr>
          <w:rFonts w:hint="eastAsia"/>
        </w:rPr>
        <w:t>两种方式度量研究标的</w:t>
      </w:r>
      <w:r w:rsidR="0040036C">
        <w:rPr>
          <w:rFonts w:hint="eastAsia"/>
        </w:rPr>
        <w:t>公司</w:t>
      </w:r>
      <m:oMath>
        <m:r>
          <w:rPr>
            <w:rFonts w:ascii="Cambria Math" w:hAnsi="Cambria Math" w:hint="eastAsia"/>
          </w:rPr>
          <m:t>i</m:t>
        </m:r>
      </m:oMath>
      <w:r w:rsidR="002C259D">
        <w:rPr>
          <w:rFonts w:hint="eastAsia"/>
        </w:rPr>
        <w:t>的关注度；</w:t>
      </w:r>
    </w:p>
    <w:p w14:paraId="288DC607" w14:textId="77777777" w:rsidR="0003193D" w:rsidRDefault="008E4C6B" w:rsidP="002C259D">
      <w:r>
        <w:rPr>
          <w:rFonts w:hint="eastAsia"/>
        </w:rPr>
        <w:t>2</w:t>
      </w:r>
      <w:r>
        <w:rPr>
          <w:rFonts w:hint="eastAsia"/>
        </w:rPr>
        <w:t>）</w:t>
      </w:r>
      <w:r w:rsidR="002C259D">
        <w:rPr>
          <w:rFonts w:hint="eastAsia"/>
        </w:rPr>
        <w:t>由于分析师跟踪行为与公司规模高度正相关，因此本文对此因素进行控制，参考已有相</w:t>
      </w:r>
      <w:r w:rsidR="00932DC6">
        <w:rPr>
          <w:rFonts w:hint="eastAsia"/>
        </w:rPr>
        <w:t>关研究，本文拟采用公司年初总市值和公司年初总资产衡量公司规模，当</w:t>
      </w:r>
      <w:r w:rsidR="002C259D">
        <w:rPr>
          <w:rFonts w:hint="eastAsia"/>
        </w:rPr>
        <w:t>公司的</w:t>
      </w:r>
      <w:r w:rsidR="00932DC6">
        <w:rPr>
          <w:rFonts w:hint="eastAsia"/>
        </w:rPr>
        <w:t>年初</w:t>
      </w:r>
      <w:r w:rsidR="002C259D">
        <w:rPr>
          <w:rFonts w:hint="eastAsia"/>
        </w:rPr>
        <w:t>总市值或</w:t>
      </w:r>
      <w:r w:rsidR="00932DC6">
        <w:rPr>
          <w:rFonts w:hint="eastAsia"/>
        </w:rPr>
        <w:t>年初</w:t>
      </w:r>
      <w:r w:rsidR="002C259D">
        <w:rPr>
          <w:rFonts w:hint="eastAsia"/>
        </w:rPr>
        <w:t>总资产高于所在行业的中位数水平时</w:t>
      </w:r>
      <m:oMath>
        <m:sSub>
          <m:sSubPr>
            <m:ctrlPr>
              <w:rPr>
                <w:rFonts w:ascii="Cambria Math" w:hAnsi="Cambria Math"/>
                <w:i/>
              </w:rPr>
            </m:ctrlPr>
          </m:sSubPr>
          <m:e>
            <m:r>
              <w:rPr>
                <w:rFonts w:ascii="Cambria Math" w:hAnsi="Cambria Math"/>
              </w:rPr>
              <m:t>Firmsize</m:t>
            </m:r>
          </m:e>
          <m:sub>
            <m:r>
              <w:rPr>
                <w:rFonts w:ascii="Cambria Math" w:hAnsi="Cambria Math"/>
              </w:rPr>
              <m:t>i</m:t>
            </m:r>
          </m:sub>
        </m:sSub>
        <m:r>
          <w:rPr>
            <w:rFonts w:ascii="Cambria Math" w:hAnsi="Cambria Math" w:hint="eastAsia"/>
          </w:rPr>
          <m:t>=1</m:t>
        </m:r>
      </m:oMath>
      <w:r w:rsidR="008567D1">
        <w:rPr>
          <w:rFonts w:hint="eastAsia"/>
        </w:rPr>
        <w:t>，否则为</w:t>
      </w:r>
      <w:r w:rsidR="008567D1">
        <w:rPr>
          <w:rFonts w:hint="eastAsia"/>
        </w:rPr>
        <w:t>0</w:t>
      </w:r>
      <w:r w:rsidR="008567D1">
        <w:rPr>
          <w:rFonts w:hint="eastAsia"/>
        </w:rPr>
        <w:t>；</w:t>
      </w:r>
    </w:p>
    <w:p w14:paraId="516DC56B" w14:textId="12C04D2B" w:rsidR="008567D1" w:rsidRPr="008567D1" w:rsidRDefault="008E4C6B" w:rsidP="002C259D">
      <w:r>
        <w:rPr>
          <w:rFonts w:hint="eastAsia"/>
        </w:rPr>
        <w:t>3</w:t>
      </w:r>
      <w:r>
        <w:rPr>
          <w:rFonts w:hint="eastAsia"/>
        </w:rPr>
        <w:t>）</w:t>
      </w:r>
      <w:r w:rsidR="008567D1">
        <w:rPr>
          <w:rFonts w:hint="eastAsia"/>
        </w:rPr>
        <w:t>此外，随着我国的证券研究行业逐渐成熟，分析师对公司基本面的关注越来越落足于公司的盈利能力，因此加入</w:t>
      </w:r>
      <m:oMath>
        <m:sSub>
          <m:sSubPr>
            <m:ctrlPr>
              <w:rPr>
                <w:rFonts w:ascii="Cambria Math" w:hAnsi="Cambria Math"/>
                <w:i/>
              </w:rPr>
            </m:ctrlPr>
          </m:sSubPr>
          <m:e>
            <m:r>
              <w:rPr>
                <w:rFonts w:ascii="Cambria Math" w:hAnsi="Cambria Math"/>
              </w:rPr>
              <m:t>Profit</m:t>
            </m:r>
          </m:e>
          <m:sub>
            <m:r>
              <w:rPr>
                <w:rFonts w:ascii="Cambria Math" w:hAnsi="Cambria Math"/>
              </w:rPr>
              <m:t>i</m:t>
            </m:r>
          </m:sub>
        </m:sSub>
      </m:oMath>
      <w:r w:rsidR="008567D1">
        <w:rPr>
          <w:rFonts w:hint="eastAsia"/>
        </w:rPr>
        <w:t>控制公司收益水平的影响，考虑到许多行业尤其是制造业公司的收益率有明显的季度周期性，因此</w:t>
      </w:r>
      <w:r w:rsidR="0040036C">
        <w:rPr>
          <w:rFonts w:hint="eastAsia"/>
        </w:rPr>
        <w:t>本文</w:t>
      </w:r>
      <w:r w:rsidR="008567D1">
        <w:rPr>
          <w:rFonts w:hint="eastAsia"/>
        </w:rPr>
        <w:t>采用公司上年</w:t>
      </w:r>
      <w:r w:rsidR="000D6891">
        <w:rPr>
          <w:rFonts w:hint="eastAsia"/>
        </w:rPr>
        <w:t>末</w:t>
      </w:r>
      <w:r w:rsidR="008567D1">
        <w:rPr>
          <w:rFonts w:hint="eastAsia"/>
        </w:rPr>
        <w:t>的</w:t>
      </w:r>
      <m:oMath>
        <m:r>
          <w:rPr>
            <w:rFonts w:ascii="Cambria Math" w:hAnsi="Cambria Math"/>
          </w:rPr>
          <m:t>ROA</m:t>
        </m:r>
      </m:oMath>
      <w:r w:rsidR="008567D1">
        <w:rPr>
          <w:rFonts w:hint="eastAsia"/>
        </w:rPr>
        <w:t>和</w:t>
      </w:r>
      <m:oMath>
        <m:r>
          <w:rPr>
            <w:rFonts w:ascii="Cambria Math" w:hAnsi="Cambria Math"/>
          </w:rPr>
          <m:t>ROE</m:t>
        </m:r>
      </m:oMath>
      <w:r w:rsidR="008567D1">
        <w:rPr>
          <w:rFonts w:hint="eastAsia"/>
        </w:rPr>
        <w:t>度量公司盈利水平。</w:t>
      </w:r>
    </w:p>
    <w:p w14:paraId="3133A44A" w14:textId="668385F9" w:rsidR="008567D1" w:rsidRDefault="008567D1" w:rsidP="008567D1">
      <w:r>
        <w:rPr>
          <w:rFonts w:hint="eastAsia"/>
        </w:rPr>
        <w:t>为了检验假设</w:t>
      </w:r>
      <w:r>
        <w:rPr>
          <w:rFonts w:hint="eastAsia"/>
        </w:rPr>
        <w:t>2</w:t>
      </w:r>
      <w:r w:rsidR="00DA1D2A">
        <w:rPr>
          <w:rFonts w:hint="eastAsia"/>
        </w:rPr>
        <w:t>，本文建立</w:t>
      </w:r>
      <w:r w:rsidR="000D6891">
        <w:rPr>
          <w:rFonts w:hint="eastAsia"/>
        </w:rPr>
        <w:t>以下</w:t>
      </w:r>
      <w:r>
        <w:rPr>
          <w:rFonts w:hint="eastAsia"/>
        </w:rPr>
        <w:t>模型进行验证：</w:t>
      </w:r>
    </w:p>
    <w:p w14:paraId="4E70D29E" w14:textId="3ECA2D89" w:rsidR="008567D1" w:rsidRPr="00E31722" w:rsidRDefault="007549BC" w:rsidP="008567D1">
      <w:pPr>
        <w:ind w:firstLine="440"/>
        <w:rPr>
          <w:sz w:val="22"/>
        </w:rPr>
      </w:pPr>
      <m:oMathPara>
        <m:oMath>
          <m:sSub>
            <m:sSubPr>
              <m:ctrlPr>
                <w:rPr>
                  <w:rFonts w:ascii="Cambria Math" w:hAnsi="Cambria Math"/>
                  <w:sz w:val="22"/>
                </w:rPr>
              </m:ctrlPr>
            </m:sSubPr>
            <m:e>
              <m:r>
                <w:rPr>
                  <w:rFonts w:ascii="Cambria Math" w:hAnsi="Cambria Math"/>
                  <w:sz w:val="22"/>
                </w:rPr>
                <m:t>dr2</m:t>
              </m:r>
            </m:e>
            <m:sub>
              <m:r>
                <w:rPr>
                  <w:rFonts w:ascii="Cambria Math" w:hAnsi="Cambria Math"/>
                  <w:sz w:val="22"/>
                </w:rPr>
                <m:t>i</m:t>
              </m:r>
            </m:sub>
          </m:sSub>
          <m:r>
            <w:rPr>
              <w:rFonts w:ascii="Cambria Math" w:hAnsi="Cambria Math"/>
              <w:sz w:val="22"/>
            </w:rPr>
            <m:t>=</m:t>
          </m:r>
          <m:r>
            <w:rPr>
              <w:rFonts w:ascii="Cambria Math" w:hAnsi="Cambria Math" w:hint="eastAsia"/>
              <w:sz w:val="22"/>
            </w:rPr>
            <m:t>α+</m:t>
          </m:r>
          <m:sSub>
            <m:sSubPr>
              <m:ctrlPr>
                <w:rPr>
                  <w:rFonts w:ascii="Cambria Math" w:hAnsi="Cambria Math"/>
                  <w:i/>
                  <w:sz w:val="22"/>
                </w:rPr>
              </m:ctrlPr>
            </m:sSubPr>
            <m:e>
              <m:r>
                <w:rPr>
                  <w:rFonts w:ascii="Cambria Math" w:hAnsi="Cambria Math" w:hint="eastAsia"/>
                  <w:sz w:val="22"/>
                </w:rPr>
                <m:t>β</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SENT</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β</m:t>
              </m:r>
            </m:e>
            <m:sub>
              <m:r>
                <w:rPr>
                  <w:rFonts w:ascii="Cambria Math" w:hAnsi="Cambria Math" w:hint="eastAsia"/>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LastSTAR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β</m:t>
              </m:r>
            </m:e>
            <m:sub>
              <m:r>
                <w:rPr>
                  <w:rFonts w:ascii="Cambria Math" w:hAnsi="Cambria Math" w:hint="eastAsia"/>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r>
                <w:rPr>
                  <w:rFonts w:ascii="Cambria Math" w:hAnsi="Cambria Math" w:hint="eastAsia"/>
                  <w:sz w:val="22"/>
                </w:rPr>
                <m:t>ating</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β</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r>
                <w:rPr>
                  <w:rFonts w:ascii="Cambria Math" w:hAnsi="Cambria Math" w:hint="eastAsia"/>
                  <w:sz w:val="22"/>
                </w:rPr>
                <m:t>ycle</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Industry</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ε</m:t>
              </m:r>
            </m:e>
            <m:sub>
              <m:r>
                <w:rPr>
                  <w:rFonts w:ascii="Cambria Math" w:hAnsi="Cambria Math"/>
                  <w:sz w:val="22"/>
                </w:rPr>
                <m:t>i</m:t>
              </m:r>
            </m:sub>
          </m:sSub>
        </m:oMath>
      </m:oMathPara>
    </w:p>
    <w:p w14:paraId="3298DB13" w14:textId="77777777" w:rsidR="007011CE" w:rsidRDefault="0011544E" w:rsidP="008567D1">
      <w:r>
        <w:rPr>
          <w:rFonts w:hint="eastAsia"/>
        </w:rPr>
        <w:t>其中</w:t>
      </w:r>
      <m:oMath>
        <m:sSub>
          <m:sSubPr>
            <m:ctrlPr>
              <w:rPr>
                <w:rFonts w:ascii="Cambria Math" w:hAnsi="Cambria Math"/>
              </w:rPr>
            </m:ctrlPr>
          </m:sSubPr>
          <m:e>
            <m:r>
              <w:rPr>
                <w:rFonts w:ascii="Cambria Math" w:hAnsi="Cambria Math"/>
              </w:rPr>
              <m:t>dr2</m:t>
            </m:r>
          </m:e>
          <m:sub>
            <m:r>
              <w:rPr>
                <w:rFonts w:ascii="Cambria Math" w:hAnsi="Cambria Math"/>
              </w:rPr>
              <m:t>i</m:t>
            </m:r>
          </m:sub>
        </m:sSub>
      </m:oMath>
      <w:r w:rsidR="008E4C6B">
        <w:rPr>
          <w:rFonts w:hint="eastAsia"/>
        </w:rPr>
        <w:t>为同步性变化幅度，计算方法见前文。</w:t>
      </w:r>
      <m:oMath>
        <m:sSub>
          <m:sSubPr>
            <m:ctrlPr>
              <w:rPr>
                <w:rFonts w:ascii="Cambria Math" w:hAnsi="Cambria Math"/>
                <w:i/>
              </w:rPr>
            </m:ctrlPr>
          </m:sSubPr>
          <m:e>
            <m:r>
              <w:rPr>
                <w:rFonts w:ascii="Cambria Math" w:hAnsi="Cambria Math"/>
              </w:rPr>
              <m:t>SENT</m:t>
            </m:r>
          </m:e>
          <m:sub>
            <m:r>
              <w:rPr>
                <w:rFonts w:ascii="Cambria Math" w:hAnsi="Cambria Math"/>
              </w:rPr>
              <m:t>i</m:t>
            </m:r>
          </m:sub>
        </m:sSub>
      </m:oMath>
      <w:r w:rsidR="008E4C6B">
        <w:rPr>
          <w:rFonts w:hint="eastAsia"/>
        </w:rPr>
        <w:t>为投资者情绪的分组变量，按照</w:t>
      </w:r>
      <m:oMath>
        <m:sSub>
          <m:sSubPr>
            <m:ctrlPr>
              <w:rPr>
                <w:rFonts w:ascii="Cambria Math" w:hAnsi="Cambria Math"/>
              </w:rPr>
            </m:ctrlPr>
          </m:sSubPr>
          <m:e>
            <m:r>
              <w:rPr>
                <w:rFonts w:ascii="Cambria Math" w:hAnsi="Cambria Math"/>
              </w:rPr>
              <m:t>A</m:t>
            </m:r>
            <m:r>
              <w:rPr>
                <w:rFonts w:ascii="Cambria Math" w:hAnsi="Cambria Math" w:hint="eastAsia"/>
              </w:rPr>
              <m:t>bTURN</m:t>
            </m:r>
          </m:e>
          <m:sub>
            <m:r>
              <w:rPr>
                <w:rFonts w:ascii="Cambria Math" w:hAnsi="Cambria Math"/>
              </w:rPr>
              <m:t>i</m:t>
            </m:r>
          </m:sub>
        </m:sSub>
      </m:oMath>
      <w:r w:rsidR="008E4C6B">
        <w:rPr>
          <w:rFonts w:hint="eastAsia"/>
        </w:rPr>
        <w:t>的数值从小到大分成五组，分别赋值为</w:t>
      </w:r>
      <w:r w:rsidR="008E4C6B">
        <w:rPr>
          <w:rFonts w:hint="eastAsia"/>
        </w:rPr>
        <w:t>1~5</w:t>
      </w:r>
      <w:r w:rsidR="008E4C6B">
        <w:rPr>
          <w:rFonts w:hint="eastAsia"/>
        </w:rPr>
        <w:t>，数值越大代表投资者情绪越高。</w:t>
      </w:r>
      <m:oMath>
        <m:sSub>
          <m:sSubPr>
            <m:ctrlPr>
              <w:rPr>
                <w:rFonts w:ascii="Cambria Math" w:hAnsi="Cambria Math"/>
                <w:i/>
              </w:rPr>
            </m:ctrlPr>
          </m:sSubPr>
          <m:e>
            <m:r>
              <w:rPr>
                <w:rFonts w:ascii="Cambria Math" w:hAnsi="Cambria Math"/>
              </w:rPr>
              <m:t>LastSTAR</m:t>
            </m:r>
          </m:e>
          <m:sub>
            <m:r>
              <w:rPr>
                <w:rFonts w:ascii="Cambria Math" w:hAnsi="Cambria Math"/>
              </w:rPr>
              <m:t>i</m:t>
            </m:r>
          </m:sub>
        </m:sSub>
      </m:oMath>
      <w:r w:rsidR="008E4C6B">
        <w:rPr>
          <w:rFonts w:hint="eastAsia"/>
        </w:rPr>
        <w:t>、</w:t>
      </w:r>
      <m:oMath>
        <m:sSub>
          <m:sSubPr>
            <m:ctrlPr>
              <w:rPr>
                <w:rFonts w:ascii="Cambria Math" w:hAnsi="Cambria Math"/>
                <w:i/>
              </w:rPr>
            </m:ctrlPr>
          </m:sSubPr>
          <m:e>
            <m:r>
              <w:rPr>
                <w:rFonts w:ascii="Cambria Math" w:hAnsi="Cambria Math"/>
              </w:rPr>
              <m:t>R</m:t>
            </m:r>
            <m:r>
              <w:rPr>
                <w:rFonts w:ascii="Cambria Math" w:hAnsi="Cambria Math" w:hint="eastAsia"/>
              </w:rPr>
              <m:t>ating</m:t>
            </m:r>
          </m:e>
          <m:sub>
            <m:r>
              <w:rPr>
                <w:rFonts w:ascii="Cambria Math" w:hAnsi="Cambria Math"/>
              </w:rPr>
              <m:t>i</m:t>
            </m:r>
          </m:sub>
        </m:sSub>
      </m:oMath>
      <w:r w:rsidR="000D6891">
        <w:rPr>
          <w:rFonts w:hint="eastAsia"/>
        </w:rPr>
        <w:t>、</w:t>
      </w:r>
      <m:oMath>
        <m:sSub>
          <m:sSubPr>
            <m:ctrlPr>
              <w:rPr>
                <w:rFonts w:ascii="Cambria Math" w:hAnsi="Cambria Math"/>
                <w:i/>
              </w:rPr>
            </m:ctrlPr>
          </m:sSubPr>
          <m:e>
            <m:r>
              <w:rPr>
                <w:rFonts w:ascii="Cambria Math" w:hAnsi="Cambria Math"/>
              </w:rPr>
              <m:t>C</m:t>
            </m:r>
            <m:r>
              <w:rPr>
                <w:rFonts w:ascii="Cambria Math" w:hAnsi="Cambria Math" w:hint="eastAsia"/>
              </w:rPr>
              <m:t>ycle</m:t>
            </m:r>
          </m:e>
          <m:sub>
            <m:r>
              <w:rPr>
                <w:rFonts w:ascii="Cambria Math" w:hAnsi="Cambria Math"/>
              </w:rPr>
              <m:t>i</m:t>
            </m:r>
          </m:sub>
        </m:sSub>
      </m:oMath>
      <w:r w:rsidR="008E4C6B">
        <w:rPr>
          <w:rFonts w:hint="eastAsia"/>
        </w:rPr>
        <w:t>和</w:t>
      </w:r>
      <m:oMath>
        <m:sSub>
          <m:sSubPr>
            <m:ctrlPr>
              <w:rPr>
                <w:rFonts w:ascii="Cambria Math" w:hAnsi="Cambria Math"/>
                <w:i/>
              </w:rPr>
            </m:ctrlPr>
          </m:sSubPr>
          <m:e>
            <m:r>
              <w:rPr>
                <w:rFonts w:ascii="Cambria Math" w:hAnsi="Cambria Math"/>
              </w:rPr>
              <m:t>Industry</m:t>
            </m:r>
          </m:e>
          <m:sub>
            <m:r>
              <w:rPr>
                <w:rFonts w:ascii="Cambria Math" w:hAnsi="Cambria Math"/>
              </w:rPr>
              <m:t>i</m:t>
            </m:r>
          </m:sub>
        </m:sSub>
      </m:oMath>
      <w:r w:rsidR="008E4C6B">
        <w:rPr>
          <w:rFonts w:hint="eastAsia"/>
        </w:rPr>
        <w:t>均为控制变量：</w:t>
      </w:r>
    </w:p>
    <w:p w14:paraId="3CF627F4" w14:textId="77777777" w:rsidR="007011CE" w:rsidRDefault="008E4C6B" w:rsidP="008567D1">
      <w:r>
        <w:rPr>
          <w:rFonts w:hint="eastAsia"/>
        </w:rPr>
        <w:t>1</w:t>
      </w:r>
      <w:r>
        <w:rPr>
          <w:rFonts w:hint="eastAsia"/>
        </w:rPr>
        <w:t>）已有研究表明，明星分析师和非明星分析师对市场的影响力存在较大差异，因此对分析师的身份进行控制，本文沿用国内相关研究的做法，当分析师前一年上榜“新财富”最佳分析师时，则</w:t>
      </w:r>
      <m:oMath>
        <m:sSub>
          <m:sSubPr>
            <m:ctrlPr>
              <w:rPr>
                <w:rFonts w:ascii="Cambria Math" w:hAnsi="Cambria Math"/>
                <w:i/>
              </w:rPr>
            </m:ctrlPr>
          </m:sSubPr>
          <m:e>
            <m:r>
              <w:rPr>
                <w:rFonts w:ascii="Cambria Math" w:hAnsi="Cambria Math"/>
              </w:rPr>
              <m:t>LastSTAR</m:t>
            </m:r>
          </m:e>
          <m:sub>
            <m:r>
              <w:rPr>
                <w:rFonts w:ascii="Cambria Math" w:hAnsi="Cambria Math"/>
              </w:rPr>
              <m:t>i</m:t>
            </m:r>
          </m:sub>
        </m:sSub>
        <m:r>
          <w:rPr>
            <w:rFonts w:ascii="Cambria Math" w:hAnsi="Cambria Math" w:hint="eastAsia"/>
          </w:rPr>
          <m:t>=1</m:t>
        </m:r>
      </m:oMath>
      <w:r>
        <w:rPr>
          <w:rFonts w:hint="eastAsia"/>
        </w:rPr>
        <w:t>，否则为</w:t>
      </w:r>
      <w:r>
        <w:rPr>
          <w:rFonts w:hint="eastAsia"/>
        </w:rPr>
        <w:t>0</w:t>
      </w:r>
      <w:r>
        <w:rPr>
          <w:rFonts w:hint="eastAsia"/>
        </w:rPr>
        <w:t>；</w:t>
      </w:r>
    </w:p>
    <w:p w14:paraId="040953E9" w14:textId="553A7C1F" w:rsidR="007011CE" w:rsidRDefault="008E4C6B" w:rsidP="008567D1">
      <w:r>
        <w:rPr>
          <w:rFonts w:hint="eastAsia"/>
        </w:rPr>
        <w:t>2</w:t>
      </w:r>
      <w:r>
        <w:rPr>
          <w:rFonts w:hint="eastAsia"/>
        </w:rPr>
        <w:t>）已有研究表明，</w:t>
      </w:r>
      <w:r w:rsidR="000D6891">
        <w:rPr>
          <w:rFonts w:hint="eastAsia"/>
        </w:rPr>
        <w:t>分析师的不同投资评级信息含量不同，市场并不对分析师给出的中性评级</w:t>
      </w:r>
      <w:r w:rsidR="00E31722">
        <w:rPr>
          <w:rFonts w:hint="eastAsia"/>
        </w:rPr>
        <w:t>作出反应</w:t>
      </w:r>
      <w:r w:rsidR="000D6891">
        <w:rPr>
          <w:rFonts w:hint="eastAsia"/>
        </w:rPr>
        <w:t>，因此对该因素进行控制，当评级为中性时</w:t>
      </w:r>
      <m:oMath>
        <m:sSub>
          <m:sSubPr>
            <m:ctrlPr>
              <w:rPr>
                <w:rFonts w:ascii="Cambria Math" w:hAnsi="Cambria Math"/>
                <w:i/>
              </w:rPr>
            </m:ctrlPr>
          </m:sSubPr>
          <m:e>
            <m:r>
              <w:rPr>
                <w:rFonts w:ascii="Cambria Math" w:hAnsi="Cambria Math"/>
              </w:rPr>
              <m:t>R</m:t>
            </m:r>
            <m:r>
              <w:rPr>
                <w:rFonts w:ascii="Cambria Math" w:hAnsi="Cambria Math" w:hint="eastAsia"/>
              </w:rPr>
              <m:t>ating</m:t>
            </m:r>
          </m:e>
          <m:sub>
            <m:r>
              <w:rPr>
                <w:rFonts w:ascii="Cambria Math" w:hAnsi="Cambria Math"/>
              </w:rPr>
              <m:t>i</m:t>
            </m:r>
          </m:sub>
        </m:sSub>
        <m:r>
          <w:rPr>
            <w:rFonts w:ascii="Cambria Math" w:hAnsi="Cambria Math" w:hint="eastAsia"/>
          </w:rPr>
          <m:t>=1</m:t>
        </m:r>
      </m:oMath>
      <w:r w:rsidR="000D6891">
        <w:rPr>
          <w:rFonts w:hint="eastAsia"/>
        </w:rPr>
        <w:t>，否则为</w:t>
      </w:r>
      <w:r w:rsidR="000D6891">
        <w:rPr>
          <w:rFonts w:hint="eastAsia"/>
        </w:rPr>
        <w:t>0</w:t>
      </w:r>
      <w:r w:rsidR="000D6891">
        <w:rPr>
          <w:rFonts w:hint="eastAsia"/>
        </w:rPr>
        <w:t>；</w:t>
      </w:r>
    </w:p>
    <w:p w14:paraId="065CD418" w14:textId="3FE788BB" w:rsidR="007011CE" w:rsidRDefault="000D6891" w:rsidP="008567D1">
      <w:r>
        <w:rPr>
          <w:rFonts w:hint="eastAsia"/>
        </w:rPr>
        <w:t>3</w:t>
      </w:r>
      <w:r>
        <w:rPr>
          <w:rFonts w:hint="eastAsia"/>
        </w:rPr>
        <w:t>）</w:t>
      </w:r>
      <w:r w:rsidR="008E4C6B">
        <w:rPr>
          <w:rFonts w:hint="eastAsia"/>
        </w:rPr>
        <w:t>在不同的市场周期下投资者对信息的反应存在不对称性，因此本文对市场周期因素进行控制，</w:t>
      </w:r>
      <w:r w:rsidR="0016173A">
        <w:rPr>
          <w:rFonts w:hint="eastAsia"/>
        </w:rPr>
        <w:t>本文</w:t>
      </w:r>
      <w:r w:rsidR="008E4C6B">
        <w:rPr>
          <w:rFonts w:hint="eastAsia"/>
        </w:rPr>
        <w:t>根据</w:t>
      </w:r>
      <w:r>
        <w:rPr>
          <w:rFonts w:hint="eastAsia"/>
        </w:rPr>
        <w:t>许年行等（</w:t>
      </w:r>
      <w:r>
        <w:rPr>
          <w:rFonts w:hint="eastAsia"/>
        </w:rPr>
        <w:t>2012</w:t>
      </w:r>
      <w:r>
        <w:rPr>
          <w:rFonts w:hint="eastAsia"/>
        </w:rPr>
        <w:t>）</w:t>
      </w:r>
      <w:r w:rsidR="00EE48D6">
        <w:rPr>
          <w:rStyle w:val="afb"/>
        </w:rPr>
        <w:t>[</w:t>
      </w:r>
      <w:r w:rsidR="00EE48D6">
        <w:rPr>
          <w:rStyle w:val="afb"/>
        </w:rPr>
        <w:endnoteReference w:id="82"/>
      </w:r>
      <w:r w:rsidR="00EE48D6">
        <w:rPr>
          <w:rStyle w:val="afb"/>
        </w:rPr>
        <w:t>]</w:t>
      </w:r>
      <w:r>
        <w:rPr>
          <w:rFonts w:hint="eastAsia"/>
        </w:rPr>
        <w:t>的做</w:t>
      </w:r>
      <w:r w:rsidR="00DA1D2A">
        <w:rPr>
          <w:rFonts w:hint="eastAsia"/>
        </w:rPr>
        <w:t>法</w:t>
      </w:r>
      <w:r>
        <w:rPr>
          <w:rFonts w:hint="eastAsia"/>
        </w:rPr>
        <w:t>，</w:t>
      </w:r>
      <w:r w:rsidR="00E31722">
        <w:rPr>
          <w:rFonts w:hint="eastAsia"/>
        </w:rPr>
        <w:t>将</w:t>
      </w:r>
      <w:r>
        <w:rPr>
          <w:rFonts w:hint="eastAsia"/>
        </w:rPr>
        <w:t>市场收益率与基准利率进行对比确认市场周期，</w:t>
      </w:r>
      <w:r w:rsidR="007011CE">
        <w:rPr>
          <w:rFonts w:hint="eastAsia"/>
        </w:rPr>
        <w:t>以上证综指收益率为市场综合收益率，以一年定期存款基准利率为无风险利率，</w:t>
      </w:r>
      <w:r w:rsidR="007011CE">
        <w:rPr>
          <w:rFonts w:hint="eastAsia"/>
        </w:rPr>
        <w:t>2009</w:t>
      </w:r>
      <w:r w:rsidR="007011CE">
        <w:rPr>
          <w:rFonts w:hint="eastAsia"/>
        </w:rPr>
        <w:t>年至</w:t>
      </w:r>
      <w:r w:rsidR="007011CE">
        <w:rPr>
          <w:rFonts w:hint="eastAsia"/>
        </w:rPr>
        <w:t>2017</w:t>
      </w:r>
      <w:r w:rsidR="007011CE">
        <w:rPr>
          <w:rFonts w:hint="eastAsia"/>
        </w:rPr>
        <w:t>年的市场超额收益分别为</w:t>
      </w:r>
      <w:r w:rsidR="007011CE">
        <w:rPr>
          <w:rFonts w:hint="eastAsia"/>
        </w:rPr>
        <w:t>{</w:t>
      </w:r>
      <w:r w:rsidR="007011CE" w:rsidRPr="007011CE">
        <w:rPr>
          <w:rFonts w:hint="eastAsia"/>
        </w:rPr>
        <w:t>77.73%</w:t>
      </w:r>
      <w:r w:rsidR="007011CE">
        <w:rPr>
          <w:rFonts w:hint="eastAsia"/>
        </w:rPr>
        <w:t>，</w:t>
      </w:r>
      <w:r w:rsidR="007011CE" w:rsidRPr="007011CE">
        <w:rPr>
          <w:rFonts w:hint="eastAsia"/>
        </w:rPr>
        <w:t>-16.62%</w:t>
      </w:r>
      <w:r w:rsidR="007011CE">
        <w:rPr>
          <w:rFonts w:hint="eastAsia"/>
        </w:rPr>
        <w:t>，</w:t>
      </w:r>
      <w:r w:rsidR="007011CE" w:rsidRPr="007011CE">
        <w:rPr>
          <w:rFonts w:hint="eastAsia"/>
        </w:rPr>
        <w:t>-25.18%</w:t>
      </w:r>
      <w:r w:rsidR="007011CE" w:rsidRPr="007011CE">
        <w:rPr>
          <w:rFonts w:hint="eastAsia"/>
        </w:rPr>
        <w:t>，</w:t>
      </w:r>
      <w:r w:rsidR="007011CE" w:rsidRPr="007011CE">
        <w:rPr>
          <w:rFonts w:hint="eastAsia"/>
        </w:rPr>
        <w:t>-0.08%</w:t>
      </w:r>
      <w:r w:rsidR="007011CE" w:rsidRPr="007011CE">
        <w:rPr>
          <w:rFonts w:hint="eastAsia"/>
        </w:rPr>
        <w:t>，</w:t>
      </w:r>
      <w:r w:rsidR="007011CE" w:rsidRPr="007011CE">
        <w:rPr>
          <w:rFonts w:hint="eastAsia"/>
        </w:rPr>
        <w:t>-9.75%</w:t>
      </w:r>
      <w:r w:rsidR="007011CE" w:rsidRPr="007011CE">
        <w:rPr>
          <w:rFonts w:hint="eastAsia"/>
        </w:rPr>
        <w:t>，</w:t>
      </w:r>
      <w:r w:rsidR="007011CE" w:rsidRPr="007011CE">
        <w:rPr>
          <w:rFonts w:hint="eastAsia"/>
        </w:rPr>
        <w:t>50.12%</w:t>
      </w:r>
      <w:r w:rsidR="007011CE" w:rsidRPr="007011CE">
        <w:rPr>
          <w:rFonts w:hint="eastAsia"/>
        </w:rPr>
        <w:t>，</w:t>
      </w:r>
      <w:r w:rsidR="007011CE" w:rsidRPr="007011CE">
        <w:rPr>
          <w:rFonts w:hint="eastAsia"/>
        </w:rPr>
        <w:t>7.66%</w:t>
      </w:r>
      <w:r w:rsidR="007011CE" w:rsidRPr="007011CE">
        <w:rPr>
          <w:rFonts w:hint="eastAsia"/>
        </w:rPr>
        <w:t>，</w:t>
      </w:r>
      <w:r w:rsidR="007011CE" w:rsidRPr="007011CE">
        <w:rPr>
          <w:rFonts w:hint="eastAsia"/>
        </w:rPr>
        <w:t>-13.81%</w:t>
      </w:r>
      <w:r w:rsidR="007011CE" w:rsidRPr="007011CE">
        <w:rPr>
          <w:rFonts w:hint="eastAsia"/>
        </w:rPr>
        <w:t>，</w:t>
      </w:r>
      <w:r w:rsidR="007011CE" w:rsidRPr="007011CE">
        <w:rPr>
          <w:rFonts w:hint="eastAsia"/>
        </w:rPr>
        <w:t>5.06%</w:t>
      </w:r>
      <w:r w:rsidR="007011CE">
        <w:t>}</w:t>
      </w:r>
      <w:r w:rsidR="007011CE">
        <w:rPr>
          <w:rFonts w:hint="eastAsia"/>
        </w:rPr>
        <w:t>，</w:t>
      </w:r>
      <w:r w:rsidR="007011CE" w:rsidRPr="007011CE">
        <w:rPr>
          <w:rFonts w:hint="eastAsia"/>
        </w:rPr>
        <w:t>因此，</w:t>
      </w:r>
      <w:r w:rsidR="007011CE">
        <w:rPr>
          <w:rFonts w:hint="eastAsia"/>
        </w:rPr>
        <w:t>对于</w:t>
      </w:r>
      <w:r w:rsidR="007011CE" w:rsidRPr="007011CE">
        <w:rPr>
          <w:rFonts w:hint="eastAsia"/>
        </w:rPr>
        <w:t>2009</w:t>
      </w:r>
      <w:r w:rsidR="007011CE" w:rsidRPr="007011CE">
        <w:rPr>
          <w:rFonts w:hint="eastAsia"/>
        </w:rPr>
        <w:t>、</w:t>
      </w:r>
      <w:r w:rsidR="007011CE" w:rsidRPr="007011CE">
        <w:rPr>
          <w:rFonts w:hint="eastAsia"/>
        </w:rPr>
        <w:t>2013</w:t>
      </w:r>
      <w:r w:rsidR="007011CE" w:rsidRPr="007011CE">
        <w:rPr>
          <w:rFonts w:hint="eastAsia"/>
        </w:rPr>
        <w:t>、</w:t>
      </w:r>
      <w:r w:rsidR="007011CE" w:rsidRPr="007011CE">
        <w:rPr>
          <w:rFonts w:hint="eastAsia"/>
        </w:rPr>
        <w:t>2014</w:t>
      </w:r>
      <w:r w:rsidR="007011CE" w:rsidRPr="007011CE">
        <w:rPr>
          <w:rFonts w:hint="eastAsia"/>
        </w:rPr>
        <w:t>、</w:t>
      </w:r>
      <w:r w:rsidR="007011CE" w:rsidRPr="007011CE">
        <w:rPr>
          <w:rFonts w:hint="eastAsia"/>
        </w:rPr>
        <w:t>2015</w:t>
      </w:r>
      <w:r w:rsidR="007011CE" w:rsidRPr="007011CE">
        <w:rPr>
          <w:rFonts w:hint="eastAsia"/>
        </w:rPr>
        <w:t>、</w:t>
      </w:r>
      <w:r w:rsidR="007011CE" w:rsidRPr="007011CE">
        <w:rPr>
          <w:rFonts w:hint="eastAsia"/>
        </w:rPr>
        <w:t>2017</w:t>
      </w:r>
      <w:r w:rsidR="007011CE">
        <w:rPr>
          <w:rFonts w:hint="eastAsia"/>
        </w:rPr>
        <w:t>年发布的报告</w:t>
      </w:r>
      <m:oMath>
        <m:sSub>
          <m:sSubPr>
            <m:ctrlPr>
              <w:rPr>
                <w:rFonts w:ascii="Cambria Math" w:hAnsi="Cambria Math"/>
                <w:i/>
              </w:rPr>
            </m:ctrlPr>
          </m:sSubPr>
          <m:e>
            <m:r>
              <w:rPr>
                <w:rFonts w:ascii="Cambria Math" w:hAnsi="Cambria Math"/>
              </w:rPr>
              <m:t>C</m:t>
            </m:r>
            <m:r>
              <w:rPr>
                <w:rFonts w:ascii="Cambria Math" w:hAnsi="Cambria Math" w:hint="eastAsia"/>
              </w:rPr>
              <m:t>ycle</m:t>
            </m:r>
          </m:e>
          <m:sub>
            <m:r>
              <w:rPr>
                <w:rFonts w:ascii="Cambria Math" w:hAnsi="Cambria Math"/>
              </w:rPr>
              <m:t>i</m:t>
            </m:r>
          </m:sub>
        </m:sSub>
        <m:r>
          <w:rPr>
            <w:rFonts w:ascii="Cambria Math" w:hAnsi="Cambria Math" w:hint="eastAsia"/>
          </w:rPr>
          <m:t>=1</m:t>
        </m:r>
      </m:oMath>
      <w:r w:rsidR="00E31722">
        <w:rPr>
          <w:rFonts w:hint="eastAsia"/>
        </w:rPr>
        <w:t>，作为牛市</w:t>
      </w:r>
      <w:r w:rsidR="00DA1D2A">
        <w:rPr>
          <w:rFonts w:hint="eastAsia"/>
        </w:rPr>
        <w:t>，</w:t>
      </w:r>
      <w:r w:rsidR="007011CE">
        <w:rPr>
          <w:rFonts w:hint="eastAsia"/>
        </w:rPr>
        <w:t>其他年份的报告</w:t>
      </w:r>
      <w:r w:rsidR="00DA1D2A">
        <w:rPr>
          <w:rFonts w:hint="eastAsia"/>
        </w:rPr>
        <w:t>赋值为</w:t>
      </w:r>
      <w:r w:rsidR="00DA1D2A">
        <w:rPr>
          <w:rFonts w:hint="eastAsia"/>
        </w:rPr>
        <w:t>0</w:t>
      </w:r>
      <w:r w:rsidR="00E31722">
        <w:rPr>
          <w:rFonts w:hint="eastAsia"/>
        </w:rPr>
        <w:t>，作为熊市</w:t>
      </w:r>
      <w:r w:rsidR="00DA1D2A">
        <w:rPr>
          <w:rFonts w:hint="eastAsia"/>
        </w:rPr>
        <w:t>；</w:t>
      </w:r>
    </w:p>
    <w:p w14:paraId="6E172565" w14:textId="23891CFD" w:rsidR="0011544E" w:rsidRDefault="007011CE" w:rsidP="008567D1">
      <w:r>
        <w:rPr>
          <w:rFonts w:hint="eastAsia"/>
        </w:rPr>
        <w:t>4</w:t>
      </w:r>
      <w:r w:rsidR="00DA1D2A">
        <w:rPr>
          <w:rFonts w:hint="eastAsia"/>
        </w:rPr>
        <w:t>）根据冯旭南和李心愉（</w:t>
      </w:r>
      <w:r w:rsidR="00DA1D2A">
        <w:rPr>
          <w:rFonts w:hint="eastAsia"/>
        </w:rPr>
        <w:t>2011</w:t>
      </w:r>
      <w:r w:rsidR="00DA1D2A">
        <w:rPr>
          <w:rFonts w:hint="eastAsia"/>
        </w:rPr>
        <w:t>）对我国股价同步性的研究，不同行业的同</w:t>
      </w:r>
      <w:r w:rsidR="00DA1D2A">
        <w:rPr>
          <w:rFonts w:hint="eastAsia"/>
        </w:rPr>
        <w:lastRenderedPageBreak/>
        <w:t>步性水平存在较大差异，因此</w:t>
      </w:r>
      <w:r w:rsidR="007F338C">
        <w:rPr>
          <w:rFonts w:hint="eastAsia"/>
        </w:rPr>
        <w:t>本文</w:t>
      </w:r>
      <w:r w:rsidR="00E31722">
        <w:rPr>
          <w:rFonts w:hint="eastAsia"/>
        </w:rPr>
        <w:t>依据</w:t>
      </w:r>
      <w:r w:rsidR="007F338C">
        <w:rPr>
          <w:rFonts w:hint="eastAsia"/>
        </w:rPr>
        <w:t>证监会</w:t>
      </w:r>
      <w:r w:rsidR="007F338C">
        <w:rPr>
          <w:rFonts w:hint="eastAsia"/>
        </w:rPr>
        <w:t>2012</w:t>
      </w:r>
      <w:r w:rsidR="007F338C">
        <w:rPr>
          <w:rFonts w:hint="eastAsia"/>
        </w:rPr>
        <w:t>年行业分类标准，</w:t>
      </w:r>
      <w:r w:rsidR="00DA1D2A">
        <w:rPr>
          <w:rFonts w:hint="eastAsia"/>
        </w:rPr>
        <w:t>加入</w:t>
      </w:r>
      <w:r w:rsidR="00B320CA">
        <w:rPr>
          <w:rFonts w:hint="eastAsia"/>
        </w:rPr>
        <w:t>虚拟变量</w:t>
      </w:r>
      <m:oMath>
        <m:sSub>
          <m:sSubPr>
            <m:ctrlPr>
              <w:rPr>
                <w:rFonts w:ascii="Cambria Math" w:hAnsi="Cambria Math"/>
                <w:i/>
              </w:rPr>
            </m:ctrlPr>
          </m:sSubPr>
          <m:e>
            <m:r>
              <w:rPr>
                <w:rFonts w:ascii="Cambria Math" w:hAnsi="Cambria Math"/>
              </w:rPr>
              <m:t>Industry</m:t>
            </m:r>
          </m:e>
          <m:sub>
            <m:r>
              <w:rPr>
                <w:rFonts w:ascii="Cambria Math" w:hAnsi="Cambria Math"/>
              </w:rPr>
              <m:t>i</m:t>
            </m:r>
          </m:sub>
        </m:sSub>
      </m:oMath>
      <w:r w:rsidR="00DA1D2A">
        <w:rPr>
          <w:rFonts w:hint="eastAsia"/>
        </w:rPr>
        <w:t>对行业因素进行</w:t>
      </w:r>
      <w:r w:rsidR="007F338C">
        <w:rPr>
          <w:rFonts w:hint="eastAsia"/>
        </w:rPr>
        <w:t>控制</w:t>
      </w:r>
      <w:r w:rsidR="00DA1D2A">
        <w:rPr>
          <w:rFonts w:hint="eastAsia"/>
        </w:rPr>
        <w:t>。</w:t>
      </w:r>
    </w:p>
    <w:p w14:paraId="4E168250" w14:textId="6F27412C" w:rsidR="00732D74" w:rsidRDefault="00E31722" w:rsidP="00E0789F">
      <w:r>
        <w:rPr>
          <w:rFonts w:hint="eastAsia"/>
        </w:rPr>
        <w:t>最后，</w:t>
      </w:r>
      <w:r w:rsidR="00DA1D2A">
        <w:rPr>
          <w:rFonts w:hint="eastAsia"/>
        </w:rPr>
        <w:t>为了具体考察分析师的</w:t>
      </w:r>
      <w:r w:rsidR="0017220C">
        <w:rPr>
          <w:rFonts w:hint="eastAsia"/>
        </w:rPr>
        <w:t>择时倾向差异，本文针对每个分析师所发表的全部</w:t>
      </w:r>
      <w:r w:rsidR="007011CE">
        <w:rPr>
          <w:rFonts w:hint="eastAsia"/>
        </w:rPr>
        <w:t>公司深度</w:t>
      </w:r>
      <w:r w:rsidR="0017220C">
        <w:rPr>
          <w:rFonts w:hint="eastAsia"/>
        </w:rPr>
        <w:t>研究报告子样本使用</w:t>
      </w:r>
      <w:r w:rsidR="00732D74">
        <w:rPr>
          <w:rFonts w:hint="eastAsia"/>
        </w:rPr>
        <w:t>下</w:t>
      </w:r>
      <w:r w:rsidR="0017220C">
        <w:rPr>
          <w:rFonts w:hint="eastAsia"/>
        </w:rPr>
        <w:t>式重新进行回归</w:t>
      </w:r>
    </w:p>
    <w:p w14:paraId="11E699D4" w14:textId="77777777" w:rsidR="00732D74" w:rsidRDefault="00732D74" w:rsidP="00732D74">
      <m:oMathPara>
        <m:oMath>
          <m:sSub>
            <m:sSubPr>
              <m:ctrlPr>
                <w:rPr>
                  <w:rFonts w:ascii="Cambria Math" w:hAnsi="Cambria Math"/>
                </w:rPr>
              </m:ctrlPr>
            </m:sSubPr>
            <m:e>
              <m:r>
                <w:rPr>
                  <w:rFonts w:ascii="Cambria Math" w:hAnsi="Cambria Math"/>
                </w:rPr>
                <m:t>dr2</m:t>
              </m:r>
            </m:e>
            <m:sub>
              <m:r>
                <w:rPr>
                  <w:rFonts w:ascii="Cambria Math" w:hAnsi="Cambria Math"/>
                </w:rPr>
                <m:t>i</m:t>
              </m:r>
            </m:sub>
          </m:sSub>
          <m:r>
            <w:rPr>
              <w:rFonts w:ascii="Cambria Math" w:hAnsi="Cambria Math"/>
            </w:rPr>
            <m:t>=</m:t>
          </m:r>
          <m:r>
            <w:rPr>
              <w:rFonts w:ascii="Cambria Math" w:hAnsi="Cambria Math" w:hint="eastAsia"/>
            </w:rPr>
            <m:t>α+</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SENT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m:t>
              </m:r>
            </m:sub>
          </m:sSub>
        </m:oMath>
      </m:oMathPara>
    </w:p>
    <w:p w14:paraId="3AC387F6" w14:textId="34F6DED5" w:rsidR="00DA1D2A" w:rsidRPr="00DB02EE" w:rsidRDefault="001E166E" w:rsidP="00E0789F">
      <w:r>
        <w:rPr>
          <w:rFonts w:hint="eastAsia"/>
        </w:rPr>
        <w:t>考虑到</w:t>
      </w:r>
      <w:r w:rsidR="0017220C">
        <w:rPr>
          <w:rFonts w:hint="eastAsia"/>
        </w:rPr>
        <w:t>此处</w:t>
      </w:r>
      <w:r>
        <w:rPr>
          <w:rFonts w:hint="eastAsia"/>
        </w:rPr>
        <w:t>只需要判断回归系数的显著性，</w:t>
      </w:r>
      <w:r w:rsidR="00732D74">
        <w:rPr>
          <w:rFonts w:hint="eastAsia"/>
        </w:rPr>
        <w:t>以及样本数量问题，</w:t>
      </w:r>
      <w:r>
        <w:rPr>
          <w:rFonts w:hint="eastAsia"/>
        </w:rPr>
        <w:t>略去了</w:t>
      </w:r>
      <w:r w:rsidR="00732D74">
        <w:rPr>
          <w:rFonts w:hint="eastAsia"/>
        </w:rPr>
        <w:t>各类</w:t>
      </w:r>
      <w:r>
        <w:rPr>
          <w:rFonts w:hint="eastAsia"/>
        </w:rPr>
        <w:t>控制变量。回归之后</w:t>
      </w:r>
      <w:r w:rsidR="00395397">
        <w:rPr>
          <w:rFonts w:hint="eastAsia"/>
        </w:rPr>
        <w:t>，</w:t>
      </w:r>
      <w:r>
        <w:rPr>
          <w:rFonts w:hint="eastAsia"/>
        </w:rPr>
        <w:t>本文根据</w:t>
      </w:r>
      <w:r w:rsidR="0017220C">
        <w:rPr>
          <w:rFonts w:hint="eastAsia"/>
        </w:rPr>
        <w:t>变量</w:t>
      </w:r>
      <m:oMath>
        <m:r>
          <m:rPr>
            <m:sty m:val="p"/>
          </m:rPr>
          <w:rPr>
            <w:rFonts w:ascii="Cambria Math" w:hAnsi="Cambria Math"/>
          </w:rPr>
          <m:t>SENT</m:t>
        </m:r>
      </m:oMath>
      <w:r w:rsidR="0017220C">
        <w:rPr>
          <w:rFonts w:hint="eastAsia"/>
        </w:rPr>
        <w:t>回归系数</w:t>
      </w:r>
      <w:r>
        <w:rPr>
          <w:rFonts w:hint="eastAsia"/>
        </w:rPr>
        <w:t>是否</w:t>
      </w:r>
      <w:r w:rsidR="0017220C">
        <w:rPr>
          <w:rFonts w:hint="eastAsia"/>
        </w:rPr>
        <w:t>显著</w:t>
      </w:r>
      <w:r>
        <w:rPr>
          <w:rFonts w:hint="eastAsia"/>
        </w:rPr>
        <w:t>、以及报告信息含量</w:t>
      </w:r>
      <m:oMath>
        <m:r>
          <m:rPr>
            <m:sty m:val="p"/>
          </m:rPr>
          <w:rPr>
            <w:rFonts w:ascii="Cambria Math" w:hAnsi="Cambria Math"/>
          </w:rPr>
          <m:t>dr2</m:t>
        </m:r>
      </m:oMath>
      <w:r>
        <w:rPr>
          <w:rFonts w:hint="eastAsia"/>
        </w:rPr>
        <w:t>的高低</w:t>
      </w:r>
      <w:r w:rsidR="00395397">
        <w:rPr>
          <w:rFonts w:hint="eastAsia"/>
        </w:rPr>
        <w:t>，</w:t>
      </w:r>
      <w:r>
        <w:rPr>
          <w:rFonts w:hint="eastAsia"/>
        </w:rPr>
        <w:t>将分析师分为</w:t>
      </w:r>
      <w:r w:rsidR="0017220C">
        <w:rPr>
          <w:rFonts w:hint="eastAsia"/>
        </w:rPr>
        <w:t>择时</w:t>
      </w:r>
      <w:r>
        <w:rPr>
          <w:rFonts w:hint="eastAsia"/>
        </w:rPr>
        <w:t>-</w:t>
      </w:r>
      <w:r>
        <w:rPr>
          <w:rFonts w:hint="eastAsia"/>
        </w:rPr>
        <w:t>高信息含量</w:t>
      </w:r>
      <m:oMath>
        <m:r>
          <m:rPr>
            <m:sty m:val="p"/>
          </m:rPr>
          <w:rPr>
            <w:rFonts w:ascii="Cambria Math" w:hAnsi="Cambria Math"/>
          </w:rPr>
          <m:t>(Timing-HInfo)</m:t>
        </m:r>
      </m:oMath>
      <w:r>
        <w:rPr>
          <w:rFonts w:hint="eastAsia"/>
        </w:rPr>
        <w:t>、择时</w:t>
      </w:r>
      <w:r>
        <w:rPr>
          <w:rFonts w:hint="eastAsia"/>
        </w:rPr>
        <w:t>-</w:t>
      </w:r>
      <w:r>
        <w:rPr>
          <w:rFonts w:hint="eastAsia"/>
        </w:rPr>
        <w:t>低信息含量</w:t>
      </w:r>
      <m:oMath>
        <m:r>
          <m:rPr>
            <m:sty m:val="p"/>
          </m:rPr>
          <w:rPr>
            <w:rFonts w:ascii="Cambria Math" w:hAnsi="Cambria Math"/>
          </w:rPr>
          <m:t>(Timing-LInfo)</m:t>
        </m:r>
      </m:oMath>
      <w:r>
        <w:rPr>
          <w:rFonts w:hint="eastAsia"/>
        </w:rPr>
        <w:t>、非择时</w:t>
      </w:r>
      <w:r>
        <w:rPr>
          <w:rFonts w:hint="eastAsia"/>
        </w:rPr>
        <w:t>-</w:t>
      </w:r>
      <w:r>
        <w:rPr>
          <w:rFonts w:hint="eastAsia"/>
        </w:rPr>
        <w:t>高信息含量</w:t>
      </w:r>
      <m:oMath>
        <m:r>
          <m:rPr>
            <m:sty m:val="p"/>
          </m:rPr>
          <w:rPr>
            <w:rFonts w:ascii="Cambria Math" w:hAnsi="Cambria Math"/>
          </w:rPr>
          <m:t>(NonTiming-HInfo)</m:t>
        </m:r>
      </m:oMath>
      <w:r>
        <w:rPr>
          <w:rFonts w:hint="eastAsia"/>
        </w:rPr>
        <w:t>和非择时</w:t>
      </w:r>
      <w:r>
        <w:rPr>
          <w:rFonts w:hint="eastAsia"/>
        </w:rPr>
        <w:t>-</w:t>
      </w:r>
      <w:r>
        <w:rPr>
          <w:rFonts w:hint="eastAsia"/>
        </w:rPr>
        <w:t>低信息含量</w:t>
      </w:r>
      <m:oMath>
        <m:r>
          <m:rPr>
            <m:sty m:val="p"/>
          </m:rPr>
          <w:rPr>
            <w:rFonts w:ascii="Cambria Math" w:hAnsi="Cambria Math"/>
          </w:rPr>
          <m:t>(NonTiming-LInfo)</m:t>
        </m:r>
      </m:oMath>
      <w:r>
        <w:rPr>
          <w:rFonts w:hint="eastAsia"/>
        </w:rPr>
        <w:t>四组，对比其报告发布后</w:t>
      </w:r>
      <w:r w:rsidR="004067DD">
        <w:rPr>
          <w:rFonts w:hint="eastAsia"/>
        </w:rPr>
        <w:t>产生</w:t>
      </w:r>
      <w:r w:rsidR="0017220C">
        <w:rPr>
          <w:rFonts w:hint="eastAsia"/>
        </w:rPr>
        <w:t>的超额收益率水平</w:t>
      </w:r>
      <w:r w:rsidR="00395397">
        <w:rPr>
          <w:rFonts w:hint="eastAsia"/>
        </w:rPr>
        <w:t>，以考察市场对不同类型报告的反应差异</w:t>
      </w:r>
      <w:r w:rsidR="0017220C">
        <w:rPr>
          <w:rFonts w:hint="eastAsia"/>
        </w:rPr>
        <w:t>。</w:t>
      </w:r>
    </w:p>
    <w:p w14:paraId="57282EC3" w14:textId="77777777" w:rsidR="006B56F7" w:rsidRDefault="006B56F7" w:rsidP="00C51E79"/>
    <w:p w14:paraId="3B96D5CB" w14:textId="77777777" w:rsidR="00C51E79" w:rsidRDefault="00C51E79" w:rsidP="002E3E1D">
      <w:pPr>
        <w:pStyle w:val="2"/>
      </w:pPr>
      <w:bookmarkStart w:id="25" w:name="_Toc509527757"/>
      <w:r>
        <w:rPr>
          <w:rFonts w:hint="eastAsia"/>
        </w:rPr>
        <w:t>实证研究过程</w:t>
      </w:r>
      <w:bookmarkEnd w:id="25"/>
    </w:p>
    <w:p w14:paraId="24949641" w14:textId="1CD01327" w:rsidR="00C51E79" w:rsidRDefault="0055369D" w:rsidP="00C51E79">
      <w:r>
        <w:rPr>
          <w:rFonts w:hint="eastAsia"/>
        </w:rPr>
        <w:t>本</w:t>
      </w:r>
      <w:r w:rsidR="003947DF">
        <w:rPr>
          <w:rFonts w:hint="eastAsia"/>
        </w:rPr>
        <w:t>节</w:t>
      </w:r>
      <w:r w:rsidR="00512CFC">
        <w:rPr>
          <w:rFonts w:hint="eastAsia"/>
        </w:rPr>
        <w:t>首先从</w:t>
      </w:r>
      <w:r w:rsidR="00FE7EF5">
        <w:rPr>
          <w:rFonts w:hint="eastAsia"/>
        </w:rPr>
        <w:t>宏观</w:t>
      </w:r>
      <w:r w:rsidR="00512CFC">
        <w:rPr>
          <w:rFonts w:hint="eastAsia"/>
        </w:rPr>
        <w:t>和</w:t>
      </w:r>
      <w:r w:rsidR="00FE7EF5">
        <w:rPr>
          <w:rFonts w:hint="eastAsia"/>
        </w:rPr>
        <w:t>微观</w:t>
      </w:r>
      <w:r w:rsidR="00512CFC">
        <w:rPr>
          <w:rFonts w:hint="eastAsia"/>
        </w:rPr>
        <w:t>两个层次对证券分析师是否更倾向于在投资者情绪高涨时发布报告进行了检验，</w:t>
      </w:r>
      <w:r w:rsidR="0005666F">
        <w:rPr>
          <w:rFonts w:hint="eastAsia"/>
        </w:rPr>
        <w:t>得到了肯定的结论。</w:t>
      </w:r>
      <w:r w:rsidR="00512CFC">
        <w:rPr>
          <w:rFonts w:hint="eastAsia"/>
        </w:rPr>
        <w:t>其次</w:t>
      </w:r>
      <w:r w:rsidR="001E195A">
        <w:rPr>
          <w:rFonts w:hint="eastAsia"/>
        </w:rPr>
        <w:t>通过多元回归分析对</w:t>
      </w:r>
      <w:r w:rsidR="00512CFC">
        <w:rPr>
          <w:rFonts w:hint="eastAsia"/>
        </w:rPr>
        <w:t>分析师</w:t>
      </w:r>
      <w:r w:rsidR="001E195A">
        <w:rPr>
          <w:rFonts w:hint="eastAsia"/>
        </w:rPr>
        <w:t>进行择时的动机进行了检验，发现分析师“蹭热点”的倾向主要是源于</w:t>
      </w:r>
      <w:r w:rsidR="0005666F">
        <w:rPr>
          <w:rFonts w:hint="eastAsia"/>
        </w:rPr>
        <w:t>其</w:t>
      </w:r>
      <w:r w:rsidR="001E195A">
        <w:rPr>
          <w:rFonts w:hint="eastAsia"/>
        </w:rPr>
        <w:t>报告释放的信息含量有限</w:t>
      </w:r>
      <w:r w:rsidR="0005666F">
        <w:rPr>
          <w:rFonts w:hint="eastAsia"/>
        </w:rPr>
        <w:t>。</w:t>
      </w:r>
      <w:r w:rsidR="001E195A">
        <w:rPr>
          <w:rFonts w:hint="eastAsia"/>
        </w:rPr>
        <w:t>最后本节探索了择时和非择时的分析师发布的报告在超额收益率上是否存在差异，发现市场对分析师的择时行为进行</w:t>
      </w:r>
      <w:r w:rsidR="00A17E1F">
        <w:rPr>
          <w:rFonts w:hint="eastAsia"/>
        </w:rPr>
        <w:t>了</w:t>
      </w:r>
      <w:r w:rsidR="001E195A">
        <w:rPr>
          <w:rFonts w:hint="eastAsia"/>
        </w:rPr>
        <w:t>定价</w:t>
      </w:r>
      <w:r w:rsidR="00A17E1F">
        <w:rPr>
          <w:rFonts w:hint="eastAsia"/>
        </w:rPr>
        <w:t>，</w:t>
      </w:r>
      <w:r w:rsidR="004D60F4">
        <w:rPr>
          <w:rFonts w:hint="eastAsia"/>
        </w:rPr>
        <w:t>非择时发布的分析师报告产生了更加持久和显著的超额收益率，</w:t>
      </w:r>
      <w:r w:rsidR="00A17E1F">
        <w:rPr>
          <w:rFonts w:hint="eastAsia"/>
        </w:rPr>
        <w:t>同时这种</w:t>
      </w:r>
      <w:r w:rsidR="004D60F4">
        <w:rPr>
          <w:rFonts w:hint="eastAsia"/>
        </w:rPr>
        <w:t>市场</w:t>
      </w:r>
      <w:r w:rsidR="00A17E1F">
        <w:rPr>
          <w:rFonts w:hint="eastAsia"/>
        </w:rPr>
        <w:t>定价效率侧面验证了分析师报告信息含量</w:t>
      </w:r>
      <w:r w:rsidR="004D60F4">
        <w:rPr>
          <w:rFonts w:hint="eastAsia"/>
        </w:rPr>
        <w:t>的确</w:t>
      </w:r>
      <w:r w:rsidR="00A17E1F">
        <w:rPr>
          <w:rFonts w:hint="eastAsia"/>
        </w:rPr>
        <w:t>存在差异</w:t>
      </w:r>
      <w:r w:rsidR="001E195A">
        <w:rPr>
          <w:rFonts w:hint="eastAsia"/>
        </w:rPr>
        <w:t>。</w:t>
      </w:r>
    </w:p>
    <w:p w14:paraId="0868FD5A" w14:textId="77777777" w:rsidR="00A17E1F" w:rsidRDefault="00A17E1F" w:rsidP="00C51E79">
      <w:pPr>
        <w:rPr>
          <w:rFonts w:hint="eastAsia"/>
        </w:rPr>
      </w:pPr>
    </w:p>
    <w:p w14:paraId="7354F65B" w14:textId="77777777" w:rsidR="006E7775" w:rsidRDefault="003947DF" w:rsidP="00DC67E7">
      <w:pPr>
        <w:pStyle w:val="3"/>
        <w:numPr>
          <w:ilvl w:val="0"/>
          <w:numId w:val="12"/>
        </w:numPr>
        <w:ind w:firstLineChars="0"/>
      </w:pPr>
      <w:bookmarkStart w:id="26" w:name="_Toc509527758"/>
      <w:r>
        <w:rPr>
          <w:rFonts w:hint="eastAsia"/>
        </w:rPr>
        <w:t>分析师择时行为检验</w:t>
      </w:r>
      <w:bookmarkEnd w:id="26"/>
    </w:p>
    <w:p w14:paraId="0A87EB35" w14:textId="14026B7D" w:rsidR="00A17E1F" w:rsidRDefault="001E195A">
      <w:r>
        <w:rPr>
          <w:rFonts w:hint="eastAsia"/>
        </w:rPr>
        <w:t>本部分主要从</w:t>
      </w:r>
      <w:r w:rsidR="00986A71">
        <w:rPr>
          <w:rFonts w:hint="eastAsia"/>
        </w:rPr>
        <w:t>宏观和</w:t>
      </w:r>
      <w:r w:rsidR="0005666F">
        <w:rPr>
          <w:rFonts w:hint="eastAsia"/>
        </w:rPr>
        <w:t>微观</w:t>
      </w:r>
      <w:r>
        <w:rPr>
          <w:rFonts w:hint="eastAsia"/>
        </w:rPr>
        <w:t>两个角度对分析师择时行为进行了</w:t>
      </w:r>
      <w:r w:rsidR="00360417">
        <w:rPr>
          <w:rFonts w:hint="eastAsia"/>
        </w:rPr>
        <w:t>检验。</w:t>
      </w:r>
      <w:r>
        <w:rPr>
          <w:rFonts w:hint="eastAsia"/>
        </w:rPr>
        <w:t>首先</w:t>
      </w:r>
      <w:r w:rsidR="00986A71">
        <w:rPr>
          <w:rFonts w:hint="eastAsia"/>
        </w:rPr>
        <w:t>从宏观</w:t>
      </w:r>
      <w:r w:rsidR="00360417">
        <w:rPr>
          <w:rFonts w:hint="eastAsia"/>
        </w:rPr>
        <w:t>层次</w:t>
      </w:r>
      <w:r w:rsidR="00BA011F">
        <w:rPr>
          <w:rFonts w:hint="eastAsia"/>
        </w:rPr>
        <w:t>进行</w:t>
      </w:r>
      <w:r w:rsidR="00360417">
        <w:rPr>
          <w:rFonts w:hint="eastAsia"/>
        </w:rPr>
        <w:t>回归</w:t>
      </w:r>
      <w:r w:rsidR="00BA011F">
        <w:rPr>
          <w:rFonts w:hint="eastAsia"/>
        </w:rPr>
        <w:t>分析，</w:t>
      </w:r>
      <w:r w:rsidR="00360417">
        <w:rPr>
          <w:rFonts w:hint="eastAsia"/>
        </w:rPr>
        <w:t>使用</w:t>
      </w:r>
      <w:r w:rsidR="0005666F">
        <w:rPr>
          <w:rFonts w:hint="eastAsia"/>
        </w:rPr>
        <w:t>所有</w:t>
      </w:r>
      <w:r w:rsidR="00360417">
        <w:rPr>
          <w:rFonts w:hint="eastAsia"/>
        </w:rPr>
        <w:t>分析师各月发布</w:t>
      </w:r>
      <w:r w:rsidR="0005666F">
        <w:rPr>
          <w:rFonts w:hint="eastAsia"/>
        </w:rPr>
        <w:t>的</w:t>
      </w:r>
      <w:r w:rsidR="00360417">
        <w:rPr>
          <w:rFonts w:hint="eastAsia"/>
        </w:rPr>
        <w:t>报告</w:t>
      </w:r>
      <w:r w:rsidR="00A17E1F">
        <w:rPr>
          <w:rFonts w:hint="eastAsia"/>
        </w:rPr>
        <w:t>占当年深度报告总数的比例</w:t>
      </w:r>
      <w:r w:rsidR="00360417">
        <w:rPr>
          <w:rFonts w:hint="eastAsia"/>
        </w:rPr>
        <w:t>度量分析师的择时行为，使用</w:t>
      </w:r>
      <w:r w:rsidR="00A17E1F">
        <w:t>SENT</w:t>
      </w:r>
      <w:r w:rsidR="00360417">
        <w:rPr>
          <w:rFonts w:hint="eastAsia"/>
        </w:rPr>
        <w:t>投资者情绪指数度量各月的投资者情绪高低，并使用市场收益率控制了</w:t>
      </w:r>
      <w:r w:rsidR="006E1D07">
        <w:rPr>
          <w:rFonts w:hint="eastAsia"/>
        </w:rPr>
        <w:t>宏观影响因素。</w:t>
      </w:r>
      <w:r w:rsidR="00360417">
        <w:rPr>
          <w:rFonts w:hint="eastAsia"/>
        </w:rPr>
        <w:t>根据假设</w:t>
      </w:r>
      <w:r w:rsidR="00360417">
        <w:rPr>
          <w:rFonts w:hint="eastAsia"/>
        </w:rPr>
        <w:t>1</w:t>
      </w:r>
      <w:r w:rsidR="00360417">
        <w:rPr>
          <w:rFonts w:hint="eastAsia"/>
        </w:rPr>
        <w:t>，投资者情绪越高涨时，分析师发布报告的数量越多，预期</w:t>
      </w:r>
      <w:r w:rsidR="00A17E1F">
        <w:t>SENT</w:t>
      </w:r>
      <w:r w:rsidR="00595646">
        <w:rPr>
          <w:rFonts w:hint="eastAsia"/>
        </w:rPr>
        <w:t>的回归系数为正。</w:t>
      </w:r>
    </w:p>
    <w:p w14:paraId="4A5756DB" w14:textId="1894942E" w:rsidR="00732D74" w:rsidRDefault="00595646">
      <w:r>
        <w:rPr>
          <w:rFonts w:hint="eastAsia"/>
        </w:rPr>
        <w:t>回归结果如</w:t>
      </w:r>
      <w:r w:rsidR="00FC036D">
        <w:fldChar w:fldCharType="begin"/>
      </w:r>
      <w:r w:rsidR="00FC036D">
        <w:instrText xml:space="preserve"> </w:instrText>
      </w:r>
      <w:r w:rsidR="00FC036D">
        <w:rPr>
          <w:rFonts w:hint="eastAsia"/>
        </w:rPr>
        <w:instrText>REF _Ref509306999 \h</w:instrText>
      </w:r>
      <w:r w:rsidR="00FC036D">
        <w:instrText xml:space="preserve"> </w:instrText>
      </w:r>
      <w:r w:rsidR="00FC036D">
        <w:fldChar w:fldCharType="separate"/>
      </w:r>
      <w:r w:rsidR="00A17E1F">
        <w:rPr>
          <w:rFonts w:hint="eastAsia"/>
        </w:rPr>
        <w:t>表</w:t>
      </w:r>
      <w:r w:rsidR="00A17E1F">
        <w:rPr>
          <w:noProof/>
        </w:rPr>
        <w:t>4</w:t>
      </w:r>
      <w:r w:rsidR="00FC036D">
        <w:fldChar w:fldCharType="end"/>
      </w:r>
      <w:r>
        <w:rPr>
          <w:rFonts w:hint="eastAsia"/>
        </w:rPr>
        <w:t>所示</w:t>
      </w:r>
      <w:r w:rsidR="00A17E1F">
        <w:rPr>
          <w:rFonts w:hint="eastAsia"/>
        </w:rPr>
        <w:t>，其</w:t>
      </w:r>
      <w:r w:rsidR="006E1D07">
        <w:rPr>
          <w:rFonts w:hint="eastAsia"/>
        </w:rPr>
        <w:t>中</w:t>
      </w:r>
      <w:r w:rsidR="006E1D07">
        <w:rPr>
          <w:rFonts w:hint="eastAsia"/>
        </w:rPr>
        <w:t>Model(</w:t>
      </w:r>
      <w:r w:rsidR="006E1D07">
        <w:t>1</w:t>
      </w:r>
      <w:r w:rsidR="006E1D07">
        <w:rPr>
          <w:rFonts w:hint="eastAsia"/>
        </w:rPr>
        <w:t>)</w:t>
      </w:r>
      <w:r w:rsidR="006E1D07">
        <w:rPr>
          <w:rFonts w:hint="eastAsia"/>
        </w:rPr>
        <w:t>代表仅使用</w:t>
      </w:r>
      <w:r w:rsidR="00A17E1F">
        <w:t>SENT</w:t>
      </w:r>
      <w:r w:rsidR="006E1D07">
        <w:rPr>
          <w:rFonts w:hint="eastAsia"/>
        </w:rPr>
        <w:t>情绪指数与报告数</w:t>
      </w:r>
      <w:r w:rsidR="006E1D07">
        <w:rPr>
          <w:rFonts w:hint="eastAsia"/>
        </w:rPr>
        <w:lastRenderedPageBreak/>
        <w:t>量回归的结果，回归系数为</w:t>
      </w:r>
      <w:r w:rsidR="00A17E1F">
        <w:rPr>
          <w:rFonts w:hint="eastAsia"/>
        </w:rPr>
        <w:t>0.0027</w:t>
      </w:r>
      <w:r w:rsidR="006E1D07">
        <w:rPr>
          <w:rFonts w:hint="eastAsia"/>
        </w:rPr>
        <w:t>，在</w:t>
      </w:r>
      <w:r w:rsidR="00A17E1F">
        <w:rPr>
          <w:rFonts w:hint="eastAsia"/>
        </w:rPr>
        <w:t>95</w:t>
      </w:r>
      <w:r w:rsidR="006E1D07">
        <w:rPr>
          <w:rFonts w:hint="eastAsia"/>
        </w:rPr>
        <w:t>%</w:t>
      </w:r>
      <w:r w:rsidR="006E1D07">
        <w:rPr>
          <w:rFonts w:hint="eastAsia"/>
        </w:rPr>
        <w:t>的置信水平上显著；</w:t>
      </w:r>
      <w:r w:rsidR="006E1D07">
        <w:rPr>
          <w:rFonts w:hint="eastAsia"/>
        </w:rPr>
        <w:t>Model(</w:t>
      </w:r>
      <w:r w:rsidR="006E1D07">
        <w:t>2</w:t>
      </w:r>
      <w:r w:rsidR="006E1D07">
        <w:rPr>
          <w:rFonts w:hint="eastAsia"/>
        </w:rPr>
        <w:t>)</w:t>
      </w:r>
      <w:r w:rsidR="006E1D07">
        <w:rPr>
          <w:rFonts w:hint="eastAsia"/>
        </w:rPr>
        <w:t>代表仅使用市场综合收益率与报告数量回归的结果，回归系数为</w:t>
      </w:r>
      <w:r w:rsidR="006E1D07">
        <w:rPr>
          <w:rFonts w:hint="eastAsia"/>
        </w:rPr>
        <w:t>-0.0</w:t>
      </w:r>
      <w:r w:rsidR="00A17E1F">
        <w:rPr>
          <w:rFonts w:hint="eastAsia"/>
        </w:rPr>
        <w:t>005</w:t>
      </w:r>
      <w:r w:rsidR="006E1D07">
        <w:rPr>
          <w:rFonts w:hint="eastAsia"/>
        </w:rPr>
        <w:t>，在</w:t>
      </w:r>
      <w:r w:rsidR="006E1D07">
        <w:rPr>
          <w:rFonts w:hint="eastAsia"/>
        </w:rPr>
        <w:t>9</w:t>
      </w:r>
      <w:r w:rsidR="00732D74">
        <w:rPr>
          <w:rFonts w:hint="eastAsia"/>
        </w:rPr>
        <w:t>0</w:t>
      </w:r>
      <w:r w:rsidR="006E1D07">
        <w:rPr>
          <w:rFonts w:hint="eastAsia"/>
        </w:rPr>
        <w:t>%</w:t>
      </w:r>
      <w:r w:rsidR="006E1D07">
        <w:rPr>
          <w:rFonts w:hint="eastAsia"/>
        </w:rPr>
        <w:t>的置信水平上显著；</w:t>
      </w:r>
      <w:r w:rsidR="006E1D07">
        <w:rPr>
          <w:rFonts w:hint="eastAsia"/>
        </w:rPr>
        <w:t>Model</w:t>
      </w:r>
      <w:r w:rsidR="006E1D07">
        <w:t>(3)</w:t>
      </w:r>
      <w:r w:rsidR="006E1D07">
        <w:rPr>
          <w:rFonts w:hint="eastAsia"/>
        </w:rPr>
        <w:t>将</w:t>
      </w:r>
      <w:r w:rsidR="00A17E1F">
        <w:t>SENT</w:t>
      </w:r>
      <w:r w:rsidR="006E1D07">
        <w:rPr>
          <w:rFonts w:hint="eastAsia"/>
        </w:rPr>
        <w:t>情绪指数和市场综合收益率同时纳入模型，</w:t>
      </w:r>
      <w:r w:rsidR="0005666F">
        <w:rPr>
          <w:rFonts w:hint="eastAsia"/>
        </w:rPr>
        <w:t>发现</w:t>
      </w:r>
      <w:r w:rsidR="006E1D07">
        <w:rPr>
          <w:rFonts w:hint="eastAsia"/>
        </w:rPr>
        <w:t>回归系数分别为</w:t>
      </w:r>
      <w:r w:rsidR="006E1D07">
        <w:rPr>
          <w:rFonts w:hint="eastAsia"/>
        </w:rPr>
        <w:t>0.</w:t>
      </w:r>
      <w:r w:rsidR="00732D74">
        <w:rPr>
          <w:rFonts w:hint="eastAsia"/>
        </w:rPr>
        <w:t>002</w:t>
      </w:r>
      <w:r w:rsidR="006E1D07">
        <w:rPr>
          <w:rFonts w:hint="eastAsia"/>
        </w:rPr>
        <w:t>6</w:t>
      </w:r>
      <w:r w:rsidR="006E1D07">
        <w:rPr>
          <w:rFonts w:hint="eastAsia"/>
        </w:rPr>
        <w:t>和</w:t>
      </w:r>
      <w:r w:rsidR="006E1D07">
        <w:rPr>
          <w:rFonts w:hint="eastAsia"/>
        </w:rPr>
        <w:t>-0.0</w:t>
      </w:r>
      <w:r w:rsidR="00732D74">
        <w:rPr>
          <w:rFonts w:hint="eastAsia"/>
        </w:rPr>
        <w:t>005</w:t>
      </w:r>
      <w:r w:rsidR="006E1D07">
        <w:rPr>
          <w:rFonts w:hint="eastAsia"/>
        </w:rPr>
        <w:t>，显著性保持不变。</w:t>
      </w:r>
    </w:p>
    <w:p w14:paraId="54C9EDF0" w14:textId="77777777" w:rsidR="00732D74" w:rsidRDefault="00732D74">
      <w:pPr>
        <w:rPr>
          <w:rFonts w:hint="eastAsia"/>
        </w:rPr>
      </w:pPr>
    </w:p>
    <w:p w14:paraId="65E1BB70" w14:textId="49289FE1" w:rsidR="001E195A" w:rsidRDefault="001E195A" w:rsidP="001E195A">
      <w:pPr>
        <w:pStyle w:val="ad"/>
      </w:pPr>
      <w:bookmarkStart w:id="27" w:name="_Ref50930699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4</w:t>
      </w:r>
      <w:r>
        <w:fldChar w:fldCharType="end"/>
      </w:r>
      <w:bookmarkEnd w:id="27"/>
      <w:r>
        <w:t xml:space="preserve"> </w:t>
      </w:r>
      <w:r>
        <w:rPr>
          <w:rFonts w:hint="eastAsia"/>
        </w:rPr>
        <w:t>分析师择时行为回归结果（</w:t>
      </w:r>
      <w:r>
        <w:rPr>
          <w:rFonts w:hint="eastAsia"/>
        </w:rPr>
        <w:t>A</w:t>
      </w:r>
      <w:r>
        <w:rPr>
          <w:rFonts w:hint="eastAsia"/>
        </w:rPr>
        <w:t>）</w:t>
      </w:r>
    </w:p>
    <w:tbl>
      <w:tblPr>
        <w:tblW w:w="0" w:type="auto"/>
        <w:jc w:val="center"/>
        <w:tblLayout w:type="fixed"/>
        <w:tblCellMar>
          <w:left w:w="144" w:type="dxa"/>
          <w:right w:w="144" w:type="dxa"/>
        </w:tblCellMar>
        <w:tblLook w:val="0000" w:firstRow="0" w:lastRow="0" w:firstColumn="0" w:lastColumn="0" w:noHBand="0" w:noVBand="0"/>
      </w:tblPr>
      <w:tblGrid>
        <w:gridCol w:w="3443"/>
        <w:gridCol w:w="1621"/>
        <w:gridCol w:w="1621"/>
        <w:gridCol w:w="1621"/>
      </w:tblGrid>
      <w:tr w:rsidR="00A17E1F" w:rsidRPr="0005666F" w14:paraId="7BEAEEBE" w14:textId="77777777" w:rsidTr="00E81A57">
        <w:trPr>
          <w:jc w:val="center"/>
        </w:trPr>
        <w:tc>
          <w:tcPr>
            <w:tcW w:w="3443" w:type="dxa"/>
            <w:tcBorders>
              <w:top w:val="single" w:sz="4" w:space="0" w:color="auto"/>
              <w:left w:val="nil"/>
              <w:bottom w:val="single" w:sz="6" w:space="0" w:color="auto"/>
              <w:right w:val="nil"/>
            </w:tcBorders>
          </w:tcPr>
          <w:p w14:paraId="7B2B8C24" w14:textId="57990394" w:rsidR="00A17E1F" w:rsidRPr="0005666F" w:rsidRDefault="00A17E1F" w:rsidP="0005666F">
            <w:pPr>
              <w:autoSpaceDE w:val="0"/>
              <w:autoSpaceDN w:val="0"/>
              <w:adjustRightInd w:val="0"/>
              <w:spacing w:before="79" w:after="79"/>
              <w:ind w:firstLineChars="0" w:firstLine="0"/>
              <w:jc w:val="center"/>
              <w:rPr>
                <w:b/>
                <w:kern w:val="0"/>
                <w:sz w:val="22"/>
                <w:szCs w:val="21"/>
              </w:rPr>
            </w:pPr>
            <w:r w:rsidRPr="0005666F">
              <w:rPr>
                <w:b/>
                <w:sz w:val="22"/>
                <w:szCs w:val="21"/>
              </w:rPr>
              <w:t>Report Number</w:t>
            </w:r>
          </w:p>
        </w:tc>
        <w:tc>
          <w:tcPr>
            <w:tcW w:w="1621" w:type="dxa"/>
            <w:tcBorders>
              <w:top w:val="single" w:sz="4" w:space="0" w:color="auto"/>
              <w:left w:val="nil"/>
              <w:bottom w:val="single" w:sz="6" w:space="0" w:color="auto"/>
              <w:right w:val="nil"/>
            </w:tcBorders>
          </w:tcPr>
          <w:p w14:paraId="50AC4BD8" w14:textId="26308740" w:rsidR="00A17E1F" w:rsidRPr="0005666F" w:rsidRDefault="00A17E1F" w:rsidP="0005666F">
            <w:pPr>
              <w:autoSpaceDE w:val="0"/>
              <w:autoSpaceDN w:val="0"/>
              <w:adjustRightInd w:val="0"/>
              <w:spacing w:before="79" w:after="79"/>
              <w:ind w:firstLineChars="0" w:firstLine="0"/>
              <w:jc w:val="center"/>
              <w:rPr>
                <w:b/>
                <w:kern w:val="0"/>
                <w:sz w:val="22"/>
                <w:szCs w:val="21"/>
              </w:rPr>
            </w:pPr>
            <w:r w:rsidRPr="0005666F">
              <w:rPr>
                <w:b/>
                <w:sz w:val="22"/>
                <w:szCs w:val="21"/>
              </w:rPr>
              <w:t>Model(1)</w:t>
            </w:r>
          </w:p>
        </w:tc>
        <w:tc>
          <w:tcPr>
            <w:tcW w:w="1621" w:type="dxa"/>
            <w:tcBorders>
              <w:top w:val="single" w:sz="4" w:space="0" w:color="auto"/>
              <w:left w:val="nil"/>
              <w:bottom w:val="single" w:sz="6" w:space="0" w:color="auto"/>
              <w:right w:val="nil"/>
            </w:tcBorders>
          </w:tcPr>
          <w:p w14:paraId="7CE68697" w14:textId="4A6CED75" w:rsidR="00A17E1F" w:rsidRPr="0005666F" w:rsidRDefault="00A17E1F" w:rsidP="0005666F">
            <w:pPr>
              <w:autoSpaceDE w:val="0"/>
              <w:autoSpaceDN w:val="0"/>
              <w:adjustRightInd w:val="0"/>
              <w:spacing w:before="79" w:after="79"/>
              <w:ind w:firstLineChars="0" w:firstLine="0"/>
              <w:jc w:val="center"/>
              <w:rPr>
                <w:b/>
                <w:kern w:val="0"/>
                <w:sz w:val="22"/>
                <w:szCs w:val="21"/>
              </w:rPr>
            </w:pPr>
            <w:r w:rsidRPr="0005666F">
              <w:rPr>
                <w:b/>
                <w:sz w:val="22"/>
                <w:szCs w:val="21"/>
              </w:rPr>
              <w:t>Model(2)</w:t>
            </w:r>
          </w:p>
        </w:tc>
        <w:tc>
          <w:tcPr>
            <w:tcW w:w="1621" w:type="dxa"/>
            <w:tcBorders>
              <w:top w:val="single" w:sz="4" w:space="0" w:color="auto"/>
              <w:left w:val="nil"/>
              <w:bottom w:val="single" w:sz="6" w:space="0" w:color="auto"/>
              <w:right w:val="nil"/>
            </w:tcBorders>
          </w:tcPr>
          <w:p w14:paraId="32C648FD" w14:textId="2542CFBD" w:rsidR="00A17E1F" w:rsidRPr="0005666F" w:rsidRDefault="00A17E1F" w:rsidP="0005666F">
            <w:pPr>
              <w:autoSpaceDE w:val="0"/>
              <w:autoSpaceDN w:val="0"/>
              <w:adjustRightInd w:val="0"/>
              <w:spacing w:before="79" w:after="79"/>
              <w:ind w:firstLineChars="0" w:firstLine="0"/>
              <w:jc w:val="center"/>
              <w:rPr>
                <w:b/>
                <w:kern w:val="0"/>
                <w:sz w:val="22"/>
                <w:szCs w:val="21"/>
              </w:rPr>
            </w:pPr>
            <w:r w:rsidRPr="0005666F">
              <w:rPr>
                <w:b/>
                <w:sz w:val="22"/>
                <w:szCs w:val="21"/>
              </w:rPr>
              <w:t>Model(3)</w:t>
            </w:r>
          </w:p>
        </w:tc>
      </w:tr>
      <w:tr w:rsidR="00A17E1F" w:rsidRPr="0005666F" w14:paraId="5C55942D" w14:textId="77777777" w:rsidTr="0005666F">
        <w:trPr>
          <w:jc w:val="center"/>
        </w:trPr>
        <w:tc>
          <w:tcPr>
            <w:tcW w:w="3443" w:type="dxa"/>
            <w:vMerge w:val="restart"/>
            <w:tcBorders>
              <w:top w:val="single" w:sz="6" w:space="0" w:color="auto"/>
              <w:left w:val="nil"/>
              <w:right w:val="nil"/>
            </w:tcBorders>
          </w:tcPr>
          <w:p w14:paraId="7ED5F13F" w14:textId="083F71F6" w:rsidR="00A17E1F" w:rsidRPr="0005666F" w:rsidRDefault="00A17E1F" w:rsidP="0005666F">
            <w:pPr>
              <w:autoSpaceDE w:val="0"/>
              <w:autoSpaceDN w:val="0"/>
              <w:adjustRightInd w:val="0"/>
              <w:ind w:firstLineChars="0" w:firstLine="0"/>
              <w:jc w:val="center"/>
              <w:rPr>
                <w:b/>
                <w:kern w:val="0"/>
                <w:sz w:val="22"/>
                <w:szCs w:val="21"/>
              </w:rPr>
            </w:pPr>
            <w:r w:rsidRPr="0005666F">
              <w:rPr>
                <w:b/>
                <w:sz w:val="22"/>
                <w:szCs w:val="21"/>
              </w:rPr>
              <w:t>Sentiment Index</w:t>
            </w:r>
          </w:p>
        </w:tc>
        <w:tc>
          <w:tcPr>
            <w:tcW w:w="1621" w:type="dxa"/>
            <w:tcBorders>
              <w:top w:val="single" w:sz="6" w:space="0" w:color="auto"/>
              <w:left w:val="nil"/>
              <w:bottom w:val="nil"/>
              <w:right w:val="nil"/>
            </w:tcBorders>
            <w:vAlign w:val="center"/>
          </w:tcPr>
          <w:p w14:paraId="7094F266" w14:textId="598499D1"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0.0027</w:t>
            </w:r>
          </w:p>
        </w:tc>
        <w:tc>
          <w:tcPr>
            <w:tcW w:w="1621" w:type="dxa"/>
            <w:tcBorders>
              <w:top w:val="single" w:sz="6" w:space="0" w:color="auto"/>
              <w:left w:val="nil"/>
              <w:bottom w:val="nil"/>
              <w:right w:val="nil"/>
            </w:tcBorders>
            <w:vAlign w:val="center"/>
          </w:tcPr>
          <w:p w14:paraId="1D241E48" w14:textId="77777777" w:rsidR="00A17E1F" w:rsidRPr="0005666F" w:rsidRDefault="00A17E1F" w:rsidP="0005666F">
            <w:pPr>
              <w:tabs>
                <w:tab w:val="decimal" w:pos="811"/>
              </w:tabs>
              <w:autoSpaceDE w:val="0"/>
              <w:autoSpaceDN w:val="0"/>
              <w:adjustRightInd w:val="0"/>
              <w:ind w:firstLineChars="0" w:firstLine="0"/>
              <w:rPr>
                <w:kern w:val="0"/>
                <w:sz w:val="22"/>
                <w:szCs w:val="21"/>
              </w:rPr>
            </w:pPr>
          </w:p>
        </w:tc>
        <w:tc>
          <w:tcPr>
            <w:tcW w:w="1621" w:type="dxa"/>
            <w:tcBorders>
              <w:top w:val="single" w:sz="6" w:space="0" w:color="auto"/>
              <w:left w:val="nil"/>
              <w:bottom w:val="nil"/>
              <w:right w:val="nil"/>
            </w:tcBorders>
            <w:vAlign w:val="center"/>
          </w:tcPr>
          <w:p w14:paraId="0DAA60F0" w14:textId="60AE2E16"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0.0026</w:t>
            </w:r>
          </w:p>
        </w:tc>
      </w:tr>
      <w:tr w:rsidR="00A17E1F" w:rsidRPr="0005666F" w14:paraId="7EAC3D5F" w14:textId="77777777" w:rsidTr="0005666F">
        <w:trPr>
          <w:jc w:val="center"/>
        </w:trPr>
        <w:tc>
          <w:tcPr>
            <w:tcW w:w="3443" w:type="dxa"/>
            <w:vMerge/>
            <w:tcBorders>
              <w:left w:val="nil"/>
              <w:bottom w:val="nil"/>
              <w:right w:val="nil"/>
            </w:tcBorders>
          </w:tcPr>
          <w:p w14:paraId="5A227D01" w14:textId="77777777" w:rsidR="00A17E1F" w:rsidRPr="0005666F" w:rsidRDefault="00A17E1F" w:rsidP="0005666F">
            <w:pPr>
              <w:autoSpaceDE w:val="0"/>
              <w:autoSpaceDN w:val="0"/>
              <w:adjustRightInd w:val="0"/>
              <w:ind w:firstLineChars="0" w:firstLine="0"/>
              <w:jc w:val="center"/>
              <w:rPr>
                <w:b/>
                <w:kern w:val="0"/>
                <w:sz w:val="22"/>
                <w:szCs w:val="21"/>
              </w:rPr>
            </w:pPr>
          </w:p>
        </w:tc>
        <w:tc>
          <w:tcPr>
            <w:tcW w:w="1621" w:type="dxa"/>
            <w:tcBorders>
              <w:top w:val="nil"/>
              <w:left w:val="nil"/>
              <w:bottom w:val="nil"/>
              <w:right w:val="nil"/>
            </w:tcBorders>
            <w:vAlign w:val="center"/>
          </w:tcPr>
          <w:p w14:paraId="78227676" w14:textId="0353A84B"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(2.05)*</w:t>
            </w:r>
          </w:p>
        </w:tc>
        <w:tc>
          <w:tcPr>
            <w:tcW w:w="1621" w:type="dxa"/>
            <w:tcBorders>
              <w:top w:val="nil"/>
              <w:left w:val="nil"/>
              <w:bottom w:val="nil"/>
              <w:right w:val="nil"/>
            </w:tcBorders>
            <w:vAlign w:val="center"/>
          </w:tcPr>
          <w:p w14:paraId="5D278AAC" w14:textId="77777777" w:rsidR="00A17E1F" w:rsidRPr="0005666F" w:rsidRDefault="00A17E1F" w:rsidP="0005666F">
            <w:pPr>
              <w:tabs>
                <w:tab w:val="decimal" w:pos="811"/>
              </w:tabs>
              <w:autoSpaceDE w:val="0"/>
              <w:autoSpaceDN w:val="0"/>
              <w:adjustRightInd w:val="0"/>
              <w:ind w:firstLineChars="0" w:firstLine="0"/>
              <w:rPr>
                <w:kern w:val="0"/>
                <w:sz w:val="22"/>
                <w:szCs w:val="21"/>
              </w:rPr>
            </w:pPr>
          </w:p>
        </w:tc>
        <w:tc>
          <w:tcPr>
            <w:tcW w:w="1621" w:type="dxa"/>
            <w:tcBorders>
              <w:top w:val="nil"/>
              <w:left w:val="nil"/>
              <w:bottom w:val="nil"/>
              <w:right w:val="nil"/>
            </w:tcBorders>
            <w:vAlign w:val="center"/>
          </w:tcPr>
          <w:p w14:paraId="50FFC16C" w14:textId="3A062DCD"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(2.02)*</w:t>
            </w:r>
          </w:p>
        </w:tc>
      </w:tr>
      <w:tr w:rsidR="00A17E1F" w:rsidRPr="0005666F" w14:paraId="3A22C0B3" w14:textId="77777777" w:rsidTr="0005666F">
        <w:trPr>
          <w:jc w:val="center"/>
        </w:trPr>
        <w:tc>
          <w:tcPr>
            <w:tcW w:w="3443" w:type="dxa"/>
            <w:vMerge w:val="restart"/>
            <w:tcBorders>
              <w:top w:val="nil"/>
              <w:left w:val="nil"/>
              <w:right w:val="nil"/>
            </w:tcBorders>
          </w:tcPr>
          <w:p w14:paraId="30BB705B" w14:textId="050390CF" w:rsidR="00A17E1F" w:rsidRPr="0005666F" w:rsidRDefault="00A17E1F" w:rsidP="0005666F">
            <w:pPr>
              <w:autoSpaceDE w:val="0"/>
              <w:autoSpaceDN w:val="0"/>
              <w:adjustRightInd w:val="0"/>
              <w:ind w:firstLineChars="0" w:firstLine="0"/>
              <w:jc w:val="center"/>
              <w:rPr>
                <w:b/>
                <w:kern w:val="0"/>
                <w:sz w:val="22"/>
                <w:szCs w:val="21"/>
              </w:rPr>
            </w:pPr>
            <w:r w:rsidRPr="0005666F">
              <w:rPr>
                <w:b/>
                <w:sz w:val="22"/>
                <w:szCs w:val="21"/>
              </w:rPr>
              <w:t>Market Return</w:t>
            </w:r>
          </w:p>
        </w:tc>
        <w:tc>
          <w:tcPr>
            <w:tcW w:w="1621" w:type="dxa"/>
            <w:tcBorders>
              <w:top w:val="nil"/>
              <w:left w:val="nil"/>
              <w:bottom w:val="nil"/>
              <w:right w:val="nil"/>
            </w:tcBorders>
            <w:vAlign w:val="center"/>
          </w:tcPr>
          <w:p w14:paraId="21D21CDD" w14:textId="77777777" w:rsidR="00A17E1F" w:rsidRPr="0005666F" w:rsidRDefault="00A17E1F" w:rsidP="0005666F">
            <w:pPr>
              <w:tabs>
                <w:tab w:val="decimal" w:pos="538"/>
              </w:tabs>
              <w:autoSpaceDE w:val="0"/>
              <w:autoSpaceDN w:val="0"/>
              <w:adjustRightInd w:val="0"/>
              <w:ind w:firstLineChars="0" w:firstLine="0"/>
              <w:rPr>
                <w:kern w:val="0"/>
                <w:sz w:val="22"/>
                <w:szCs w:val="21"/>
              </w:rPr>
            </w:pPr>
          </w:p>
        </w:tc>
        <w:tc>
          <w:tcPr>
            <w:tcW w:w="1621" w:type="dxa"/>
            <w:tcBorders>
              <w:top w:val="nil"/>
              <w:left w:val="nil"/>
              <w:bottom w:val="nil"/>
              <w:right w:val="nil"/>
            </w:tcBorders>
            <w:vAlign w:val="center"/>
          </w:tcPr>
          <w:p w14:paraId="14AA20E8" w14:textId="3F57DC46" w:rsidR="00A17E1F" w:rsidRPr="0005666F" w:rsidRDefault="00A17E1F" w:rsidP="0005666F">
            <w:pPr>
              <w:tabs>
                <w:tab w:val="decimal" w:pos="546"/>
              </w:tabs>
              <w:autoSpaceDE w:val="0"/>
              <w:autoSpaceDN w:val="0"/>
              <w:adjustRightInd w:val="0"/>
              <w:ind w:firstLineChars="0" w:firstLine="0"/>
              <w:rPr>
                <w:kern w:val="0"/>
                <w:sz w:val="22"/>
                <w:szCs w:val="21"/>
              </w:rPr>
            </w:pPr>
            <w:r w:rsidRPr="0005666F">
              <w:rPr>
                <w:sz w:val="22"/>
                <w:szCs w:val="21"/>
              </w:rPr>
              <w:t>-0.0005</w:t>
            </w:r>
          </w:p>
        </w:tc>
        <w:tc>
          <w:tcPr>
            <w:tcW w:w="1621" w:type="dxa"/>
            <w:tcBorders>
              <w:top w:val="nil"/>
              <w:left w:val="nil"/>
              <w:bottom w:val="nil"/>
              <w:right w:val="nil"/>
            </w:tcBorders>
            <w:vAlign w:val="center"/>
          </w:tcPr>
          <w:p w14:paraId="5DBD16DB" w14:textId="26AA0254"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-0.0005</w:t>
            </w:r>
          </w:p>
        </w:tc>
      </w:tr>
      <w:tr w:rsidR="00A17E1F" w:rsidRPr="0005666F" w14:paraId="2168F87D" w14:textId="77777777" w:rsidTr="0005666F">
        <w:trPr>
          <w:jc w:val="center"/>
        </w:trPr>
        <w:tc>
          <w:tcPr>
            <w:tcW w:w="3443" w:type="dxa"/>
            <w:vMerge/>
            <w:tcBorders>
              <w:left w:val="nil"/>
              <w:bottom w:val="nil"/>
              <w:right w:val="nil"/>
            </w:tcBorders>
          </w:tcPr>
          <w:p w14:paraId="62477781" w14:textId="77777777" w:rsidR="00A17E1F" w:rsidRPr="0005666F" w:rsidRDefault="00A17E1F" w:rsidP="0005666F">
            <w:pPr>
              <w:autoSpaceDE w:val="0"/>
              <w:autoSpaceDN w:val="0"/>
              <w:adjustRightInd w:val="0"/>
              <w:ind w:firstLineChars="0" w:firstLine="0"/>
              <w:jc w:val="center"/>
              <w:rPr>
                <w:b/>
                <w:kern w:val="0"/>
                <w:sz w:val="22"/>
                <w:szCs w:val="21"/>
              </w:rPr>
            </w:pPr>
          </w:p>
        </w:tc>
        <w:tc>
          <w:tcPr>
            <w:tcW w:w="1621" w:type="dxa"/>
            <w:tcBorders>
              <w:top w:val="nil"/>
              <w:left w:val="nil"/>
              <w:bottom w:val="nil"/>
              <w:right w:val="nil"/>
            </w:tcBorders>
            <w:vAlign w:val="center"/>
          </w:tcPr>
          <w:p w14:paraId="6AC07FF4" w14:textId="77777777" w:rsidR="00A17E1F" w:rsidRPr="0005666F" w:rsidRDefault="00A17E1F" w:rsidP="0005666F">
            <w:pPr>
              <w:tabs>
                <w:tab w:val="decimal" w:pos="538"/>
              </w:tabs>
              <w:autoSpaceDE w:val="0"/>
              <w:autoSpaceDN w:val="0"/>
              <w:adjustRightInd w:val="0"/>
              <w:ind w:firstLineChars="0" w:firstLine="0"/>
              <w:rPr>
                <w:kern w:val="0"/>
                <w:sz w:val="22"/>
                <w:szCs w:val="21"/>
              </w:rPr>
            </w:pPr>
          </w:p>
        </w:tc>
        <w:tc>
          <w:tcPr>
            <w:tcW w:w="1621" w:type="dxa"/>
            <w:tcBorders>
              <w:top w:val="nil"/>
              <w:left w:val="nil"/>
              <w:bottom w:val="nil"/>
              <w:right w:val="nil"/>
            </w:tcBorders>
            <w:vAlign w:val="center"/>
          </w:tcPr>
          <w:p w14:paraId="75F9A9A6" w14:textId="224BADC2" w:rsidR="00A17E1F" w:rsidRPr="0005666F" w:rsidRDefault="00A17E1F" w:rsidP="0005666F">
            <w:pPr>
              <w:tabs>
                <w:tab w:val="decimal" w:pos="546"/>
              </w:tabs>
              <w:autoSpaceDE w:val="0"/>
              <w:autoSpaceDN w:val="0"/>
              <w:adjustRightInd w:val="0"/>
              <w:ind w:firstLineChars="0" w:firstLine="0"/>
              <w:rPr>
                <w:kern w:val="0"/>
                <w:sz w:val="22"/>
                <w:szCs w:val="21"/>
              </w:rPr>
            </w:pPr>
            <w:r w:rsidRPr="0005666F">
              <w:rPr>
                <w:sz w:val="22"/>
                <w:szCs w:val="21"/>
              </w:rPr>
              <w:t>(1.95)</w:t>
            </w:r>
          </w:p>
        </w:tc>
        <w:tc>
          <w:tcPr>
            <w:tcW w:w="1621" w:type="dxa"/>
            <w:tcBorders>
              <w:top w:val="nil"/>
              <w:left w:val="nil"/>
              <w:bottom w:val="nil"/>
              <w:right w:val="nil"/>
            </w:tcBorders>
            <w:vAlign w:val="center"/>
          </w:tcPr>
          <w:p w14:paraId="05EE48BC" w14:textId="0CF07A9B"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(1.92)</w:t>
            </w:r>
          </w:p>
        </w:tc>
      </w:tr>
      <w:tr w:rsidR="00A17E1F" w:rsidRPr="0005666F" w14:paraId="4A643E65" w14:textId="77777777" w:rsidTr="0005666F">
        <w:trPr>
          <w:jc w:val="center"/>
        </w:trPr>
        <w:tc>
          <w:tcPr>
            <w:tcW w:w="3443" w:type="dxa"/>
            <w:vMerge w:val="restart"/>
            <w:tcBorders>
              <w:top w:val="nil"/>
              <w:left w:val="nil"/>
              <w:right w:val="nil"/>
            </w:tcBorders>
          </w:tcPr>
          <w:p w14:paraId="5311A2FC" w14:textId="3B399BB4" w:rsidR="00A17E1F" w:rsidRPr="0005666F" w:rsidRDefault="0005666F" w:rsidP="0005666F">
            <w:pPr>
              <w:autoSpaceDE w:val="0"/>
              <w:autoSpaceDN w:val="0"/>
              <w:adjustRightInd w:val="0"/>
              <w:ind w:firstLineChars="0" w:firstLine="0"/>
              <w:jc w:val="center"/>
              <w:rPr>
                <w:b/>
                <w:kern w:val="0"/>
                <w:sz w:val="22"/>
                <w:szCs w:val="21"/>
              </w:rPr>
            </w:pPr>
            <w:r>
              <w:rPr>
                <w:b/>
                <w:sz w:val="22"/>
                <w:szCs w:val="21"/>
              </w:rPr>
              <w:t>_</w:t>
            </w:r>
            <w:r w:rsidR="00A17E1F" w:rsidRPr="0005666F">
              <w:rPr>
                <w:b/>
                <w:sz w:val="22"/>
                <w:szCs w:val="21"/>
              </w:rPr>
              <w:t>Cons</w:t>
            </w:r>
          </w:p>
        </w:tc>
        <w:tc>
          <w:tcPr>
            <w:tcW w:w="1621" w:type="dxa"/>
            <w:tcBorders>
              <w:top w:val="nil"/>
              <w:left w:val="nil"/>
              <w:bottom w:val="nil"/>
              <w:right w:val="nil"/>
            </w:tcBorders>
            <w:vAlign w:val="center"/>
          </w:tcPr>
          <w:p w14:paraId="66A673A3" w14:textId="618B0C7A"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0.0691</w:t>
            </w:r>
          </w:p>
        </w:tc>
        <w:tc>
          <w:tcPr>
            <w:tcW w:w="1621" w:type="dxa"/>
            <w:tcBorders>
              <w:top w:val="nil"/>
              <w:left w:val="nil"/>
              <w:bottom w:val="nil"/>
              <w:right w:val="nil"/>
            </w:tcBorders>
            <w:vAlign w:val="center"/>
          </w:tcPr>
          <w:p w14:paraId="1AAF291B" w14:textId="4AB82B8D" w:rsidR="00A17E1F" w:rsidRPr="0005666F" w:rsidRDefault="00A17E1F" w:rsidP="0005666F">
            <w:pPr>
              <w:tabs>
                <w:tab w:val="decimal" w:pos="546"/>
              </w:tabs>
              <w:autoSpaceDE w:val="0"/>
              <w:autoSpaceDN w:val="0"/>
              <w:adjustRightInd w:val="0"/>
              <w:ind w:firstLineChars="0" w:firstLine="0"/>
              <w:rPr>
                <w:kern w:val="0"/>
                <w:sz w:val="22"/>
                <w:szCs w:val="21"/>
              </w:rPr>
            </w:pPr>
            <w:r w:rsidRPr="0005666F">
              <w:rPr>
                <w:sz w:val="22"/>
                <w:szCs w:val="21"/>
              </w:rPr>
              <w:t>0.0840</w:t>
            </w:r>
          </w:p>
        </w:tc>
        <w:tc>
          <w:tcPr>
            <w:tcW w:w="1621" w:type="dxa"/>
            <w:tcBorders>
              <w:top w:val="nil"/>
              <w:left w:val="nil"/>
              <w:bottom w:val="nil"/>
              <w:right w:val="nil"/>
            </w:tcBorders>
            <w:vAlign w:val="center"/>
          </w:tcPr>
          <w:p w14:paraId="4CC8B212" w14:textId="3A977740"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0.0701</w:t>
            </w:r>
          </w:p>
        </w:tc>
      </w:tr>
      <w:tr w:rsidR="00A17E1F" w:rsidRPr="0005666F" w14:paraId="312FF818" w14:textId="77777777" w:rsidTr="0005666F">
        <w:trPr>
          <w:jc w:val="center"/>
        </w:trPr>
        <w:tc>
          <w:tcPr>
            <w:tcW w:w="3443" w:type="dxa"/>
            <w:vMerge/>
            <w:tcBorders>
              <w:left w:val="nil"/>
              <w:bottom w:val="double" w:sz="4" w:space="0" w:color="auto"/>
              <w:right w:val="nil"/>
            </w:tcBorders>
          </w:tcPr>
          <w:p w14:paraId="02BA8B14" w14:textId="77777777" w:rsidR="00A17E1F" w:rsidRPr="0005666F" w:rsidRDefault="00A17E1F" w:rsidP="0005666F">
            <w:pPr>
              <w:autoSpaceDE w:val="0"/>
              <w:autoSpaceDN w:val="0"/>
              <w:adjustRightInd w:val="0"/>
              <w:ind w:firstLineChars="0" w:firstLine="0"/>
              <w:jc w:val="center"/>
              <w:rPr>
                <w:b/>
                <w:kern w:val="0"/>
                <w:sz w:val="22"/>
                <w:szCs w:val="21"/>
              </w:rPr>
            </w:pPr>
          </w:p>
        </w:tc>
        <w:tc>
          <w:tcPr>
            <w:tcW w:w="1621" w:type="dxa"/>
            <w:tcBorders>
              <w:top w:val="nil"/>
              <w:left w:val="nil"/>
              <w:bottom w:val="double" w:sz="4" w:space="0" w:color="auto"/>
              <w:right w:val="nil"/>
            </w:tcBorders>
            <w:vAlign w:val="center"/>
          </w:tcPr>
          <w:p w14:paraId="49761E56" w14:textId="4B502FA0"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(9.55)**</w:t>
            </w:r>
          </w:p>
        </w:tc>
        <w:tc>
          <w:tcPr>
            <w:tcW w:w="1621" w:type="dxa"/>
            <w:tcBorders>
              <w:top w:val="nil"/>
              <w:left w:val="nil"/>
              <w:bottom w:val="double" w:sz="4" w:space="0" w:color="auto"/>
              <w:right w:val="nil"/>
            </w:tcBorders>
            <w:vAlign w:val="center"/>
          </w:tcPr>
          <w:p w14:paraId="53769931" w14:textId="54F0FEE0" w:rsidR="00A17E1F" w:rsidRPr="0005666F" w:rsidRDefault="00A17E1F" w:rsidP="0005666F">
            <w:pPr>
              <w:tabs>
                <w:tab w:val="decimal" w:pos="546"/>
              </w:tabs>
              <w:autoSpaceDE w:val="0"/>
              <w:autoSpaceDN w:val="0"/>
              <w:adjustRightInd w:val="0"/>
              <w:ind w:firstLineChars="0" w:firstLine="0"/>
              <w:rPr>
                <w:kern w:val="0"/>
                <w:sz w:val="22"/>
                <w:szCs w:val="21"/>
              </w:rPr>
            </w:pPr>
            <w:r w:rsidRPr="0005666F">
              <w:rPr>
                <w:sz w:val="22"/>
                <w:szCs w:val="21"/>
              </w:rPr>
              <w:t>(39.91)**</w:t>
            </w:r>
          </w:p>
        </w:tc>
        <w:tc>
          <w:tcPr>
            <w:tcW w:w="1621" w:type="dxa"/>
            <w:tcBorders>
              <w:top w:val="nil"/>
              <w:left w:val="nil"/>
              <w:bottom w:val="double" w:sz="4" w:space="0" w:color="auto"/>
              <w:right w:val="nil"/>
            </w:tcBorders>
            <w:vAlign w:val="center"/>
          </w:tcPr>
          <w:p w14:paraId="07DFD661" w14:textId="7EE1AD85" w:rsidR="00A17E1F" w:rsidRPr="0005666F" w:rsidRDefault="00A17E1F" w:rsidP="0005666F">
            <w:pPr>
              <w:tabs>
                <w:tab w:val="decimal" w:pos="538"/>
              </w:tabs>
              <w:autoSpaceDE w:val="0"/>
              <w:autoSpaceDN w:val="0"/>
              <w:adjustRightInd w:val="0"/>
              <w:ind w:firstLineChars="0" w:firstLine="0"/>
              <w:rPr>
                <w:kern w:val="0"/>
                <w:sz w:val="22"/>
                <w:szCs w:val="21"/>
              </w:rPr>
            </w:pPr>
            <w:r w:rsidRPr="0005666F">
              <w:rPr>
                <w:sz w:val="22"/>
                <w:szCs w:val="21"/>
              </w:rPr>
              <w:t>(9.78)**</w:t>
            </w:r>
          </w:p>
        </w:tc>
      </w:tr>
      <w:tr w:rsidR="00A17E1F" w:rsidRPr="0005666F" w14:paraId="1C4F2E92" w14:textId="77777777" w:rsidTr="00E81A57">
        <w:trPr>
          <w:jc w:val="center"/>
        </w:trPr>
        <w:tc>
          <w:tcPr>
            <w:tcW w:w="3443" w:type="dxa"/>
            <w:tcBorders>
              <w:top w:val="double" w:sz="4" w:space="0" w:color="auto"/>
              <w:left w:val="nil"/>
              <w:right w:val="nil"/>
            </w:tcBorders>
          </w:tcPr>
          <w:p w14:paraId="184D74AE" w14:textId="24FF518D" w:rsidR="00A17E1F" w:rsidRPr="0005666F" w:rsidRDefault="00A17E1F" w:rsidP="0005666F">
            <w:pPr>
              <w:autoSpaceDE w:val="0"/>
              <w:autoSpaceDN w:val="0"/>
              <w:adjustRightInd w:val="0"/>
              <w:ind w:firstLineChars="0" w:firstLine="0"/>
              <w:jc w:val="center"/>
              <w:rPr>
                <w:b/>
                <w:kern w:val="0"/>
                <w:sz w:val="22"/>
                <w:szCs w:val="21"/>
              </w:rPr>
            </w:pPr>
            <w:r w:rsidRPr="0005666F">
              <w:rPr>
                <w:b/>
                <w:sz w:val="22"/>
                <w:szCs w:val="21"/>
              </w:rPr>
              <w:t>F Statistics</w:t>
            </w:r>
          </w:p>
        </w:tc>
        <w:tc>
          <w:tcPr>
            <w:tcW w:w="1621" w:type="dxa"/>
            <w:tcBorders>
              <w:top w:val="double" w:sz="4" w:space="0" w:color="auto"/>
              <w:left w:val="nil"/>
              <w:right w:val="nil"/>
            </w:tcBorders>
            <w:vAlign w:val="center"/>
          </w:tcPr>
          <w:p w14:paraId="6E820762" w14:textId="77A5D0C1" w:rsidR="00A17E1F" w:rsidRPr="0005666F" w:rsidRDefault="00A17E1F" w:rsidP="0005666F">
            <w:pPr>
              <w:tabs>
                <w:tab w:val="decimal" w:pos="538"/>
              </w:tabs>
              <w:autoSpaceDE w:val="0"/>
              <w:autoSpaceDN w:val="0"/>
              <w:adjustRightInd w:val="0"/>
              <w:ind w:firstLineChars="0" w:firstLine="0"/>
              <w:rPr>
                <w:b/>
                <w:kern w:val="0"/>
                <w:sz w:val="22"/>
                <w:szCs w:val="21"/>
              </w:rPr>
            </w:pPr>
            <w:r w:rsidRPr="0005666F">
              <w:rPr>
                <w:b/>
                <w:sz w:val="22"/>
                <w:szCs w:val="21"/>
              </w:rPr>
              <w:t>4.20</w:t>
            </w:r>
          </w:p>
        </w:tc>
        <w:tc>
          <w:tcPr>
            <w:tcW w:w="1621" w:type="dxa"/>
            <w:tcBorders>
              <w:top w:val="double" w:sz="4" w:space="0" w:color="auto"/>
              <w:left w:val="nil"/>
              <w:right w:val="nil"/>
            </w:tcBorders>
            <w:vAlign w:val="center"/>
          </w:tcPr>
          <w:p w14:paraId="0D622215" w14:textId="3DA3469B" w:rsidR="00A17E1F" w:rsidRPr="0005666F" w:rsidRDefault="00A17E1F" w:rsidP="0005666F">
            <w:pPr>
              <w:tabs>
                <w:tab w:val="decimal" w:pos="546"/>
              </w:tabs>
              <w:autoSpaceDE w:val="0"/>
              <w:autoSpaceDN w:val="0"/>
              <w:adjustRightInd w:val="0"/>
              <w:ind w:firstLineChars="0" w:firstLine="0"/>
              <w:rPr>
                <w:b/>
                <w:kern w:val="0"/>
                <w:sz w:val="22"/>
                <w:szCs w:val="21"/>
              </w:rPr>
            </w:pPr>
            <w:r w:rsidRPr="0005666F">
              <w:rPr>
                <w:b/>
                <w:sz w:val="22"/>
                <w:szCs w:val="21"/>
              </w:rPr>
              <w:t>3.80</w:t>
            </w:r>
          </w:p>
        </w:tc>
        <w:tc>
          <w:tcPr>
            <w:tcW w:w="1621" w:type="dxa"/>
            <w:tcBorders>
              <w:top w:val="double" w:sz="4" w:space="0" w:color="auto"/>
              <w:left w:val="nil"/>
              <w:right w:val="nil"/>
            </w:tcBorders>
            <w:vAlign w:val="center"/>
          </w:tcPr>
          <w:p w14:paraId="08C22D44" w14:textId="7A31328E" w:rsidR="00A17E1F" w:rsidRPr="0005666F" w:rsidRDefault="00A17E1F" w:rsidP="0005666F">
            <w:pPr>
              <w:tabs>
                <w:tab w:val="decimal" w:pos="538"/>
              </w:tabs>
              <w:autoSpaceDE w:val="0"/>
              <w:autoSpaceDN w:val="0"/>
              <w:adjustRightInd w:val="0"/>
              <w:ind w:firstLineChars="0" w:firstLine="0"/>
              <w:rPr>
                <w:b/>
                <w:kern w:val="0"/>
                <w:sz w:val="22"/>
                <w:szCs w:val="21"/>
              </w:rPr>
            </w:pPr>
            <w:r w:rsidRPr="0005666F">
              <w:rPr>
                <w:b/>
                <w:sz w:val="22"/>
                <w:szCs w:val="21"/>
              </w:rPr>
              <w:t>4.00</w:t>
            </w:r>
          </w:p>
        </w:tc>
      </w:tr>
      <w:tr w:rsidR="00A17E1F" w:rsidRPr="0005666F" w14:paraId="610469D5" w14:textId="77777777" w:rsidTr="00E81A57">
        <w:trPr>
          <w:jc w:val="center"/>
        </w:trPr>
        <w:tc>
          <w:tcPr>
            <w:tcW w:w="3443" w:type="dxa"/>
            <w:tcBorders>
              <w:top w:val="nil"/>
              <w:left w:val="nil"/>
              <w:bottom w:val="single" w:sz="4" w:space="0" w:color="auto"/>
              <w:right w:val="nil"/>
            </w:tcBorders>
          </w:tcPr>
          <w:p w14:paraId="24BA589A" w14:textId="1AD06572" w:rsidR="00A17E1F" w:rsidRPr="0005666F" w:rsidRDefault="00A17E1F" w:rsidP="0005666F">
            <w:pPr>
              <w:autoSpaceDE w:val="0"/>
              <w:autoSpaceDN w:val="0"/>
              <w:adjustRightInd w:val="0"/>
              <w:ind w:firstLineChars="0" w:firstLine="0"/>
              <w:jc w:val="center"/>
              <w:rPr>
                <w:b/>
                <w:kern w:val="0"/>
                <w:sz w:val="22"/>
                <w:szCs w:val="21"/>
              </w:rPr>
            </w:pPr>
            <w:r w:rsidRPr="0005666F">
              <w:rPr>
                <w:b/>
                <w:sz w:val="22"/>
                <w:szCs w:val="21"/>
              </w:rPr>
              <w:t>R2</w:t>
            </w:r>
          </w:p>
        </w:tc>
        <w:tc>
          <w:tcPr>
            <w:tcW w:w="1621" w:type="dxa"/>
            <w:tcBorders>
              <w:top w:val="nil"/>
              <w:left w:val="nil"/>
              <w:bottom w:val="single" w:sz="4" w:space="0" w:color="auto"/>
              <w:right w:val="nil"/>
            </w:tcBorders>
            <w:vAlign w:val="center"/>
          </w:tcPr>
          <w:p w14:paraId="1BE5E350" w14:textId="23A49438" w:rsidR="00A17E1F" w:rsidRPr="0005666F" w:rsidRDefault="00A17E1F" w:rsidP="0005666F">
            <w:pPr>
              <w:tabs>
                <w:tab w:val="decimal" w:pos="538"/>
              </w:tabs>
              <w:autoSpaceDE w:val="0"/>
              <w:autoSpaceDN w:val="0"/>
              <w:adjustRightInd w:val="0"/>
              <w:ind w:firstLineChars="0" w:firstLine="0"/>
              <w:rPr>
                <w:b/>
                <w:kern w:val="0"/>
                <w:sz w:val="22"/>
                <w:szCs w:val="21"/>
              </w:rPr>
            </w:pPr>
            <w:r w:rsidRPr="0005666F">
              <w:rPr>
                <w:b/>
                <w:sz w:val="22"/>
                <w:szCs w:val="21"/>
              </w:rPr>
              <w:t>0.04</w:t>
            </w:r>
          </w:p>
        </w:tc>
        <w:tc>
          <w:tcPr>
            <w:tcW w:w="1621" w:type="dxa"/>
            <w:tcBorders>
              <w:top w:val="nil"/>
              <w:left w:val="nil"/>
              <w:bottom w:val="single" w:sz="4" w:space="0" w:color="auto"/>
              <w:right w:val="nil"/>
            </w:tcBorders>
            <w:vAlign w:val="center"/>
          </w:tcPr>
          <w:p w14:paraId="5D4E45F5" w14:textId="7E2328CB" w:rsidR="00A17E1F" w:rsidRPr="0005666F" w:rsidRDefault="00A17E1F" w:rsidP="0005666F">
            <w:pPr>
              <w:tabs>
                <w:tab w:val="decimal" w:pos="546"/>
              </w:tabs>
              <w:autoSpaceDE w:val="0"/>
              <w:autoSpaceDN w:val="0"/>
              <w:adjustRightInd w:val="0"/>
              <w:ind w:firstLineChars="0" w:firstLine="0"/>
              <w:rPr>
                <w:b/>
                <w:kern w:val="0"/>
                <w:sz w:val="22"/>
                <w:szCs w:val="21"/>
              </w:rPr>
            </w:pPr>
            <w:r w:rsidRPr="0005666F">
              <w:rPr>
                <w:b/>
                <w:sz w:val="22"/>
                <w:szCs w:val="21"/>
              </w:rPr>
              <w:t>0.03</w:t>
            </w:r>
          </w:p>
        </w:tc>
        <w:tc>
          <w:tcPr>
            <w:tcW w:w="1621" w:type="dxa"/>
            <w:tcBorders>
              <w:top w:val="nil"/>
              <w:left w:val="nil"/>
              <w:bottom w:val="single" w:sz="4" w:space="0" w:color="auto"/>
              <w:right w:val="nil"/>
            </w:tcBorders>
            <w:vAlign w:val="center"/>
          </w:tcPr>
          <w:p w14:paraId="1EDEB64D" w14:textId="3F779FFE" w:rsidR="00A17E1F" w:rsidRPr="0005666F" w:rsidRDefault="00A17E1F" w:rsidP="0005666F">
            <w:pPr>
              <w:tabs>
                <w:tab w:val="decimal" w:pos="538"/>
              </w:tabs>
              <w:autoSpaceDE w:val="0"/>
              <w:autoSpaceDN w:val="0"/>
              <w:adjustRightInd w:val="0"/>
              <w:ind w:firstLineChars="0" w:firstLine="0"/>
              <w:rPr>
                <w:b/>
                <w:kern w:val="0"/>
                <w:sz w:val="22"/>
                <w:szCs w:val="21"/>
              </w:rPr>
            </w:pPr>
            <w:r w:rsidRPr="0005666F">
              <w:rPr>
                <w:b/>
                <w:sz w:val="22"/>
                <w:szCs w:val="21"/>
              </w:rPr>
              <w:t>0.07</w:t>
            </w:r>
          </w:p>
        </w:tc>
      </w:tr>
    </w:tbl>
    <w:p w14:paraId="015D039F" w14:textId="5069FB58" w:rsidR="003C7D82" w:rsidRDefault="009A295C" w:rsidP="003C7D82">
      <w:pPr>
        <w:pStyle w:val="ae"/>
      </w:pPr>
      <w:r>
        <w:rPr>
          <w:rFonts w:hint="eastAsia"/>
        </w:rPr>
        <w:t>注：</w:t>
      </w:r>
      <w:r w:rsidR="003C7D82">
        <w:t xml:space="preserve">* </w:t>
      </w:r>
      <w:r w:rsidR="003C7D82">
        <w:rPr>
          <w:i/>
          <w:iCs/>
        </w:rPr>
        <w:t>p</w:t>
      </w:r>
      <w:r w:rsidR="003C7D82">
        <w:t xml:space="preserve">&lt;0.05; ** </w:t>
      </w:r>
      <w:r w:rsidR="003C7D82">
        <w:rPr>
          <w:i/>
          <w:iCs/>
        </w:rPr>
        <w:t>p</w:t>
      </w:r>
      <w:r w:rsidR="003C7D82">
        <w:t>&lt;0.01</w:t>
      </w:r>
    </w:p>
    <w:p w14:paraId="31BE6924" w14:textId="61B9F56A" w:rsidR="00A17E1F" w:rsidRDefault="00A17E1F" w:rsidP="006E7775"/>
    <w:p w14:paraId="3608CC8F" w14:textId="0338AD62" w:rsidR="00732D74" w:rsidRPr="00732D74" w:rsidRDefault="00732D74" w:rsidP="006E7775">
      <w:pPr>
        <w:rPr>
          <w:rFonts w:hint="eastAsia"/>
        </w:rPr>
      </w:pPr>
      <w:r>
        <w:rPr>
          <w:rFonts w:hint="eastAsia"/>
        </w:rPr>
        <w:t>总体来看，各月的</w:t>
      </w:r>
      <w:r>
        <w:t>SENT</w:t>
      </w:r>
      <w:r>
        <w:rPr>
          <w:rFonts w:hint="eastAsia"/>
        </w:rPr>
        <w:t>情绪指数和深度研究报告报告数量显著正相关，与</w:t>
      </w:r>
      <w:r w:rsidR="00E81A57">
        <w:rPr>
          <w:rFonts w:hint="eastAsia"/>
        </w:rPr>
        <w:t>本文</w:t>
      </w:r>
      <w:r>
        <w:rPr>
          <w:rFonts w:hint="eastAsia"/>
        </w:rPr>
        <w:t>预期</w:t>
      </w:r>
      <w:r w:rsidRPr="00732D74">
        <w:rPr>
          <w:rFonts w:hint="eastAsia"/>
        </w:rPr>
        <w:t>相符</w:t>
      </w:r>
      <w:r w:rsidR="00E81A57">
        <w:rPr>
          <w:rFonts w:hint="eastAsia"/>
        </w:rPr>
        <w:t>，当市场整体投资者情绪高涨时，分析师发布的报告数量更多</w:t>
      </w:r>
      <w:r w:rsidRPr="00732D74">
        <w:rPr>
          <w:rFonts w:hint="eastAsia"/>
        </w:rPr>
        <w:t>。但是市场收益率和报告数量显著负相关，这可能是因为本文对报告数量进行了标准化处理，</w:t>
      </w:r>
      <w:r w:rsidR="00E81A57">
        <w:rPr>
          <w:rFonts w:hint="eastAsia"/>
        </w:rPr>
        <w:t>而</w:t>
      </w:r>
      <w:r w:rsidRPr="00732D74">
        <w:rPr>
          <w:rFonts w:hint="eastAsia"/>
        </w:rPr>
        <w:t>市场收益率存在</w:t>
      </w:r>
      <w:r w:rsidR="0005666F">
        <w:rPr>
          <w:rFonts w:hint="eastAsia"/>
        </w:rPr>
        <w:t>比较</w:t>
      </w:r>
      <w:r w:rsidRPr="00732D74">
        <w:rPr>
          <w:rFonts w:hint="eastAsia"/>
        </w:rPr>
        <w:t>微弱的下降趋势，导致了回归系数为负。</w:t>
      </w:r>
    </w:p>
    <w:p w14:paraId="260187A7" w14:textId="77777777" w:rsidR="00E81A57" w:rsidRDefault="001E195A" w:rsidP="006E7775">
      <w:r>
        <w:rPr>
          <w:rFonts w:hint="eastAsia"/>
        </w:rPr>
        <w:t>接下来本文从</w:t>
      </w:r>
      <w:r w:rsidR="00986A71">
        <w:rPr>
          <w:rFonts w:hint="eastAsia"/>
        </w:rPr>
        <w:t>微观</w:t>
      </w:r>
      <w:r>
        <w:rPr>
          <w:rFonts w:hint="eastAsia"/>
        </w:rPr>
        <w:t>的角度对分析师是否存在择时行为进行了检验。</w:t>
      </w:r>
      <w:r w:rsidR="00986A71">
        <w:rPr>
          <w:rFonts w:hint="eastAsia"/>
        </w:rPr>
        <w:t>首先对涉及的变量进行了分组描述性统计，如</w:t>
      </w:r>
      <w:r w:rsidR="00681347">
        <w:fldChar w:fldCharType="begin"/>
      </w:r>
      <w:r w:rsidR="00681347">
        <w:instrText xml:space="preserve"> </w:instrText>
      </w:r>
      <w:r w:rsidR="00681347">
        <w:rPr>
          <w:rFonts w:hint="eastAsia"/>
        </w:rPr>
        <w:instrText>REF _Ref509338565 \h</w:instrText>
      </w:r>
      <w:r w:rsidR="00681347">
        <w:instrText xml:space="preserve"> </w:instrText>
      </w:r>
      <w:r w:rsidR="00681347">
        <w:fldChar w:fldCharType="separate"/>
      </w:r>
      <w:r w:rsidR="00A17E1F">
        <w:rPr>
          <w:rFonts w:hint="eastAsia"/>
        </w:rPr>
        <w:t>表</w:t>
      </w:r>
      <w:r w:rsidR="00A17E1F">
        <w:rPr>
          <w:noProof/>
        </w:rPr>
        <w:t>5</w:t>
      </w:r>
      <w:r w:rsidR="00681347">
        <w:fldChar w:fldCharType="end"/>
      </w:r>
      <w:r w:rsidR="00986A71">
        <w:rPr>
          <w:rFonts w:hint="eastAsia"/>
        </w:rPr>
        <w:t>所示</w:t>
      </w:r>
      <w:r w:rsidR="0005666F">
        <w:rPr>
          <w:rFonts w:hint="eastAsia"/>
        </w:rPr>
        <w:t>，</w:t>
      </w:r>
      <w:r w:rsidR="00986A71">
        <w:rPr>
          <w:rFonts w:hint="eastAsia"/>
        </w:rPr>
        <w:t>在当月有深度报告发布的标的中</w:t>
      </w:r>
      <m:oMath>
        <m:r>
          <m:rPr>
            <m:sty m:val="p"/>
          </m:rPr>
          <w:rPr>
            <w:rFonts w:ascii="Cambria Math" w:hAnsi="Cambria Math"/>
          </w:rPr>
          <m:t>(Release=1)</m:t>
        </m:r>
      </m:oMath>
      <w:r w:rsidR="00986A71">
        <w:rPr>
          <w:rFonts w:hint="eastAsia"/>
        </w:rPr>
        <w:t>，异常换手率、分析师及报告关注度、公司盈利水平和总市值都高于无</w:t>
      </w:r>
      <w:r w:rsidR="009A295C">
        <w:rPr>
          <w:rFonts w:hint="eastAsia"/>
        </w:rPr>
        <w:t>深度</w:t>
      </w:r>
      <w:r w:rsidR="00986A71">
        <w:rPr>
          <w:rFonts w:hint="eastAsia"/>
        </w:rPr>
        <w:t>报告组</w:t>
      </w:r>
      <w:r w:rsidR="00732D74">
        <w:rPr>
          <w:rFonts w:hint="eastAsia"/>
        </w:rPr>
        <w:t>，不过两组的公司总资产规模比较接近。</w:t>
      </w:r>
    </w:p>
    <w:p w14:paraId="0CFD4FC2" w14:textId="7DCF6DFD" w:rsidR="001E195A" w:rsidRDefault="00986A71" w:rsidP="006E7775">
      <w:r>
        <w:rPr>
          <w:rFonts w:hint="eastAsia"/>
        </w:rPr>
        <w:t>很明显的是，异常换手率的均值都超过了</w:t>
      </w:r>
      <w:r>
        <w:rPr>
          <w:rFonts w:hint="eastAsia"/>
        </w:rPr>
        <w:t>1</w:t>
      </w:r>
      <w:r>
        <w:rPr>
          <w:rFonts w:hint="eastAsia"/>
        </w:rPr>
        <w:t>，意味着被分析师覆盖的公司总体来说有更高的投资者情绪水平</w:t>
      </w:r>
      <w:r w:rsidR="00E81A57">
        <w:rPr>
          <w:rFonts w:hint="eastAsia"/>
        </w:rPr>
        <w:t>，这与</w:t>
      </w:r>
      <w:r w:rsidR="00E81A57" w:rsidRPr="008022F8">
        <w:rPr>
          <w:rFonts w:hint="eastAsia"/>
        </w:rPr>
        <w:t>罗衎</w:t>
      </w:r>
      <w:r w:rsidR="00E81A57">
        <w:rPr>
          <w:rFonts w:hint="eastAsia"/>
        </w:rPr>
        <w:t>等（</w:t>
      </w:r>
      <w:r w:rsidR="00E81A57">
        <w:rPr>
          <w:rFonts w:hint="eastAsia"/>
        </w:rPr>
        <w:t>2017</w:t>
      </w:r>
      <w:r w:rsidR="00E81A57">
        <w:rPr>
          <w:rFonts w:hint="eastAsia"/>
        </w:rPr>
        <w:t>）使用高频数据得到的结论相似，即分析师报告能够吸引更多的投资者关注度，但由于本文所计算的投资者情绪指数纳入了滞后一期的变量，在一定程度上能够避免分析师跟踪影响投资者</w:t>
      </w:r>
      <w:r w:rsidR="00E81A57">
        <w:rPr>
          <w:rFonts w:hint="eastAsia"/>
        </w:rPr>
        <w:lastRenderedPageBreak/>
        <w:t>情绪所带来的内生性</w:t>
      </w:r>
      <w:r w:rsidR="00732D74">
        <w:rPr>
          <w:rFonts w:hint="eastAsia"/>
        </w:rPr>
        <w:t>。</w:t>
      </w:r>
    </w:p>
    <w:p w14:paraId="19BB703C" w14:textId="77777777" w:rsidR="00395397" w:rsidRDefault="00395397" w:rsidP="006E7775">
      <w:pPr>
        <w:rPr>
          <w:rFonts w:hint="eastAsia"/>
        </w:rPr>
      </w:pPr>
    </w:p>
    <w:p w14:paraId="69FE551E" w14:textId="4AD275B5" w:rsidR="00986A71" w:rsidRDefault="00986A71" w:rsidP="00986A71">
      <w:pPr>
        <w:pStyle w:val="ad"/>
      </w:pPr>
      <w:bookmarkStart w:id="28" w:name="_Ref50933856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5</w:t>
      </w:r>
      <w:r>
        <w:fldChar w:fldCharType="end"/>
      </w:r>
      <w:bookmarkEnd w:id="28"/>
      <w:r>
        <w:t xml:space="preserve"> </w:t>
      </w:r>
      <w:r>
        <w:rPr>
          <w:rFonts w:hint="eastAsia"/>
        </w:rPr>
        <w:t>分析师择时行为描述性统计（</w:t>
      </w:r>
      <w:r>
        <w:rPr>
          <w:rFonts w:hint="eastAsia"/>
        </w:rPr>
        <w:t>B</w:t>
      </w:r>
      <w:r>
        <w:rPr>
          <w:rFonts w:hint="eastAsia"/>
        </w:rPr>
        <w:t>）</w:t>
      </w:r>
    </w:p>
    <w:tbl>
      <w:tblPr>
        <w:tblStyle w:val="6"/>
        <w:tblW w:w="5000" w:type="pct"/>
        <w:tblLook w:val="06A0" w:firstRow="1" w:lastRow="0" w:firstColumn="1" w:lastColumn="0" w:noHBand="1" w:noVBand="1"/>
      </w:tblPr>
      <w:tblGrid>
        <w:gridCol w:w="2723"/>
        <w:gridCol w:w="1397"/>
        <w:gridCol w:w="1399"/>
        <w:gridCol w:w="1397"/>
        <w:gridCol w:w="1390"/>
      </w:tblGrid>
      <w:tr w:rsidR="00965BA6" w:rsidRPr="00E81A57" w14:paraId="24AE16B3" w14:textId="77777777" w:rsidTr="00965BA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639" w:type="pct"/>
            <w:vMerge w:val="restart"/>
            <w:tcBorders>
              <w:top w:val="single" w:sz="4" w:space="0" w:color="000000" w:themeColor="text1"/>
            </w:tcBorders>
            <w:noWrap/>
            <w:vAlign w:val="center"/>
            <w:hideMark/>
          </w:tcPr>
          <w:p w14:paraId="4E12ED9D" w14:textId="77777777" w:rsidR="00965BA6" w:rsidRPr="00E81A57" w:rsidRDefault="00965BA6" w:rsidP="00E81A57">
            <w:pPr>
              <w:ind w:firstLineChars="0" w:firstLine="0"/>
              <w:jc w:val="center"/>
            </w:pPr>
            <w:r w:rsidRPr="00E81A57">
              <w:rPr>
                <w:rFonts w:hint="eastAsia"/>
              </w:rPr>
              <w:t>Variable</w:t>
            </w:r>
          </w:p>
        </w:tc>
        <w:tc>
          <w:tcPr>
            <w:tcW w:w="1683" w:type="pct"/>
            <w:gridSpan w:val="2"/>
            <w:tcBorders>
              <w:top w:val="single" w:sz="4" w:space="0" w:color="000000" w:themeColor="text1"/>
            </w:tcBorders>
            <w:noWrap/>
            <w:vAlign w:val="center"/>
            <w:hideMark/>
          </w:tcPr>
          <w:p w14:paraId="4A91AC8F" w14:textId="77777777" w:rsidR="00965BA6" w:rsidRPr="00E81A57" w:rsidRDefault="00965BA6" w:rsidP="00E81A57">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E81A57">
              <w:rPr>
                <w:rFonts w:hint="eastAsia"/>
              </w:rPr>
              <w:t>Release=0</w:t>
            </w:r>
          </w:p>
        </w:tc>
        <w:tc>
          <w:tcPr>
            <w:tcW w:w="1678" w:type="pct"/>
            <w:gridSpan w:val="2"/>
            <w:tcBorders>
              <w:top w:val="single" w:sz="4" w:space="0" w:color="000000" w:themeColor="text1"/>
            </w:tcBorders>
            <w:noWrap/>
            <w:vAlign w:val="center"/>
            <w:hideMark/>
          </w:tcPr>
          <w:p w14:paraId="79AAB351" w14:textId="77777777" w:rsidR="00965BA6" w:rsidRPr="00E81A57" w:rsidRDefault="00965BA6" w:rsidP="00E81A57">
            <w:pPr>
              <w:ind w:firstLineChars="0" w:firstLine="0"/>
              <w:jc w:val="center"/>
              <w:cnfStyle w:val="100000000000" w:firstRow="1" w:lastRow="0" w:firstColumn="0" w:lastColumn="0" w:oddVBand="0" w:evenVBand="0" w:oddHBand="0" w:evenHBand="0" w:firstRowFirstColumn="0" w:firstRowLastColumn="0" w:lastRowFirstColumn="0" w:lastRowLastColumn="0"/>
            </w:pPr>
            <w:r w:rsidRPr="00E81A57">
              <w:rPr>
                <w:rFonts w:hint="eastAsia"/>
              </w:rPr>
              <w:t>Release=1</w:t>
            </w:r>
          </w:p>
        </w:tc>
      </w:tr>
      <w:tr w:rsidR="00965BA6" w:rsidRPr="00E81A57" w14:paraId="427FCAAD"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vMerge/>
            <w:tcBorders>
              <w:bottom w:val="single" w:sz="4" w:space="0" w:color="auto"/>
            </w:tcBorders>
            <w:vAlign w:val="center"/>
            <w:hideMark/>
          </w:tcPr>
          <w:p w14:paraId="45A996A3" w14:textId="77777777" w:rsidR="00965BA6" w:rsidRPr="00E81A57" w:rsidRDefault="00965BA6" w:rsidP="00E81A57">
            <w:pPr>
              <w:ind w:firstLineChars="0" w:firstLine="0"/>
              <w:jc w:val="center"/>
            </w:pPr>
          </w:p>
        </w:tc>
        <w:tc>
          <w:tcPr>
            <w:tcW w:w="841" w:type="pct"/>
            <w:tcBorders>
              <w:bottom w:val="single" w:sz="4" w:space="0" w:color="auto"/>
            </w:tcBorders>
            <w:noWrap/>
            <w:vAlign w:val="center"/>
            <w:hideMark/>
          </w:tcPr>
          <w:p w14:paraId="4E8FECB3" w14:textId="77777777" w:rsidR="00965BA6" w:rsidRPr="00E81A57" w:rsidRDefault="00965BA6" w:rsidP="00E81A57">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81A57">
              <w:rPr>
                <w:rFonts w:hint="eastAsia"/>
                <w:b/>
              </w:rPr>
              <w:t>Mean</w:t>
            </w:r>
          </w:p>
        </w:tc>
        <w:tc>
          <w:tcPr>
            <w:tcW w:w="842" w:type="pct"/>
            <w:tcBorders>
              <w:bottom w:val="single" w:sz="4" w:space="0" w:color="auto"/>
            </w:tcBorders>
            <w:noWrap/>
            <w:vAlign w:val="center"/>
            <w:hideMark/>
          </w:tcPr>
          <w:p w14:paraId="02786B31" w14:textId="77777777" w:rsidR="00965BA6" w:rsidRPr="00E81A57" w:rsidRDefault="00965BA6" w:rsidP="00E81A57">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81A57">
              <w:rPr>
                <w:rFonts w:hint="eastAsia"/>
                <w:b/>
              </w:rPr>
              <w:t>Std. Dev.</w:t>
            </w:r>
          </w:p>
        </w:tc>
        <w:tc>
          <w:tcPr>
            <w:tcW w:w="841" w:type="pct"/>
            <w:tcBorders>
              <w:bottom w:val="single" w:sz="4" w:space="0" w:color="auto"/>
            </w:tcBorders>
            <w:noWrap/>
            <w:vAlign w:val="center"/>
            <w:hideMark/>
          </w:tcPr>
          <w:p w14:paraId="19F39BCB" w14:textId="77777777" w:rsidR="00965BA6" w:rsidRPr="00E81A57" w:rsidRDefault="00965BA6" w:rsidP="00E81A57">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81A57">
              <w:rPr>
                <w:rFonts w:hint="eastAsia"/>
                <w:b/>
              </w:rPr>
              <w:t>Mean</w:t>
            </w:r>
          </w:p>
        </w:tc>
        <w:tc>
          <w:tcPr>
            <w:tcW w:w="837" w:type="pct"/>
            <w:tcBorders>
              <w:bottom w:val="single" w:sz="4" w:space="0" w:color="auto"/>
            </w:tcBorders>
            <w:noWrap/>
            <w:vAlign w:val="center"/>
            <w:hideMark/>
          </w:tcPr>
          <w:p w14:paraId="31AC853A" w14:textId="77777777" w:rsidR="00965BA6" w:rsidRPr="00E81A57" w:rsidRDefault="00965BA6" w:rsidP="00E81A57">
            <w:pPr>
              <w:ind w:firstLineChars="0" w:firstLine="0"/>
              <w:jc w:val="center"/>
              <w:cnfStyle w:val="000000000000" w:firstRow="0" w:lastRow="0" w:firstColumn="0" w:lastColumn="0" w:oddVBand="0" w:evenVBand="0" w:oddHBand="0" w:evenHBand="0" w:firstRowFirstColumn="0" w:firstRowLastColumn="0" w:lastRowFirstColumn="0" w:lastRowLastColumn="0"/>
              <w:rPr>
                <w:b/>
              </w:rPr>
            </w:pPr>
            <w:r w:rsidRPr="00E81A57">
              <w:rPr>
                <w:rFonts w:hint="eastAsia"/>
                <w:b/>
              </w:rPr>
              <w:t>Std. Dev.</w:t>
            </w:r>
          </w:p>
        </w:tc>
      </w:tr>
      <w:tr w:rsidR="00965BA6" w:rsidRPr="00E81A57" w14:paraId="76CCE332"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tcBorders>
              <w:top w:val="single" w:sz="4" w:space="0" w:color="auto"/>
            </w:tcBorders>
            <w:noWrap/>
            <w:vAlign w:val="center"/>
            <w:hideMark/>
          </w:tcPr>
          <w:p w14:paraId="3B8F2910" w14:textId="77777777" w:rsidR="00965BA6" w:rsidRPr="00E81A57" w:rsidRDefault="00965BA6" w:rsidP="00E81A57">
            <w:pPr>
              <w:ind w:firstLineChars="0" w:firstLine="0"/>
              <w:jc w:val="center"/>
            </w:pPr>
            <w:r w:rsidRPr="00E81A57">
              <w:rPr>
                <w:rFonts w:hint="eastAsia"/>
              </w:rPr>
              <w:t>Abnormal Turnover</w:t>
            </w:r>
          </w:p>
        </w:tc>
        <w:tc>
          <w:tcPr>
            <w:tcW w:w="841" w:type="pct"/>
            <w:tcBorders>
              <w:top w:val="single" w:sz="4" w:space="0" w:color="auto"/>
            </w:tcBorders>
            <w:noWrap/>
            <w:vAlign w:val="center"/>
            <w:hideMark/>
          </w:tcPr>
          <w:p w14:paraId="3CF58084" w14:textId="6F428394"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1.1218</w:t>
            </w:r>
          </w:p>
        </w:tc>
        <w:tc>
          <w:tcPr>
            <w:tcW w:w="842" w:type="pct"/>
            <w:tcBorders>
              <w:top w:val="single" w:sz="4" w:space="0" w:color="auto"/>
            </w:tcBorders>
            <w:noWrap/>
            <w:vAlign w:val="center"/>
            <w:hideMark/>
          </w:tcPr>
          <w:p w14:paraId="31501834" w14:textId="60106D03"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0.8022</w:t>
            </w:r>
          </w:p>
        </w:tc>
        <w:tc>
          <w:tcPr>
            <w:tcW w:w="841" w:type="pct"/>
            <w:tcBorders>
              <w:top w:val="single" w:sz="4" w:space="0" w:color="auto"/>
            </w:tcBorders>
            <w:noWrap/>
            <w:vAlign w:val="center"/>
            <w:hideMark/>
          </w:tcPr>
          <w:p w14:paraId="40F20242" w14:textId="6B922F41"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1.1520</w:t>
            </w:r>
          </w:p>
        </w:tc>
        <w:tc>
          <w:tcPr>
            <w:tcW w:w="837" w:type="pct"/>
            <w:tcBorders>
              <w:top w:val="single" w:sz="4" w:space="0" w:color="auto"/>
            </w:tcBorders>
            <w:noWrap/>
            <w:vAlign w:val="center"/>
            <w:hideMark/>
          </w:tcPr>
          <w:p w14:paraId="1F4D629D" w14:textId="460DBE2D"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0.7690</w:t>
            </w:r>
          </w:p>
        </w:tc>
      </w:tr>
      <w:tr w:rsidR="00965BA6" w:rsidRPr="00E81A57" w14:paraId="733C3184"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2D34DDEA" w14:textId="77777777" w:rsidR="00965BA6" w:rsidRPr="00E81A57" w:rsidRDefault="00965BA6" w:rsidP="00E81A57">
            <w:pPr>
              <w:ind w:firstLineChars="0" w:firstLine="0"/>
              <w:jc w:val="center"/>
            </w:pPr>
            <w:r w:rsidRPr="00E81A57">
              <w:rPr>
                <w:rFonts w:hint="eastAsia"/>
              </w:rPr>
              <w:t>Analyst Attention</w:t>
            </w:r>
          </w:p>
        </w:tc>
        <w:tc>
          <w:tcPr>
            <w:tcW w:w="841" w:type="pct"/>
            <w:noWrap/>
            <w:vAlign w:val="center"/>
            <w:hideMark/>
          </w:tcPr>
          <w:p w14:paraId="009FE1A6" w14:textId="32E83FF1"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9.8548</w:t>
            </w:r>
          </w:p>
        </w:tc>
        <w:tc>
          <w:tcPr>
            <w:tcW w:w="842" w:type="pct"/>
            <w:noWrap/>
            <w:vAlign w:val="center"/>
            <w:hideMark/>
          </w:tcPr>
          <w:p w14:paraId="10A03AC1" w14:textId="2C868CE1"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9.5489</w:t>
            </w:r>
          </w:p>
        </w:tc>
        <w:tc>
          <w:tcPr>
            <w:tcW w:w="841" w:type="pct"/>
            <w:noWrap/>
            <w:vAlign w:val="center"/>
            <w:hideMark/>
          </w:tcPr>
          <w:p w14:paraId="47B2118D" w14:textId="4D97E30C"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17.3255</w:t>
            </w:r>
          </w:p>
        </w:tc>
        <w:tc>
          <w:tcPr>
            <w:tcW w:w="837" w:type="pct"/>
            <w:noWrap/>
            <w:vAlign w:val="center"/>
            <w:hideMark/>
          </w:tcPr>
          <w:p w14:paraId="15583028" w14:textId="09448F4C"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11.2504</w:t>
            </w:r>
          </w:p>
        </w:tc>
      </w:tr>
      <w:tr w:rsidR="00965BA6" w:rsidRPr="00E81A57" w14:paraId="627267FC"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67447DA0" w14:textId="77777777" w:rsidR="00965BA6" w:rsidRPr="00E81A57" w:rsidRDefault="00965BA6" w:rsidP="00E81A57">
            <w:pPr>
              <w:ind w:firstLineChars="0" w:firstLine="0"/>
              <w:jc w:val="center"/>
            </w:pPr>
            <w:r w:rsidRPr="00E81A57">
              <w:rPr>
                <w:rFonts w:hint="eastAsia"/>
              </w:rPr>
              <w:t>Report Attention</w:t>
            </w:r>
          </w:p>
        </w:tc>
        <w:tc>
          <w:tcPr>
            <w:tcW w:w="841" w:type="pct"/>
            <w:noWrap/>
            <w:vAlign w:val="center"/>
            <w:hideMark/>
          </w:tcPr>
          <w:p w14:paraId="5B492F7B" w14:textId="4A0A96B6"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18.8092</w:t>
            </w:r>
          </w:p>
        </w:tc>
        <w:tc>
          <w:tcPr>
            <w:tcW w:w="842" w:type="pct"/>
            <w:noWrap/>
            <w:vAlign w:val="center"/>
            <w:hideMark/>
          </w:tcPr>
          <w:p w14:paraId="21AF6F9B" w14:textId="4B836521"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21.9083</w:t>
            </w:r>
          </w:p>
        </w:tc>
        <w:tc>
          <w:tcPr>
            <w:tcW w:w="841" w:type="pct"/>
            <w:noWrap/>
            <w:vAlign w:val="center"/>
            <w:hideMark/>
          </w:tcPr>
          <w:p w14:paraId="17C631C9" w14:textId="182776C0"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37.6258</w:t>
            </w:r>
          </w:p>
        </w:tc>
        <w:tc>
          <w:tcPr>
            <w:tcW w:w="837" w:type="pct"/>
            <w:noWrap/>
            <w:vAlign w:val="center"/>
            <w:hideMark/>
          </w:tcPr>
          <w:p w14:paraId="2970AB8F" w14:textId="43C0430B"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29.5628</w:t>
            </w:r>
          </w:p>
        </w:tc>
      </w:tr>
      <w:tr w:rsidR="00965BA6" w:rsidRPr="00E81A57" w14:paraId="16C0363B"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5A0C22FC" w14:textId="77777777" w:rsidR="00965BA6" w:rsidRPr="00E81A57" w:rsidRDefault="00965BA6" w:rsidP="00E81A57">
            <w:pPr>
              <w:ind w:firstLineChars="0" w:firstLine="0"/>
              <w:jc w:val="center"/>
            </w:pPr>
            <w:r w:rsidRPr="00E81A57">
              <w:rPr>
                <w:rFonts w:hint="eastAsia"/>
              </w:rPr>
              <w:t>ROE</w:t>
            </w:r>
          </w:p>
        </w:tc>
        <w:tc>
          <w:tcPr>
            <w:tcW w:w="841" w:type="pct"/>
            <w:noWrap/>
            <w:vAlign w:val="center"/>
            <w:hideMark/>
          </w:tcPr>
          <w:p w14:paraId="07FA10CB" w14:textId="388D9689"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7.1435</w:t>
            </w:r>
          </w:p>
        </w:tc>
        <w:tc>
          <w:tcPr>
            <w:tcW w:w="842" w:type="pct"/>
            <w:noWrap/>
            <w:vAlign w:val="center"/>
            <w:hideMark/>
          </w:tcPr>
          <w:p w14:paraId="1F62F585" w14:textId="449E8951"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11.9164</w:t>
            </w:r>
          </w:p>
        </w:tc>
        <w:tc>
          <w:tcPr>
            <w:tcW w:w="841" w:type="pct"/>
            <w:noWrap/>
            <w:vAlign w:val="center"/>
            <w:hideMark/>
          </w:tcPr>
          <w:p w14:paraId="4CC13471" w14:textId="3DD3D6BA"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11.2063</w:t>
            </w:r>
          </w:p>
        </w:tc>
        <w:tc>
          <w:tcPr>
            <w:tcW w:w="837" w:type="pct"/>
            <w:noWrap/>
            <w:vAlign w:val="center"/>
            <w:hideMark/>
          </w:tcPr>
          <w:p w14:paraId="2B05C0BF" w14:textId="1D197B0E"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9.8219</w:t>
            </w:r>
          </w:p>
        </w:tc>
      </w:tr>
      <w:tr w:rsidR="00965BA6" w:rsidRPr="00E81A57" w14:paraId="09DDC9FE"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66ED3CEA" w14:textId="77777777" w:rsidR="00965BA6" w:rsidRPr="00E81A57" w:rsidRDefault="00965BA6" w:rsidP="00E81A57">
            <w:pPr>
              <w:ind w:firstLineChars="0" w:firstLine="0"/>
              <w:jc w:val="center"/>
            </w:pPr>
            <w:r w:rsidRPr="00E81A57">
              <w:rPr>
                <w:rFonts w:hint="eastAsia"/>
              </w:rPr>
              <w:t>ROA</w:t>
            </w:r>
          </w:p>
        </w:tc>
        <w:tc>
          <w:tcPr>
            <w:tcW w:w="841" w:type="pct"/>
            <w:noWrap/>
            <w:vAlign w:val="center"/>
            <w:hideMark/>
          </w:tcPr>
          <w:p w14:paraId="5385219F" w14:textId="4C4A7F94"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4.4765</w:t>
            </w:r>
          </w:p>
        </w:tc>
        <w:tc>
          <w:tcPr>
            <w:tcW w:w="842" w:type="pct"/>
            <w:noWrap/>
            <w:vAlign w:val="center"/>
            <w:hideMark/>
          </w:tcPr>
          <w:p w14:paraId="3567B64A" w14:textId="51A1088C"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6.1324</w:t>
            </w:r>
          </w:p>
        </w:tc>
        <w:tc>
          <w:tcPr>
            <w:tcW w:w="841" w:type="pct"/>
            <w:noWrap/>
            <w:vAlign w:val="center"/>
            <w:hideMark/>
          </w:tcPr>
          <w:p w14:paraId="4AFBB8BB" w14:textId="12F734A6"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7.0500</w:t>
            </w:r>
          </w:p>
        </w:tc>
        <w:tc>
          <w:tcPr>
            <w:tcW w:w="837" w:type="pct"/>
            <w:noWrap/>
            <w:vAlign w:val="center"/>
            <w:hideMark/>
          </w:tcPr>
          <w:p w14:paraId="35EAC03E" w14:textId="3F8349C8"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5.9860</w:t>
            </w:r>
          </w:p>
        </w:tc>
      </w:tr>
      <w:tr w:rsidR="00965BA6" w:rsidRPr="00E81A57" w14:paraId="062B325C"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1C9AC2FB" w14:textId="77777777" w:rsidR="00965BA6" w:rsidRPr="00E81A57" w:rsidRDefault="00965BA6" w:rsidP="00E81A57">
            <w:pPr>
              <w:ind w:firstLineChars="0" w:firstLine="0"/>
              <w:jc w:val="center"/>
            </w:pPr>
            <w:r w:rsidRPr="00E81A57">
              <w:rPr>
                <w:rFonts w:hint="eastAsia"/>
              </w:rPr>
              <w:t>Total Asset</w:t>
            </w:r>
          </w:p>
        </w:tc>
        <w:tc>
          <w:tcPr>
            <w:tcW w:w="841" w:type="pct"/>
            <w:noWrap/>
            <w:vAlign w:val="center"/>
            <w:hideMark/>
          </w:tcPr>
          <w:p w14:paraId="6DA4120A" w14:textId="4716643C"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22.8016</w:t>
            </w:r>
          </w:p>
        </w:tc>
        <w:tc>
          <w:tcPr>
            <w:tcW w:w="842" w:type="pct"/>
            <w:noWrap/>
            <w:vAlign w:val="center"/>
            <w:hideMark/>
          </w:tcPr>
          <w:p w14:paraId="4A5507BD" w14:textId="2205794E"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95.0675</w:t>
            </w:r>
          </w:p>
        </w:tc>
        <w:tc>
          <w:tcPr>
            <w:tcW w:w="841" w:type="pct"/>
            <w:noWrap/>
            <w:vAlign w:val="center"/>
            <w:hideMark/>
          </w:tcPr>
          <w:p w14:paraId="6FD58ED4" w14:textId="107AA6BF"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22.7512</w:t>
            </w:r>
          </w:p>
        </w:tc>
        <w:tc>
          <w:tcPr>
            <w:tcW w:w="837" w:type="pct"/>
            <w:noWrap/>
            <w:vAlign w:val="center"/>
            <w:hideMark/>
          </w:tcPr>
          <w:p w14:paraId="6ED540FE" w14:textId="713FDB14"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74.9673</w:t>
            </w:r>
          </w:p>
        </w:tc>
      </w:tr>
      <w:tr w:rsidR="00965BA6" w:rsidRPr="00E81A57" w14:paraId="130E8D3E" w14:textId="77777777" w:rsidTr="00986A71">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42379E0E" w14:textId="77777777" w:rsidR="00965BA6" w:rsidRPr="00E81A57" w:rsidRDefault="00965BA6" w:rsidP="00E81A57">
            <w:pPr>
              <w:ind w:firstLineChars="0" w:firstLine="0"/>
              <w:jc w:val="center"/>
            </w:pPr>
            <w:r w:rsidRPr="00E81A57">
              <w:rPr>
                <w:rFonts w:hint="eastAsia"/>
              </w:rPr>
              <w:t>Market Value</w:t>
            </w:r>
          </w:p>
        </w:tc>
        <w:tc>
          <w:tcPr>
            <w:tcW w:w="841" w:type="pct"/>
            <w:noWrap/>
            <w:vAlign w:val="center"/>
            <w:hideMark/>
          </w:tcPr>
          <w:p w14:paraId="18E3965D" w14:textId="67741D89"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12.0187</w:t>
            </w:r>
          </w:p>
        </w:tc>
        <w:tc>
          <w:tcPr>
            <w:tcW w:w="842" w:type="pct"/>
            <w:noWrap/>
            <w:vAlign w:val="center"/>
            <w:hideMark/>
          </w:tcPr>
          <w:p w14:paraId="6E0C362A" w14:textId="06F55285"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21.9981</w:t>
            </w:r>
          </w:p>
        </w:tc>
        <w:tc>
          <w:tcPr>
            <w:tcW w:w="841" w:type="pct"/>
            <w:noWrap/>
            <w:vAlign w:val="center"/>
            <w:hideMark/>
          </w:tcPr>
          <w:p w14:paraId="00A3890E" w14:textId="6C800F01"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17.2632</w:t>
            </w:r>
          </w:p>
        </w:tc>
        <w:tc>
          <w:tcPr>
            <w:tcW w:w="837" w:type="pct"/>
            <w:noWrap/>
            <w:vAlign w:val="center"/>
            <w:hideMark/>
          </w:tcPr>
          <w:p w14:paraId="1CCD825B" w14:textId="4EDBA50B" w:rsidR="00965BA6" w:rsidRPr="00E81A57" w:rsidRDefault="00965BA6" w:rsidP="00E81A57">
            <w:pPr>
              <w:ind w:firstLineChars="0" w:firstLine="0"/>
              <w:jc w:val="right"/>
              <w:cnfStyle w:val="000000000000" w:firstRow="0" w:lastRow="0" w:firstColumn="0" w:lastColumn="0" w:oddVBand="0" w:evenVBand="0" w:oddHBand="0" w:evenHBand="0" w:firstRowFirstColumn="0" w:firstRowLastColumn="0" w:lastRowFirstColumn="0" w:lastRowLastColumn="0"/>
            </w:pPr>
            <w:r w:rsidRPr="00E81A57">
              <w:t>24.9632</w:t>
            </w:r>
          </w:p>
        </w:tc>
      </w:tr>
    </w:tbl>
    <w:p w14:paraId="25E118D4" w14:textId="0A240DEF" w:rsidR="003C7D82" w:rsidRDefault="003C7D82" w:rsidP="006E7775"/>
    <w:p w14:paraId="3F62F41C" w14:textId="138515E7" w:rsidR="005156F8" w:rsidRDefault="006D1172" w:rsidP="006E7775">
      <w:r>
        <w:rPr>
          <w:rFonts w:hint="eastAsia"/>
        </w:rPr>
        <w:t>使用当月是否被发布报告为被解释变量，使用异常换手率、关注度、盈利水平和公司规模为解释变量，</w:t>
      </w:r>
      <w:r w:rsidR="00367A54">
        <w:rPr>
          <w:rFonts w:hint="eastAsia"/>
        </w:rPr>
        <w:t>根据假设</w:t>
      </w:r>
      <w:r w:rsidR="00367A54">
        <w:rPr>
          <w:rFonts w:hint="eastAsia"/>
        </w:rPr>
        <w:t>1</w:t>
      </w:r>
      <w:r w:rsidR="00367A54">
        <w:rPr>
          <w:rFonts w:hint="eastAsia"/>
        </w:rPr>
        <w:t>，分析师倾向于在投资者情绪高涨的时期发布报告，预期度量情绪的异常换手率指标系数为正。</w:t>
      </w:r>
      <w:r>
        <w:rPr>
          <w:rFonts w:hint="eastAsia"/>
        </w:rPr>
        <w:t>回归结果如</w:t>
      </w:r>
      <w:r w:rsidR="00681347">
        <w:fldChar w:fldCharType="begin"/>
      </w:r>
      <w:r w:rsidR="00681347">
        <w:instrText xml:space="preserve"> </w:instrText>
      </w:r>
      <w:r w:rsidR="00681347">
        <w:rPr>
          <w:rFonts w:hint="eastAsia"/>
        </w:rPr>
        <w:instrText>REF _Ref509338566 \h</w:instrText>
      </w:r>
      <w:r w:rsidR="00681347">
        <w:instrText xml:space="preserve"> </w:instrText>
      </w:r>
      <w:r w:rsidR="00681347">
        <w:fldChar w:fldCharType="separate"/>
      </w:r>
      <w:r w:rsidR="00A17E1F">
        <w:rPr>
          <w:rFonts w:hint="eastAsia"/>
        </w:rPr>
        <w:t>表</w:t>
      </w:r>
      <w:r w:rsidR="00A17E1F">
        <w:rPr>
          <w:noProof/>
        </w:rPr>
        <w:t>6</w:t>
      </w:r>
      <w:r w:rsidR="00681347">
        <w:fldChar w:fldCharType="end"/>
      </w:r>
      <w:r>
        <w:rPr>
          <w:rFonts w:hint="eastAsia"/>
        </w:rPr>
        <w:t>所示。</w:t>
      </w:r>
    </w:p>
    <w:p w14:paraId="57ACBAC6" w14:textId="0F985664" w:rsidR="005156F8" w:rsidRDefault="006D1172" w:rsidP="006E7775">
      <w:r>
        <w:rPr>
          <w:rFonts w:hint="eastAsia"/>
        </w:rPr>
        <w:t>Model</w:t>
      </w:r>
      <w:r>
        <w:t>(</w:t>
      </w:r>
      <w:r>
        <w:rPr>
          <w:rFonts w:hint="eastAsia"/>
        </w:rPr>
        <w:t>4</w:t>
      </w:r>
      <w:r>
        <w:t>)</w:t>
      </w:r>
      <w:r>
        <w:rPr>
          <w:rFonts w:hint="eastAsia"/>
        </w:rPr>
        <w:t>和</w:t>
      </w:r>
      <w:r>
        <w:rPr>
          <w:rFonts w:hint="eastAsia"/>
        </w:rPr>
        <w:t>Model</w:t>
      </w:r>
      <w:r>
        <w:t>(5)</w:t>
      </w:r>
      <w:r>
        <w:rPr>
          <w:rFonts w:hint="eastAsia"/>
        </w:rPr>
        <w:t>分别报告了</w:t>
      </w:r>
      <w:r w:rsidR="00FB0B3F">
        <w:rPr>
          <w:rFonts w:hint="eastAsia"/>
        </w:rPr>
        <w:t>以分析师关注度、</w:t>
      </w:r>
      <w:r w:rsidR="00FB0B3F">
        <w:rPr>
          <w:rFonts w:hint="eastAsia"/>
        </w:rPr>
        <w:t>ROA</w:t>
      </w:r>
      <w:r w:rsidR="00FB0B3F">
        <w:rPr>
          <w:rFonts w:hint="eastAsia"/>
        </w:rPr>
        <w:t>和总资产为控制变量，</w:t>
      </w:r>
      <w:r>
        <w:rPr>
          <w:rFonts w:hint="eastAsia"/>
        </w:rPr>
        <w:t>加入</w:t>
      </w:r>
      <w:r w:rsidR="00324A3A">
        <w:rPr>
          <w:rFonts w:hint="eastAsia"/>
        </w:rPr>
        <w:t>异常换手率前后的回归结果，可以看到，异常换手率</w:t>
      </w:r>
      <w:r w:rsidR="00FB0B3F">
        <w:rPr>
          <w:rFonts w:hint="eastAsia"/>
        </w:rPr>
        <w:t>回归系数为正，并</w:t>
      </w:r>
      <w:r w:rsidR="00324A3A">
        <w:rPr>
          <w:rFonts w:hint="eastAsia"/>
        </w:rPr>
        <w:t>在</w:t>
      </w:r>
      <w:r w:rsidR="00324A3A">
        <w:rPr>
          <w:rFonts w:hint="eastAsia"/>
        </w:rPr>
        <w:t>99%</w:t>
      </w:r>
      <w:r w:rsidR="00324A3A">
        <w:rPr>
          <w:rFonts w:hint="eastAsia"/>
        </w:rPr>
        <w:t>的置信水平上</w:t>
      </w:r>
      <w:r w:rsidR="00FB0B3F">
        <w:rPr>
          <w:rFonts w:hint="eastAsia"/>
        </w:rPr>
        <w:t>显著。</w:t>
      </w:r>
      <w:r w:rsidR="005156F8">
        <w:rPr>
          <w:rFonts w:hint="eastAsia"/>
        </w:rPr>
        <w:t>此外，公司的分析师关注度的系数显著为正，意味着对于分析师关注度更高的公司分析师更有动力去发布报告；公司的总资产收益率系数显著为正，</w:t>
      </w:r>
      <w:r w:rsidR="005C1478">
        <w:rPr>
          <w:rFonts w:hint="eastAsia"/>
        </w:rPr>
        <w:t>意味着</w:t>
      </w:r>
      <w:r w:rsidR="005156F8">
        <w:rPr>
          <w:rFonts w:hint="eastAsia"/>
        </w:rPr>
        <w:t>分析师倾向于对盈利状况更好的公司发布</w:t>
      </w:r>
      <w:r w:rsidR="005C1478">
        <w:rPr>
          <w:rFonts w:hint="eastAsia"/>
        </w:rPr>
        <w:t>研究</w:t>
      </w:r>
      <w:r w:rsidR="005156F8">
        <w:rPr>
          <w:rFonts w:hint="eastAsia"/>
        </w:rPr>
        <w:t>报告；而公司总资产的系数显著为负，</w:t>
      </w:r>
      <w:r w:rsidR="005C1478">
        <w:rPr>
          <w:rFonts w:hint="eastAsia"/>
        </w:rPr>
        <w:t>与预期相反，</w:t>
      </w:r>
      <w:r w:rsidR="005156F8">
        <w:rPr>
          <w:rFonts w:hint="eastAsia"/>
        </w:rPr>
        <w:t>这可能是因为</w:t>
      </w:r>
      <w:r w:rsidR="009A295C">
        <w:rPr>
          <w:rFonts w:hint="eastAsia"/>
        </w:rPr>
        <w:t>与已有研究不同，</w:t>
      </w:r>
      <w:r w:rsidR="005C1478">
        <w:rPr>
          <w:rFonts w:hint="eastAsia"/>
        </w:rPr>
        <w:t>本文</w:t>
      </w:r>
      <w:r w:rsidR="009A295C">
        <w:rPr>
          <w:rFonts w:hint="eastAsia"/>
        </w:rPr>
        <w:t>采用的</w:t>
      </w:r>
      <w:r w:rsidR="005C1478">
        <w:rPr>
          <w:rFonts w:hint="eastAsia"/>
        </w:rPr>
        <w:t>样本是</w:t>
      </w:r>
      <w:r w:rsidR="009A295C">
        <w:rPr>
          <w:rFonts w:hint="eastAsia"/>
        </w:rPr>
        <w:t>曾经</w:t>
      </w:r>
      <w:r w:rsidR="005C1478">
        <w:rPr>
          <w:rFonts w:hint="eastAsia"/>
        </w:rPr>
        <w:t>被分析师跟踪过的</w:t>
      </w:r>
      <w:r w:rsidR="009A295C">
        <w:rPr>
          <w:rFonts w:hint="eastAsia"/>
        </w:rPr>
        <w:t>上市公司而非所有上市公司</w:t>
      </w:r>
      <w:r w:rsidR="005C1478">
        <w:rPr>
          <w:rFonts w:hint="eastAsia"/>
        </w:rPr>
        <w:t>，而</w:t>
      </w:r>
      <w:r w:rsidR="00616AAF">
        <w:rPr>
          <w:rFonts w:hint="eastAsia"/>
        </w:rPr>
        <w:t>在这些公司中，</w:t>
      </w:r>
      <w:r w:rsidR="005C1478">
        <w:rPr>
          <w:rFonts w:hint="eastAsia"/>
        </w:rPr>
        <w:t>规模越小则其成长空间越大，更加受分析师青睐。</w:t>
      </w:r>
    </w:p>
    <w:p w14:paraId="0430B355" w14:textId="178D7936" w:rsidR="00616AAF" w:rsidRDefault="00616AAF" w:rsidP="00616AAF">
      <w:r>
        <w:rPr>
          <w:rFonts w:hint="eastAsia"/>
        </w:rPr>
        <w:t>为了保证结果稳健，本文改变控制变量的度量方式，分别以报告关注度、</w:t>
      </w:r>
      <w:r>
        <w:rPr>
          <w:rFonts w:hint="eastAsia"/>
        </w:rPr>
        <w:t>ROE</w:t>
      </w:r>
      <w:r>
        <w:rPr>
          <w:rFonts w:hint="eastAsia"/>
        </w:rPr>
        <w:t>和总市值度量公司关注度、盈利水平和公司规模，</w:t>
      </w:r>
      <w:r>
        <w:rPr>
          <w:rFonts w:hint="eastAsia"/>
        </w:rPr>
        <w:t>Model</w:t>
      </w:r>
      <w:r>
        <w:t>(6)</w:t>
      </w:r>
      <w:r>
        <w:rPr>
          <w:rFonts w:hint="eastAsia"/>
        </w:rPr>
        <w:t>和</w:t>
      </w:r>
      <w:r>
        <w:rPr>
          <w:rFonts w:hint="eastAsia"/>
        </w:rPr>
        <w:t>Model</w:t>
      </w:r>
      <w:r>
        <w:t>(7)</w:t>
      </w:r>
      <w:r>
        <w:rPr>
          <w:rFonts w:hint="eastAsia"/>
        </w:rPr>
        <w:t>分别报告了加入异常换手率前后重新回归的结果，显示异常换手率回归系数依然显著为正，且控制变量的系数方向及显著性保持不变。</w:t>
      </w:r>
    </w:p>
    <w:p w14:paraId="5B5C740E" w14:textId="04DD356D" w:rsidR="00616AAF" w:rsidRDefault="00616AAF" w:rsidP="00616AAF"/>
    <w:p w14:paraId="7F086AA4" w14:textId="3DCE09FE" w:rsidR="00DD3994" w:rsidRDefault="00DD3994" w:rsidP="00DD3994">
      <w:pPr>
        <w:pStyle w:val="ad"/>
      </w:pPr>
      <w:bookmarkStart w:id="29" w:name="_Ref509338566"/>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6</w:t>
      </w:r>
      <w:r>
        <w:fldChar w:fldCharType="end"/>
      </w:r>
      <w:bookmarkEnd w:id="29"/>
      <w:r>
        <w:t xml:space="preserve"> </w:t>
      </w:r>
      <w:r>
        <w:rPr>
          <w:rFonts w:hint="eastAsia"/>
        </w:rPr>
        <w:t>分析师择时行为回归结果</w:t>
      </w:r>
      <w:r>
        <w:rPr>
          <w:rFonts w:hint="eastAsia"/>
          <w:noProof/>
        </w:rPr>
        <w:t>（</w:t>
      </w:r>
      <w:r>
        <w:rPr>
          <w:rFonts w:hint="eastAsia"/>
          <w:noProof/>
        </w:rPr>
        <w:t>B</w:t>
      </w:r>
      <w:r>
        <w:rPr>
          <w:rFonts w:hint="eastAsia"/>
          <w:noProof/>
        </w:rPr>
        <w:t>）</w:t>
      </w:r>
    </w:p>
    <w:tbl>
      <w:tblPr>
        <w:tblW w:w="5433" w:type="pct"/>
        <w:jc w:val="center"/>
        <w:tblCellMar>
          <w:left w:w="144" w:type="dxa"/>
          <w:right w:w="144" w:type="dxa"/>
        </w:tblCellMar>
        <w:tblLook w:val="0000" w:firstRow="0" w:lastRow="0" w:firstColumn="0" w:lastColumn="0" w:noHBand="0" w:noVBand="0"/>
      </w:tblPr>
      <w:tblGrid>
        <w:gridCol w:w="1613"/>
        <w:gridCol w:w="1854"/>
        <w:gridCol w:w="1854"/>
        <w:gridCol w:w="1854"/>
        <w:gridCol w:w="1850"/>
      </w:tblGrid>
      <w:tr w:rsidR="005156F8" w:rsidRPr="00965BA6" w14:paraId="76146C5D" w14:textId="77777777" w:rsidTr="005156F8">
        <w:trPr>
          <w:jc w:val="center"/>
        </w:trPr>
        <w:tc>
          <w:tcPr>
            <w:tcW w:w="894" w:type="pct"/>
            <w:tcBorders>
              <w:top w:val="single" w:sz="6" w:space="0" w:color="auto"/>
              <w:left w:val="nil"/>
              <w:right w:val="nil"/>
            </w:tcBorders>
            <w:vAlign w:val="center"/>
          </w:tcPr>
          <w:p w14:paraId="1E6F578F" w14:textId="64A611DB" w:rsidR="005156F8" w:rsidRPr="00965BA6" w:rsidRDefault="005156F8" w:rsidP="00732D74">
            <w:pPr>
              <w:autoSpaceDE w:val="0"/>
              <w:autoSpaceDN w:val="0"/>
              <w:adjustRightInd w:val="0"/>
              <w:spacing w:before="79" w:after="79" w:line="276" w:lineRule="auto"/>
              <w:ind w:firstLineChars="0" w:firstLine="0"/>
              <w:jc w:val="center"/>
              <w:rPr>
                <w:b/>
                <w:kern w:val="0"/>
                <w:sz w:val="20"/>
                <w:szCs w:val="21"/>
              </w:rPr>
            </w:pPr>
          </w:p>
        </w:tc>
        <w:tc>
          <w:tcPr>
            <w:tcW w:w="1027" w:type="pct"/>
            <w:tcBorders>
              <w:top w:val="single" w:sz="6" w:space="0" w:color="auto"/>
              <w:left w:val="nil"/>
              <w:bottom w:val="nil"/>
              <w:right w:val="nil"/>
            </w:tcBorders>
            <w:vAlign w:val="center"/>
          </w:tcPr>
          <w:p w14:paraId="307EBBC0" w14:textId="77777777" w:rsidR="005156F8" w:rsidRPr="00965BA6" w:rsidRDefault="005156F8" w:rsidP="00732D74">
            <w:pPr>
              <w:autoSpaceDE w:val="0"/>
              <w:autoSpaceDN w:val="0"/>
              <w:adjustRightInd w:val="0"/>
              <w:spacing w:before="79" w:after="79" w:line="276" w:lineRule="auto"/>
              <w:ind w:firstLineChars="0" w:firstLine="0"/>
              <w:jc w:val="center"/>
              <w:rPr>
                <w:b/>
                <w:kern w:val="0"/>
                <w:sz w:val="20"/>
                <w:szCs w:val="21"/>
              </w:rPr>
            </w:pPr>
            <w:r w:rsidRPr="00965BA6">
              <w:rPr>
                <w:b/>
                <w:kern w:val="0"/>
                <w:sz w:val="20"/>
                <w:szCs w:val="21"/>
              </w:rPr>
              <w:t>Model(4)</w:t>
            </w:r>
          </w:p>
        </w:tc>
        <w:tc>
          <w:tcPr>
            <w:tcW w:w="1027" w:type="pct"/>
            <w:tcBorders>
              <w:top w:val="single" w:sz="6" w:space="0" w:color="auto"/>
              <w:left w:val="nil"/>
              <w:bottom w:val="nil"/>
              <w:right w:val="nil"/>
            </w:tcBorders>
            <w:vAlign w:val="center"/>
          </w:tcPr>
          <w:p w14:paraId="08F59470" w14:textId="77777777" w:rsidR="005156F8" w:rsidRPr="00965BA6" w:rsidRDefault="005156F8" w:rsidP="00732D74">
            <w:pPr>
              <w:autoSpaceDE w:val="0"/>
              <w:autoSpaceDN w:val="0"/>
              <w:adjustRightInd w:val="0"/>
              <w:spacing w:before="79" w:after="79" w:line="276" w:lineRule="auto"/>
              <w:ind w:firstLineChars="0" w:firstLine="0"/>
              <w:jc w:val="center"/>
              <w:rPr>
                <w:b/>
                <w:kern w:val="0"/>
                <w:sz w:val="20"/>
                <w:szCs w:val="21"/>
              </w:rPr>
            </w:pPr>
            <w:r w:rsidRPr="00965BA6">
              <w:rPr>
                <w:b/>
                <w:kern w:val="0"/>
                <w:sz w:val="20"/>
                <w:szCs w:val="21"/>
              </w:rPr>
              <w:t>Model(5)</w:t>
            </w:r>
          </w:p>
        </w:tc>
        <w:tc>
          <w:tcPr>
            <w:tcW w:w="1027" w:type="pct"/>
            <w:tcBorders>
              <w:top w:val="single" w:sz="6" w:space="0" w:color="auto"/>
              <w:left w:val="nil"/>
              <w:bottom w:val="nil"/>
              <w:right w:val="nil"/>
            </w:tcBorders>
            <w:vAlign w:val="center"/>
          </w:tcPr>
          <w:p w14:paraId="504C3E70" w14:textId="77777777" w:rsidR="005156F8" w:rsidRPr="00965BA6" w:rsidRDefault="005156F8" w:rsidP="00732D74">
            <w:pPr>
              <w:autoSpaceDE w:val="0"/>
              <w:autoSpaceDN w:val="0"/>
              <w:adjustRightInd w:val="0"/>
              <w:spacing w:before="79" w:after="79" w:line="276" w:lineRule="auto"/>
              <w:ind w:firstLineChars="0" w:firstLine="0"/>
              <w:jc w:val="center"/>
              <w:rPr>
                <w:b/>
                <w:kern w:val="0"/>
                <w:sz w:val="20"/>
                <w:szCs w:val="21"/>
              </w:rPr>
            </w:pPr>
            <w:r w:rsidRPr="00965BA6">
              <w:rPr>
                <w:b/>
                <w:kern w:val="0"/>
                <w:sz w:val="20"/>
                <w:szCs w:val="21"/>
              </w:rPr>
              <w:t>Model(6)</w:t>
            </w:r>
          </w:p>
        </w:tc>
        <w:tc>
          <w:tcPr>
            <w:tcW w:w="1025" w:type="pct"/>
            <w:tcBorders>
              <w:top w:val="single" w:sz="6" w:space="0" w:color="auto"/>
              <w:left w:val="nil"/>
              <w:bottom w:val="nil"/>
              <w:right w:val="nil"/>
            </w:tcBorders>
            <w:vAlign w:val="center"/>
          </w:tcPr>
          <w:p w14:paraId="18043FE8" w14:textId="77777777" w:rsidR="005156F8" w:rsidRPr="00965BA6" w:rsidRDefault="005156F8" w:rsidP="00732D74">
            <w:pPr>
              <w:autoSpaceDE w:val="0"/>
              <w:autoSpaceDN w:val="0"/>
              <w:adjustRightInd w:val="0"/>
              <w:spacing w:before="79" w:after="79" w:line="276" w:lineRule="auto"/>
              <w:ind w:firstLineChars="0" w:firstLine="0"/>
              <w:jc w:val="center"/>
              <w:rPr>
                <w:b/>
                <w:kern w:val="0"/>
                <w:sz w:val="20"/>
                <w:szCs w:val="21"/>
              </w:rPr>
            </w:pPr>
            <w:r w:rsidRPr="00965BA6">
              <w:rPr>
                <w:b/>
                <w:kern w:val="0"/>
                <w:sz w:val="20"/>
                <w:szCs w:val="21"/>
              </w:rPr>
              <w:t>Model(7)</w:t>
            </w:r>
          </w:p>
        </w:tc>
      </w:tr>
      <w:tr w:rsidR="0011644B" w:rsidRPr="0011644B" w14:paraId="7F07A0B9" w14:textId="77777777" w:rsidTr="005156F8">
        <w:trPr>
          <w:jc w:val="center"/>
        </w:trPr>
        <w:tc>
          <w:tcPr>
            <w:tcW w:w="894" w:type="pct"/>
            <w:vMerge w:val="restart"/>
            <w:tcBorders>
              <w:top w:val="single" w:sz="6" w:space="0" w:color="auto"/>
              <w:left w:val="nil"/>
              <w:right w:val="nil"/>
            </w:tcBorders>
            <w:vAlign w:val="center"/>
          </w:tcPr>
          <w:p w14:paraId="088E17C3" w14:textId="1B21F5E8"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Ab</w:t>
            </w:r>
            <w:r w:rsidR="00965BA6">
              <w:rPr>
                <w:rFonts w:hint="eastAsia"/>
                <w:b/>
                <w:kern w:val="0"/>
                <w:sz w:val="20"/>
                <w:szCs w:val="21"/>
              </w:rPr>
              <w:t>-</w:t>
            </w:r>
            <w:r w:rsidRPr="00965BA6">
              <w:rPr>
                <w:b/>
                <w:kern w:val="0"/>
                <w:sz w:val="20"/>
                <w:szCs w:val="21"/>
              </w:rPr>
              <w:t>Turnover</w:t>
            </w:r>
          </w:p>
        </w:tc>
        <w:tc>
          <w:tcPr>
            <w:tcW w:w="1027" w:type="pct"/>
            <w:tcBorders>
              <w:top w:val="single" w:sz="6" w:space="0" w:color="auto"/>
              <w:left w:val="nil"/>
              <w:bottom w:val="nil"/>
              <w:right w:val="nil"/>
            </w:tcBorders>
            <w:vAlign w:val="center"/>
          </w:tcPr>
          <w:p w14:paraId="4E323D93"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0.0675</w:t>
            </w:r>
          </w:p>
        </w:tc>
        <w:tc>
          <w:tcPr>
            <w:tcW w:w="1027" w:type="pct"/>
            <w:tcBorders>
              <w:top w:val="single" w:sz="6" w:space="0" w:color="auto"/>
              <w:left w:val="nil"/>
              <w:bottom w:val="nil"/>
              <w:right w:val="nil"/>
            </w:tcBorders>
            <w:vAlign w:val="center"/>
          </w:tcPr>
          <w:p w14:paraId="787110E8"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single" w:sz="6" w:space="0" w:color="auto"/>
              <w:left w:val="nil"/>
              <w:bottom w:val="nil"/>
              <w:right w:val="nil"/>
            </w:tcBorders>
            <w:vAlign w:val="center"/>
          </w:tcPr>
          <w:p w14:paraId="24A292B0"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0.0490</w:t>
            </w:r>
          </w:p>
        </w:tc>
        <w:tc>
          <w:tcPr>
            <w:tcW w:w="1025" w:type="pct"/>
            <w:tcBorders>
              <w:top w:val="single" w:sz="6" w:space="0" w:color="auto"/>
              <w:left w:val="nil"/>
              <w:bottom w:val="nil"/>
              <w:right w:val="nil"/>
            </w:tcBorders>
            <w:vAlign w:val="center"/>
          </w:tcPr>
          <w:p w14:paraId="0BE22DE7"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51A9BFB4" w14:textId="77777777" w:rsidTr="005156F8">
        <w:trPr>
          <w:jc w:val="center"/>
        </w:trPr>
        <w:tc>
          <w:tcPr>
            <w:tcW w:w="894" w:type="pct"/>
            <w:vMerge/>
            <w:tcBorders>
              <w:left w:val="nil"/>
              <w:bottom w:val="nil"/>
              <w:right w:val="nil"/>
            </w:tcBorders>
            <w:vAlign w:val="center"/>
          </w:tcPr>
          <w:p w14:paraId="62ADE70B"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44858B5B" w14:textId="55BE1600"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(6.22)</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523FED49"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797EF171" w14:textId="68D04D2E"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(4.49)</w:t>
            </w:r>
            <w:r w:rsidR="00FC036D">
              <w:rPr>
                <w:kern w:val="0"/>
                <w:sz w:val="20"/>
                <w:szCs w:val="21"/>
              </w:rPr>
              <w:t>*</w:t>
            </w:r>
            <w:r w:rsidRPr="0011644B">
              <w:rPr>
                <w:kern w:val="0"/>
                <w:sz w:val="20"/>
                <w:szCs w:val="21"/>
              </w:rPr>
              <w:t>*</w:t>
            </w:r>
          </w:p>
        </w:tc>
        <w:tc>
          <w:tcPr>
            <w:tcW w:w="1025" w:type="pct"/>
            <w:tcBorders>
              <w:top w:val="nil"/>
              <w:left w:val="nil"/>
              <w:bottom w:val="nil"/>
              <w:right w:val="nil"/>
            </w:tcBorders>
            <w:vAlign w:val="center"/>
          </w:tcPr>
          <w:p w14:paraId="160179C9"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7357F3C9" w14:textId="77777777" w:rsidTr="005156F8">
        <w:trPr>
          <w:jc w:val="center"/>
        </w:trPr>
        <w:tc>
          <w:tcPr>
            <w:tcW w:w="894" w:type="pct"/>
            <w:vMerge w:val="restart"/>
            <w:tcBorders>
              <w:top w:val="nil"/>
              <w:left w:val="nil"/>
              <w:right w:val="nil"/>
            </w:tcBorders>
            <w:vAlign w:val="center"/>
          </w:tcPr>
          <w:p w14:paraId="782C3241" w14:textId="10B8F860"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Ana</w:t>
            </w:r>
            <w:r w:rsidR="00965BA6">
              <w:rPr>
                <w:b/>
                <w:kern w:val="0"/>
                <w:sz w:val="20"/>
                <w:szCs w:val="21"/>
              </w:rPr>
              <w:t>-</w:t>
            </w:r>
            <w:r w:rsidRPr="00965BA6">
              <w:rPr>
                <w:b/>
                <w:kern w:val="0"/>
                <w:sz w:val="20"/>
                <w:szCs w:val="21"/>
              </w:rPr>
              <w:t>Attention</w:t>
            </w:r>
          </w:p>
        </w:tc>
        <w:tc>
          <w:tcPr>
            <w:tcW w:w="1027" w:type="pct"/>
            <w:tcBorders>
              <w:top w:val="nil"/>
              <w:left w:val="nil"/>
              <w:bottom w:val="nil"/>
              <w:right w:val="nil"/>
            </w:tcBorders>
            <w:vAlign w:val="center"/>
          </w:tcPr>
          <w:p w14:paraId="5290EDF5"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0.0627</w:t>
            </w:r>
          </w:p>
        </w:tc>
        <w:tc>
          <w:tcPr>
            <w:tcW w:w="1027" w:type="pct"/>
            <w:tcBorders>
              <w:top w:val="nil"/>
              <w:left w:val="nil"/>
              <w:bottom w:val="nil"/>
              <w:right w:val="nil"/>
            </w:tcBorders>
            <w:vAlign w:val="center"/>
          </w:tcPr>
          <w:p w14:paraId="1D05C412"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0.0626</w:t>
            </w:r>
          </w:p>
        </w:tc>
        <w:tc>
          <w:tcPr>
            <w:tcW w:w="1027" w:type="pct"/>
            <w:tcBorders>
              <w:top w:val="nil"/>
              <w:left w:val="nil"/>
              <w:bottom w:val="nil"/>
              <w:right w:val="nil"/>
            </w:tcBorders>
            <w:vAlign w:val="center"/>
          </w:tcPr>
          <w:p w14:paraId="013FA7E1"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5" w:type="pct"/>
            <w:tcBorders>
              <w:top w:val="nil"/>
              <w:left w:val="nil"/>
              <w:bottom w:val="nil"/>
              <w:right w:val="nil"/>
            </w:tcBorders>
            <w:vAlign w:val="center"/>
          </w:tcPr>
          <w:p w14:paraId="02182534"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7D435514" w14:textId="77777777" w:rsidTr="005156F8">
        <w:trPr>
          <w:jc w:val="center"/>
        </w:trPr>
        <w:tc>
          <w:tcPr>
            <w:tcW w:w="894" w:type="pct"/>
            <w:vMerge/>
            <w:tcBorders>
              <w:left w:val="nil"/>
              <w:bottom w:val="nil"/>
              <w:right w:val="nil"/>
            </w:tcBorders>
            <w:vAlign w:val="center"/>
          </w:tcPr>
          <w:p w14:paraId="10305EB1"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2AAD706A" w14:textId="6C7EED7D"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(80.29)</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5ABE4A41" w14:textId="6022FE68"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(80.19)</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51337ED9"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5" w:type="pct"/>
            <w:tcBorders>
              <w:top w:val="nil"/>
              <w:left w:val="nil"/>
              <w:bottom w:val="nil"/>
              <w:right w:val="nil"/>
            </w:tcBorders>
            <w:vAlign w:val="center"/>
          </w:tcPr>
          <w:p w14:paraId="3F961F80"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0D58A7D3" w14:textId="77777777" w:rsidTr="005156F8">
        <w:trPr>
          <w:jc w:val="center"/>
        </w:trPr>
        <w:tc>
          <w:tcPr>
            <w:tcW w:w="894" w:type="pct"/>
            <w:vMerge w:val="restart"/>
            <w:tcBorders>
              <w:top w:val="nil"/>
              <w:left w:val="nil"/>
              <w:right w:val="nil"/>
            </w:tcBorders>
            <w:vAlign w:val="center"/>
          </w:tcPr>
          <w:p w14:paraId="1B23C978"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ROA</w:t>
            </w:r>
          </w:p>
        </w:tc>
        <w:tc>
          <w:tcPr>
            <w:tcW w:w="1027" w:type="pct"/>
            <w:tcBorders>
              <w:top w:val="nil"/>
              <w:left w:val="nil"/>
              <w:bottom w:val="nil"/>
              <w:right w:val="nil"/>
            </w:tcBorders>
            <w:vAlign w:val="center"/>
          </w:tcPr>
          <w:p w14:paraId="46F4B4F8"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0.0098</w:t>
            </w:r>
          </w:p>
        </w:tc>
        <w:tc>
          <w:tcPr>
            <w:tcW w:w="1027" w:type="pct"/>
            <w:tcBorders>
              <w:top w:val="nil"/>
              <w:left w:val="nil"/>
              <w:bottom w:val="nil"/>
              <w:right w:val="nil"/>
            </w:tcBorders>
            <w:vAlign w:val="center"/>
          </w:tcPr>
          <w:p w14:paraId="34CF66A9"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0.0098</w:t>
            </w:r>
          </w:p>
        </w:tc>
        <w:tc>
          <w:tcPr>
            <w:tcW w:w="1027" w:type="pct"/>
            <w:tcBorders>
              <w:top w:val="nil"/>
              <w:left w:val="nil"/>
              <w:bottom w:val="nil"/>
              <w:right w:val="nil"/>
            </w:tcBorders>
            <w:vAlign w:val="center"/>
          </w:tcPr>
          <w:p w14:paraId="13A22FB3"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5" w:type="pct"/>
            <w:tcBorders>
              <w:top w:val="nil"/>
              <w:left w:val="nil"/>
              <w:bottom w:val="nil"/>
              <w:right w:val="nil"/>
            </w:tcBorders>
            <w:vAlign w:val="center"/>
          </w:tcPr>
          <w:p w14:paraId="500C9262"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5D066871" w14:textId="77777777" w:rsidTr="005156F8">
        <w:trPr>
          <w:jc w:val="center"/>
        </w:trPr>
        <w:tc>
          <w:tcPr>
            <w:tcW w:w="894" w:type="pct"/>
            <w:vMerge/>
            <w:tcBorders>
              <w:left w:val="nil"/>
              <w:bottom w:val="nil"/>
              <w:right w:val="nil"/>
            </w:tcBorders>
            <w:vAlign w:val="center"/>
          </w:tcPr>
          <w:p w14:paraId="1D2B048C"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165A3FDC" w14:textId="0084FFD8"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(6.60)</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1F509BF6" w14:textId="01F3FA0D"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(6.59)</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727BF951"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5" w:type="pct"/>
            <w:tcBorders>
              <w:top w:val="nil"/>
              <w:left w:val="nil"/>
              <w:bottom w:val="nil"/>
              <w:right w:val="nil"/>
            </w:tcBorders>
            <w:vAlign w:val="center"/>
          </w:tcPr>
          <w:p w14:paraId="1918872C"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3E765EC9" w14:textId="77777777" w:rsidTr="005156F8">
        <w:trPr>
          <w:jc w:val="center"/>
        </w:trPr>
        <w:tc>
          <w:tcPr>
            <w:tcW w:w="894" w:type="pct"/>
            <w:vMerge w:val="restart"/>
            <w:tcBorders>
              <w:top w:val="nil"/>
              <w:left w:val="nil"/>
              <w:right w:val="nil"/>
            </w:tcBorders>
            <w:vAlign w:val="center"/>
          </w:tcPr>
          <w:p w14:paraId="59E19F80"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Total Asset</w:t>
            </w:r>
          </w:p>
        </w:tc>
        <w:tc>
          <w:tcPr>
            <w:tcW w:w="1027" w:type="pct"/>
            <w:tcBorders>
              <w:top w:val="nil"/>
              <w:left w:val="nil"/>
              <w:bottom w:val="nil"/>
              <w:right w:val="nil"/>
            </w:tcBorders>
            <w:vAlign w:val="center"/>
          </w:tcPr>
          <w:p w14:paraId="3FB0D348"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-0.5390</w:t>
            </w:r>
          </w:p>
        </w:tc>
        <w:tc>
          <w:tcPr>
            <w:tcW w:w="1027" w:type="pct"/>
            <w:tcBorders>
              <w:top w:val="nil"/>
              <w:left w:val="nil"/>
              <w:bottom w:val="nil"/>
              <w:right w:val="nil"/>
            </w:tcBorders>
            <w:vAlign w:val="center"/>
          </w:tcPr>
          <w:p w14:paraId="7DA64C91"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-0.5396</w:t>
            </w:r>
          </w:p>
        </w:tc>
        <w:tc>
          <w:tcPr>
            <w:tcW w:w="1027" w:type="pct"/>
            <w:tcBorders>
              <w:top w:val="nil"/>
              <w:left w:val="nil"/>
              <w:bottom w:val="nil"/>
              <w:right w:val="nil"/>
            </w:tcBorders>
            <w:vAlign w:val="center"/>
          </w:tcPr>
          <w:p w14:paraId="6FD44797"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5" w:type="pct"/>
            <w:tcBorders>
              <w:top w:val="nil"/>
              <w:left w:val="nil"/>
              <w:bottom w:val="nil"/>
              <w:right w:val="nil"/>
            </w:tcBorders>
            <w:vAlign w:val="center"/>
          </w:tcPr>
          <w:p w14:paraId="3DCB61DE"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3B398E40" w14:textId="77777777" w:rsidTr="005156F8">
        <w:trPr>
          <w:jc w:val="center"/>
        </w:trPr>
        <w:tc>
          <w:tcPr>
            <w:tcW w:w="894" w:type="pct"/>
            <w:vMerge/>
            <w:tcBorders>
              <w:left w:val="nil"/>
              <w:bottom w:val="nil"/>
              <w:right w:val="nil"/>
            </w:tcBorders>
            <w:vAlign w:val="center"/>
          </w:tcPr>
          <w:p w14:paraId="5E1F1664"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69AADE35" w14:textId="4B9D6D95"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(28.98)</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5B1B75F6" w14:textId="1C5CCAFA"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(29.03)</w:t>
            </w:r>
            <w:r w:rsidR="00FC036D">
              <w:rPr>
                <w:kern w:val="0"/>
                <w:sz w:val="20"/>
                <w:szCs w:val="21"/>
              </w:rPr>
              <w:t>*</w:t>
            </w:r>
            <w:r w:rsidRPr="0011644B">
              <w:rPr>
                <w:kern w:val="0"/>
                <w:sz w:val="20"/>
                <w:szCs w:val="21"/>
              </w:rPr>
              <w:t>*</w:t>
            </w:r>
          </w:p>
        </w:tc>
        <w:tc>
          <w:tcPr>
            <w:tcW w:w="1027" w:type="pct"/>
            <w:tcBorders>
              <w:top w:val="nil"/>
              <w:left w:val="nil"/>
              <w:bottom w:val="nil"/>
              <w:right w:val="nil"/>
            </w:tcBorders>
            <w:vAlign w:val="center"/>
          </w:tcPr>
          <w:p w14:paraId="47894EFC"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5" w:type="pct"/>
            <w:tcBorders>
              <w:top w:val="nil"/>
              <w:left w:val="nil"/>
              <w:bottom w:val="nil"/>
              <w:right w:val="nil"/>
            </w:tcBorders>
            <w:vAlign w:val="center"/>
          </w:tcPr>
          <w:p w14:paraId="79A7F39C"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r>
      <w:tr w:rsidR="0011644B" w:rsidRPr="0011644B" w14:paraId="5EEDBAF1" w14:textId="77777777" w:rsidTr="005156F8">
        <w:trPr>
          <w:jc w:val="center"/>
        </w:trPr>
        <w:tc>
          <w:tcPr>
            <w:tcW w:w="894" w:type="pct"/>
            <w:vMerge w:val="restart"/>
            <w:tcBorders>
              <w:top w:val="nil"/>
              <w:left w:val="nil"/>
              <w:right w:val="nil"/>
            </w:tcBorders>
            <w:vAlign w:val="center"/>
          </w:tcPr>
          <w:p w14:paraId="2A12FA5A" w14:textId="584D2C4E" w:rsidR="0011644B" w:rsidRPr="00965BA6" w:rsidRDefault="00965BA6" w:rsidP="00732D74">
            <w:pPr>
              <w:autoSpaceDE w:val="0"/>
              <w:autoSpaceDN w:val="0"/>
              <w:adjustRightInd w:val="0"/>
              <w:spacing w:line="276" w:lineRule="auto"/>
              <w:ind w:firstLineChars="0" w:firstLine="0"/>
              <w:jc w:val="center"/>
              <w:rPr>
                <w:b/>
                <w:kern w:val="0"/>
                <w:sz w:val="20"/>
                <w:szCs w:val="21"/>
              </w:rPr>
            </w:pPr>
            <w:r>
              <w:rPr>
                <w:b/>
                <w:kern w:val="0"/>
                <w:sz w:val="20"/>
                <w:szCs w:val="21"/>
              </w:rPr>
              <w:t>R</w:t>
            </w:r>
            <w:r w:rsidR="0011644B" w:rsidRPr="00965BA6">
              <w:rPr>
                <w:b/>
                <w:kern w:val="0"/>
                <w:sz w:val="20"/>
                <w:szCs w:val="21"/>
              </w:rPr>
              <w:t>pt</w:t>
            </w:r>
            <w:r>
              <w:rPr>
                <w:b/>
                <w:kern w:val="0"/>
                <w:sz w:val="20"/>
                <w:szCs w:val="21"/>
              </w:rPr>
              <w:t>-</w:t>
            </w:r>
            <w:r w:rsidR="0011644B" w:rsidRPr="00965BA6">
              <w:rPr>
                <w:b/>
                <w:kern w:val="0"/>
                <w:sz w:val="20"/>
                <w:szCs w:val="21"/>
              </w:rPr>
              <w:t>Attention</w:t>
            </w:r>
          </w:p>
        </w:tc>
        <w:tc>
          <w:tcPr>
            <w:tcW w:w="1027" w:type="pct"/>
            <w:tcBorders>
              <w:top w:val="nil"/>
              <w:left w:val="nil"/>
              <w:bottom w:val="nil"/>
              <w:right w:val="nil"/>
            </w:tcBorders>
            <w:vAlign w:val="center"/>
          </w:tcPr>
          <w:p w14:paraId="351B2504"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6D67C784"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415E1494"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0.0280</w:t>
            </w:r>
          </w:p>
        </w:tc>
        <w:tc>
          <w:tcPr>
            <w:tcW w:w="1025" w:type="pct"/>
            <w:tcBorders>
              <w:top w:val="nil"/>
              <w:left w:val="nil"/>
              <w:bottom w:val="nil"/>
              <w:right w:val="nil"/>
            </w:tcBorders>
            <w:vAlign w:val="center"/>
          </w:tcPr>
          <w:p w14:paraId="514854E5"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0.0280</w:t>
            </w:r>
          </w:p>
        </w:tc>
      </w:tr>
      <w:tr w:rsidR="0011644B" w:rsidRPr="0011644B" w14:paraId="504AF896" w14:textId="77777777" w:rsidTr="005156F8">
        <w:trPr>
          <w:jc w:val="center"/>
        </w:trPr>
        <w:tc>
          <w:tcPr>
            <w:tcW w:w="894" w:type="pct"/>
            <w:vMerge/>
            <w:tcBorders>
              <w:left w:val="nil"/>
              <w:bottom w:val="nil"/>
              <w:right w:val="nil"/>
            </w:tcBorders>
            <w:vAlign w:val="center"/>
          </w:tcPr>
          <w:p w14:paraId="6129A303"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155FA6C6"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118DB700"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04B22FE7" w14:textId="6CD476E5"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(78.97)</w:t>
            </w:r>
            <w:r w:rsidR="00FC036D">
              <w:rPr>
                <w:kern w:val="0"/>
                <w:sz w:val="20"/>
                <w:szCs w:val="21"/>
              </w:rPr>
              <w:t>*</w:t>
            </w:r>
            <w:r w:rsidRPr="0011644B">
              <w:rPr>
                <w:kern w:val="0"/>
                <w:sz w:val="20"/>
                <w:szCs w:val="21"/>
              </w:rPr>
              <w:t>*</w:t>
            </w:r>
          </w:p>
        </w:tc>
        <w:tc>
          <w:tcPr>
            <w:tcW w:w="1025" w:type="pct"/>
            <w:tcBorders>
              <w:top w:val="nil"/>
              <w:left w:val="nil"/>
              <w:bottom w:val="nil"/>
              <w:right w:val="nil"/>
            </w:tcBorders>
            <w:vAlign w:val="center"/>
          </w:tcPr>
          <w:p w14:paraId="42E46D89" w14:textId="59AE4286"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(78.92)</w:t>
            </w:r>
            <w:r w:rsidR="00FC036D">
              <w:rPr>
                <w:kern w:val="0"/>
                <w:sz w:val="20"/>
                <w:szCs w:val="21"/>
              </w:rPr>
              <w:t>*</w:t>
            </w:r>
            <w:r w:rsidRPr="0011644B">
              <w:rPr>
                <w:kern w:val="0"/>
                <w:sz w:val="20"/>
                <w:szCs w:val="21"/>
              </w:rPr>
              <w:t>*</w:t>
            </w:r>
          </w:p>
        </w:tc>
      </w:tr>
      <w:tr w:rsidR="0011644B" w:rsidRPr="0011644B" w14:paraId="76A008C5" w14:textId="77777777" w:rsidTr="005156F8">
        <w:trPr>
          <w:jc w:val="center"/>
        </w:trPr>
        <w:tc>
          <w:tcPr>
            <w:tcW w:w="894" w:type="pct"/>
            <w:vMerge w:val="restart"/>
            <w:tcBorders>
              <w:top w:val="nil"/>
              <w:left w:val="nil"/>
              <w:right w:val="nil"/>
            </w:tcBorders>
            <w:vAlign w:val="center"/>
          </w:tcPr>
          <w:p w14:paraId="672F67D5"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ROE</w:t>
            </w:r>
          </w:p>
        </w:tc>
        <w:tc>
          <w:tcPr>
            <w:tcW w:w="1027" w:type="pct"/>
            <w:tcBorders>
              <w:top w:val="nil"/>
              <w:left w:val="nil"/>
              <w:bottom w:val="nil"/>
              <w:right w:val="nil"/>
            </w:tcBorders>
            <w:vAlign w:val="center"/>
          </w:tcPr>
          <w:p w14:paraId="20AF5250"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00F58B2D"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66E8F518"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0.0103</w:t>
            </w:r>
          </w:p>
        </w:tc>
        <w:tc>
          <w:tcPr>
            <w:tcW w:w="1025" w:type="pct"/>
            <w:tcBorders>
              <w:top w:val="nil"/>
              <w:left w:val="nil"/>
              <w:bottom w:val="nil"/>
              <w:right w:val="nil"/>
            </w:tcBorders>
            <w:vAlign w:val="center"/>
          </w:tcPr>
          <w:p w14:paraId="120F78F5"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0.0103</w:t>
            </w:r>
          </w:p>
        </w:tc>
      </w:tr>
      <w:tr w:rsidR="0011644B" w:rsidRPr="0011644B" w14:paraId="04BB4240" w14:textId="77777777" w:rsidTr="005156F8">
        <w:trPr>
          <w:jc w:val="center"/>
        </w:trPr>
        <w:tc>
          <w:tcPr>
            <w:tcW w:w="894" w:type="pct"/>
            <w:vMerge/>
            <w:tcBorders>
              <w:left w:val="nil"/>
              <w:bottom w:val="nil"/>
              <w:right w:val="nil"/>
            </w:tcBorders>
            <w:vAlign w:val="center"/>
          </w:tcPr>
          <w:p w14:paraId="747D6F7D"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0B2B0D6B"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0DAE70DB"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782C30C3" w14:textId="2878622C"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(10.41)</w:t>
            </w:r>
            <w:r w:rsidR="00FC036D">
              <w:rPr>
                <w:kern w:val="0"/>
                <w:sz w:val="20"/>
                <w:szCs w:val="21"/>
              </w:rPr>
              <w:t>*</w:t>
            </w:r>
            <w:r w:rsidRPr="0011644B">
              <w:rPr>
                <w:kern w:val="0"/>
                <w:sz w:val="20"/>
                <w:szCs w:val="21"/>
              </w:rPr>
              <w:t>*</w:t>
            </w:r>
          </w:p>
        </w:tc>
        <w:tc>
          <w:tcPr>
            <w:tcW w:w="1025" w:type="pct"/>
            <w:tcBorders>
              <w:top w:val="nil"/>
              <w:left w:val="nil"/>
              <w:bottom w:val="nil"/>
              <w:right w:val="nil"/>
            </w:tcBorders>
            <w:vAlign w:val="center"/>
          </w:tcPr>
          <w:p w14:paraId="52579350" w14:textId="1404C753"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(10.42)</w:t>
            </w:r>
            <w:r w:rsidR="00FC036D">
              <w:rPr>
                <w:kern w:val="0"/>
                <w:sz w:val="20"/>
                <w:szCs w:val="21"/>
              </w:rPr>
              <w:t>*</w:t>
            </w:r>
            <w:r w:rsidRPr="0011644B">
              <w:rPr>
                <w:kern w:val="0"/>
                <w:sz w:val="20"/>
                <w:szCs w:val="21"/>
              </w:rPr>
              <w:t>*</w:t>
            </w:r>
          </w:p>
        </w:tc>
      </w:tr>
      <w:tr w:rsidR="0011644B" w:rsidRPr="0011644B" w14:paraId="40AB208B" w14:textId="77777777" w:rsidTr="005156F8">
        <w:trPr>
          <w:jc w:val="center"/>
        </w:trPr>
        <w:tc>
          <w:tcPr>
            <w:tcW w:w="894" w:type="pct"/>
            <w:vMerge w:val="restart"/>
            <w:tcBorders>
              <w:top w:val="nil"/>
              <w:left w:val="nil"/>
              <w:right w:val="nil"/>
            </w:tcBorders>
            <w:vAlign w:val="center"/>
          </w:tcPr>
          <w:p w14:paraId="1EE95117"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Market Value</w:t>
            </w:r>
          </w:p>
        </w:tc>
        <w:tc>
          <w:tcPr>
            <w:tcW w:w="1027" w:type="pct"/>
            <w:tcBorders>
              <w:top w:val="nil"/>
              <w:left w:val="nil"/>
              <w:bottom w:val="nil"/>
              <w:right w:val="nil"/>
            </w:tcBorders>
            <w:vAlign w:val="center"/>
          </w:tcPr>
          <w:p w14:paraId="77D8AFE6"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4EE114DF"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2BEA94D7"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-0.8118</w:t>
            </w:r>
          </w:p>
        </w:tc>
        <w:tc>
          <w:tcPr>
            <w:tcW w:w="1025" w:type="pct"/>
            <w:tcBorders>
              <w:top w:val="nil"/>
              <w:left w:val="nil"/>
              <w:bottom w:val="nil"/>
              <w:right w:val="nil"/>
            </w:tcBorders>
            <w:vAlign w:val="center"/>
          </w:tcPr>
          <w:p w14:paraId="615CD02C"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-0.8146</w:t>
            </w:r>
          </w:p>
        </w:tc>
      </w:tr>
      <w:tr w:rsidR="0011644B" w:rsidRPr="0011644B" w14:paraId="6678810F" w14:textId="77777777" w:rsidTr="005156F8">
        <w:trPr>
          <w:jc w:val="center"/>
        </w:trPr>
        <w:tc>
          <w:tcPr>
            <w:tcW w:w="894" w:type="pct"/>
            <w:vMerge/>
            <w:tcBorders>
              <w:left w:val="nil"/>
              <w:bottom w:val="nil"/>
              <w:right w:val="nil"/>
            </w:tcBorders>
            <w:vAlign w:val="center"/>
          </w:tcPr>
          <w:p w14:paraId="000C584E"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nil"/>
              <w:right w:val="nil"/>
            </w:tcBorders>
            <w:vAlign w:val="center"/>
          </w:tcPr>
          <w:p w14:paraId="74A459B6"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60128FDB"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p>
        </w:tc>
        <w:tc>
          <w:tcPr>
            <w:tcW w:w="1027" w:type="pct"/>
            <w:tcBorders>
              <w:top w:val="nil"/>
              <w:left w:val="nil"/>
              <w:bottom w:val="nil"/>
              <w:right w:val="nil"/>
            </w:tcBorders>
            <w:vAlign w:val="center"/>
          </w:tcPr>
          <w:p w14:paraId="4325AC09" w14:textId="6906A6EC"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(40.98)</w:t>
            </w:r>
            <w:r w:rsidR="00FC036D">
              <w:rPr>
                <w:kern w:val="0"/>
                <w:sz w:val="20"/>
                <w:szCs w:val="21"/>
              </w:rPr>
              <w:t>*</w:t>
            </w:r>
            <w:r w:rsidRPr="0011644B">
              <w:rPr>
                <w:kern w:val="0"/>
                <w:sz w:val="20"/>
                <w:szCs w:val="21"/>
              </w:rPr>
              <w:t>*</w:t>
            </w:r>
          </w:p>
        </w:tc>
        <w:tc>
          <w:tcPr>
            <w:tcW w:w="1025" w:type="pct"/>
            <w:tcBorders>
              <w:top w:val="nil"/>
              <w:left w:val="nil"/>
              <w:bottom w:val="nil"/>
              <w:right w:val="nil"/>
            </w:tcBorders>
            <w:vAlign w:val="center"/>
          </w:tcPr>
          <w:p w14:paraId="1745A931" w14:textId="5EC7B0DB"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(41.16)</w:t>
            </w:r>
            <w:r w:rsidR="00FC036D">
              <w:rPr>
                <w:kern w:val="0"/>
                <w:sz w:val="20"/>
                <w:szCs w:val="21"/>
              </w:rPr>
              <w:t>*</w:t>
            </w:r>
            <w:r w:rsidRPr="0011644B">
              <w:rPr>
                <w:kern w:val="0"/>
                <w:sz w:val="20"/>
                <w:szCs w:val="21"/>
              </w:rPr>
              <w:t>*</w:t>
            </w:r>
          </w:p>
        </w:tc>
      </w:tr>
      <w:tr w:rsidR="0011644B" w:rsidRPr="0011644B" w14:paraId="23DAD1C8" w14:textId="77777777" w:rsidTr="005156F8">
        <w:trPr>
          <w:jc w:val="center"/>
        </w:trPr>
        <w:tc>
          <w:tcPr>
            <w:tcW w:w="894" w:type="pct"/>
            <w:vMerge w:val="restart"/>
            <w:tcBorders>
              <w:top w:val="nil"/>
              <w:left w:val="nil"/>
              <w:right w:val="nil"/>
            </w:tcBorders>
            <w:vAlign w:val="center"/>
          </w:tcPr>
          <w:p w14:paraId="37FC087F" w14:textId="79F80908" w:rsidR="0011644B" w:rsidRPr="00965BA6" w:rsidRDefault="002B7056" w:rsidP="00732D74">
            <w:pPr>
              <w:autoSpaceDE w:val="0"/>
              <w:autoSpaceDN w:val="0"/>
              <w:adjustRightInd w:val="0"/>
              <w:spacing w:line="276" w:lineRule="auto"/>
              <w:ind w:firstLineChars="0" w:firstLine="0"/>
              <w:jc w:val="center"/>
              <w:rPr>
                <w:b/>
                <w:kern w:val="0"/>
                <w:sz w:val="20"/>
                <w:szCs w:val="21"/>
              </w:rPr>
            </w:pPr>
            <w:r>
              <w:rPr>
                <w:b/>
                <w:kern w:val="0"/>
                <w:sz w:val="20"/>
                <w:szCs w:val="21"/>
              </w:rPr>
              <w:t>_</w:t>
            </w:r>
            <w:r w:rsidR="0011644B" w:rsidRPr="00965BA6">
              <w:rPr>
                <w:b/>
                <w:kern w:val="0"/>
                <w:sz w:val="20"/>
                <w:szCs w:val="21"/>
              </w:rPr>
              <w:t>Cons</w:t>
            </w:r>
          </w:p>
        </w:tc>
        <w:tc>
          <w:tcPr>
            <w:tcW w:w="1027" w:type="pct"/>
            <w:tcBorders>
              <w:top w:val="nil"/>
              <w:left w:val="nil"/>
              <w:bottom w:val="nil"/>
              <w:right w:val="nil"/>
            </w:tcBorders>
            <w:vAlign w:val="center"/>
          </w:tcPr>
          <w:p w14:paraId="5ADEC721"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-2.8367</w:t>
            </w:r>
          </w:p>
        </w:tc>
        <w:tc>
          <w:tcPr>
            <w:tcW w:w="1027" w:type="pct"/>
            <w:tcBorders>
              <w:top w:val="nil"/>
              <w:left w:val="nil"/>
              <w:bottom w:val="nil"/>
              <w:right w:val="nil"/>
            </w:tcBorders>
            <w:vAlign w:val="center"/>
          </w:tcPr>
          <w:p w14:paraId="2F8A1268"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-2.7578</w:t>
            </w:r>
          </w:p>
        </w:tc>
        <w:tc>
          <w:tcPr>
            <w:tcW w:w="1027" w:type="pct"/>
            <w:tcBorders>
              <w:top w:val="nil"/>
              <w:left w:val="nil"/>
              <w:bottom w:val="nil"/>
              <w:right w:val="nil"/>
            </w:tcBorders>
            <w:vAlign w:val="center"/>
          </w:tcPr>
          <w:p w14:paraId="5EF0FC51"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-2.6400</w:t>
            </w:r>
          </w:p>
        </w:tc>
        <w:tc>
          <w:tcPr>
            <w:tcW w:w="1025" w:type="pct"/>
            <w:tcBorders>
              <w:top w:val="nil"/>
              <w:left w:val="nil"/>
              <w:bottom w:val="nil"/>
              <w:right w:val="nil"/>
            </w:tcBorders>
            <w:vAlign w:val="center"/>
          </w:tcPr>
          <w:p w14:paraId="5E0C95C7" w14:textId="77777777"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-2.5822</w:t>
            </w:r>
          </w:p>
        </w:tc>
      </w:tr>
      <w:tr w:rsidR="0011644B" w:rsidRPr="0011644B" w14:paraId="491CEDDE" w14:textId="77777777" w:rsidTr="005156F8">
        <w:trPr>
          <w:jc w:val="center"/>
        </w:trPr>
        <w:tc>
          <w:tcPr>
            <w:tcW w:w="894" w:type="pct"/>
            <w:vMerge/>
            <w:tcBorders>
              <w:left w:val="nil"/>
              <w:bottom w:val="double" w:sz="4" w:space="0" w:color="auto"/>
              <w:right w:val="nil"/>
            </w:tcBorders>
            <w:vAlign w:val="center"/>
          </w:tcPr>
          <w:p w14:paraId="1CAE9B02"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p>
        </w:tc>
        <w:tc>
          <w:tcPr>
            <w:tcW w:w="1027" w:type="pct"/>
            <w:tcBorders>
              <w:top w:val="nil"/>
              <w:left w:val="nil"/>
              <w:bottom w:val="double" w:sz="4" w:space="0" w:color="auto"/>
              <w:right w:val="nil"/>
            </w:tcBorders>
            <w:vAlign w:val="center"/>
          </w:tcPr>
          <w:p w14:paraId="717D5BCA" w14:textId="6A0AC702"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(137.62)</w:t>
            </w:r>
            <w:r w:rsidR="00FC036D">
              <w:rPr>
                <w:kern w:val="0"/>
                <w:sz w:val="20"/>
                <w:szCs w:val="21"/>
              </w:rPr>
              <w:t>*</w:t>
            </w:r>
            <w:r w:rsidRPr="0011644B">
              <w:rPr>
                <w:kern w:val="0"/>
                <w:sz w:val="20"/>
                <w:szCs w:val="21"/>
              </w:rPr>
              <w:t>*</w:t>
            </w:r>
          </w:p>
        </w:tc>
        <w:tc>
          <w:tcPr>
            <w:tcW w:w="1027" w:type="pct"/>
            <w:tcBorders>
              <w:top w:val="nil"/>
              <w:left w:val="nil"/>
              <w:bottom w:val="double" w:sz="4" w:space="0" w:color="auto"/>
              <w:right w:val="nil"/>
            </w:tcBorders>
            <w:vAlign w:val="center"/>
          </w:tcPr>
          <w:p w14:paraId="713739D5" w14:textId="172488DA"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(173.14)</w:t>
            </w:r>
            <w:r w:rsidR="00FC036D">
              <w:rPr>
                <w:kern w:val="0"/>
                <w:sz w:val="20"/>
                <w:szCs w:val="21"/>
              </w:rPr>
              <w:t>*</w:t>
            </w:r>
            <w:r w:rsidRPr="0011644B">
              <w:rPr>
                <w:kern w:val="0"/>
                <w:sz w:val="20"/>
                <w:szCs w:val="21"/>
              </w:rPr>
              <w:t>*</w:t>
            </w:r>
          </w:p>
        </w:tc>
        <w:tc>
          <w:tcPr>
            <w:tcW w:w="1027" w:type="pct"/>
            <w:tcBorders>
              <w:top w:val="nil"/>
              <w:left w:val="nil"/>
              <w:bottom w:val="double" w:sz="4" w:space="0" w:color="auto"/>
              <w:right w:val="nil"/>
            </w:tcBorders>
            <w:vAlign w:val="center"/>
          </w:tcPr>
          <w:p w14:paraId="6EB29E7B" w14:textId="56BA3778"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(138.10)</w:t>
            </w:r>
            <w:r w:rsidR="00FC036D">
              <w:rPr>
                <w:kern w:val="0"/>
                <w:sz w:val="20"/>
                <w:szCs w:val="21"/>
              </w:rPr>
              <w:t>*</w:t>
            </w:r>
            <w:r w:rsidRPr="0011644B">
              <w:rPr>
                <w:kern w:val="0"/>
                <w:sz w:val="20"/>
                <w:szCs w:val="21"/>
              </w:rPr>
              <w:t>*</w:t>
            </w:r>
          </w:p>
        </w:tc>
        <w:tc>
          <w:tcPr>
            <w:tcW w:w="1025" w:type="pct"/>
            <w:tcBorders>
              <w:top w:val="nil"/>
              <w:left w:val="nil"/>
              <w:bottom w:val="double" w:sz="4" w:space="0" w:color="auto"/>
              <w:right w:val="nil"/>
            </w:tcBorders>
            <w:vAlign w:val="center"/>
          </w:tcPr>
          <w:p w14:paraId="5576C97F" w14:textId="25F57608" w:rsidR="0011644B" w:rsidRPr="0011644B" w:rsidRDefault="0011644B" w:rsidP="00732D74">
            <w:pPr>
              <w:tabs>
                <w:tab w:val="decimal" w:pos="948"/>
              </w:tabs>
              <w:autoSpaceDE w:val="0"/>
              <w:autoSpaceDN w:val="0"/>
              <w:adjustRightInd w:val="0"/>
              <w:spacing w:line="276" w:lineRule="auto"/>
              <w:ind w:firstLineChars="0" w:firstLine="0"/>
              <w:rPr>
                <w:kern w:val="0"/>
                <w:sz w:val="20"/>
                <w:szCs w:val="21"/>
              </w:rPr>
            </w:pPr>
            <w:r w:rsidRPr="0011644B">
              <w:rPr>
                <w:kern w:val="0"/>
                <w:sz w:val="20"/>
                <w:szCs w:val="21"/>
              </w:rPr>
              <w:t>(185.99)</w:t>
            </w:r>
            <w:r w:rsidR="00FC036D">
              <w:rPr>
                <w:kern w:val="0"/>
                <w:sz w:val="20"/>
                <w:szCs w:val="21"/>
              </w:rPr>
              <w:t>*</w:t>
            </w:r>
            <w:r w:rsidRPr="0011644B">
              <w:rPr>
                <w:kern w:val="0"/>
                <w:sz w:val="20"/>
                <w:szCs w:val="21"/>
              </w:rPr>
              <w:t>*</w:t>
            </w:r>
          </w:p>
        </w:tc>
      </w:tr>
      <w:tr w:rsidR="0011644B" w:rsidRPr="00965BA6" w14:paraId="303A7EF7" w14:textId="77777777" w:rsidTr="005156F8">
        <w:trPr>
          <w:jc w:val="center"/>
        </w:trPr>
        <w:tc>
          <w:tcPr>
            <w:tcW w:w="894" w:type="pct"/>
            <w:tcBorders>
              <w:top w:val="double" w:sz="4" w:space="0" w:color="auto"/>
              <w:left w:val="nil"/>
              <w:bottom w:val="nil"/>
              <w:right w:val="nil"/>
            </w:tcBorders>
            <w:vAlign w:val="center"/>
          </w:tcPr>
          <w:p w14:paraId="75DE4A97"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Wald Chi2</w:t>
            </w:r>
          </w:p>
        </w:tc>
        <w:tc>
          <w:tcPr>
            <w:tcW w:w="1027" w:type="pct"/>
            <w:tcBorders>
              <w:top w:val="double" w:sz="4" w:space="0" w:color="auto"/>
              <w:left w:val="nil"/>
              <w:bottom w:val="nil"/>
              <w:right w:val="nil"/>
            </w:tcBorders>
            <w:vAlign w:val="center"/>
          </w:tcPr>
          <w:p w14:paraId="6BE0871A"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8,136.67</w:t>
            </w:r>
          </w:p>
        </w:tc>
        <w:tc>
          <w:tcPr>
            <w:tcW w:w="1027" w:type="pct"/>
            <w:tcBorders>
              <w:top w:val="double" w:sz="4" w:space="0" w:color="auto"/>
              <w:left w:val="nil"/>
              <w:bottom w:val="nil"/>
              <w:right w:val="nil"/>
            </w:tcBorders>
            <w:vAlign w:val="center"/>
          </w:tcPr>
          <w:p w14:paraId="1FABE137"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8,109.55</w:t>
            </w:r>
          </w:p>
        </w:tc>
        <w:tc>
          <w:tcPr>
            <w:tcW w:w="1027" w:type="pct"/>
            <w:tcBorders>
              <w:top w:val="double" w:sz="4" w:space="0" w:color="auto"/>
              <w:left w:val="nil"/>
              <w:bottom w:val="nil"/>
              <w:right w:val="nil"/>
            </w:tcBorders>
            <w:vAlign w:val="center"/>
          </w:tcPr>
          <w:p w14:paraId="1FEBBCB2"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7,591.84</w:t>
            </w:r>
          </w:p>
        </w:tc>
        <w:tc>
          <w:tcPr>
            <w:tcW w:w="1025" w:type="pct"/>
            <w:tcBorders>
              <w:top w:val="double" w:sz="4" w:space="0" w:color="auto"/>
              <w:left w:val="nil"/>
              <w:bottom w:val="nil"/>
              <w:right w:val="nil"/>
            </w:tcBorders>
            <w:vAlign w:val="center"/>
          </w:tcPr>
          <w:p w14:paraId="31B2B79B"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7,574.93</w:t>
            </w:r>
          </w:p>
        </w:tc>
      </w:tr>
      <w:tr w:rsidR="0011644B" w:rsidRPr="00965BA6" w14:paraId="4315D8AC" w14:textId="77777777" w:rsidTr="005156F8">
        <w:trPr>
          <w:jc w:val="center"/>
        </w:trPr>
        <w:tc>
          <w:tcPr>
            <w:tcW w:w="894" w:type="pct"/>
            <w:tcBorders>
              <w:top w:val="nil"/>
              <w:left w:val="nil"/>
              <w:bottom w:val="single" w:sz="6" w:space="0" w:color="auto"/>
              <w:right w:val="nil"/>
            </w:tcBorders>
            <w:vAlign w:val="center"/>
          </w:tcPr>
          <w:p w14:paraId="4F259269" w14:textId="77777777" w:rsidR="0011644B" w:rsidRPr="00965BA6" w:rsidRDefault="0011644B" w:rsidP="00732D74">
            <w:pPr>
              <w:autoSpaceDE w:val="0"/>
              <w:autoSpaceDN w:val="0"/>
              <w:adjustRightInd w:val="0"/>
              <w:spacing w:line="276" w:lineRule="auto"/>
              <w:ind w:firstLineChars="0" w:firstLine="0"/>
              <w:jc w:val="center"/>
              <w:rPr>
                <w:b/>
                <w:kern w:val="0"/>
                <w:sz w:val="20"/>
                <w:szCs w:val="21"/>
              </w:rPr>
            </w:pPr>
            <w:r w:rsidRPr="00965BA6">
              <w:rPr>
                <w:b/>
                <w:kern w:val="0"/>
                <w:sz w:val="20"/>
                <w:szCs w:val="21"/>
              </w:rPr>
              <w:t>Prob.</w:t>
            </w:r>
          </w:p>
        </w:tc>
        <w:tc>
          <w:tcPr>
            <w:tcW w:w="1027" w:type="pct"/>
            <w:tcBorders>
              <w:top w:val="nil"/>
              <w:left w:val="nil"/>
              <w:bottom w:val="single" w:sz="6" w:space="0" w:color="auto"/>
              <w:right w:val="nil"/>
            </w:tcBorders>
            <w:vAlign w:val="center"/>
          </w:tcPr>
          <w:p w14:paraId="6F6EA753"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0.00</w:t>
            </w:r>
          </w:p>
        </w:tc>
        <w:tc>
          <w:tcPr>
            <w:tcW w:w="1027" w:type="pct"/>
            <w:tcBorders>
              <w:top w:val="nil"/>
              <w:left w:val="nil"/>
              <w:bottom w:val="single" w:sz="6" w:space="0" w:color="auto"/>
              <w:right w:val="nil"/>
            </w:tcBorders>
            <w:vAlign w:val="center"/>
          </w:tcPr>
          <w:p w14:paraId="03160B8C"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0.00</w:t>
            </w:r>
          </w:p>
        </w:tc>
        <w:tc>
          <w:tcPr>
            <w:tcW w:w="1027" w:type="pct"/>
            <w:tcBorders>
              <w:top w:val="nil"/>
              <w:left w:val="nil"/>
              <w:bottom w:val="single" w:sz="6" w:space="0" w:color="auto"/>
              <w:right w:val="nil"/>
            </w:tcBorders>
            <w:vAlign w:val="center"/>
          </w:tcPr>
          <w:p w14:paraId="7FC5BF04"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0.00</w:t>
            </w:r>
          </w:p>
        </w:tc>
        <w:tc>
          <w:tcPr>
            <w:tcW w:w="1025" w:type="pct"/>
            <w:tcBorders>
              <w:top w:val="nil"/>
              <w:left w:val="nil"/>
              <w:bottom w:val="single" w:sz="6" w:space="0" w:color="auto"/>
              <w:right w:val="nil"/>
            </w:tcBorders>
            <w:vAlign w:val="center"/>
          </w:tcPr>
          <w:p w14:paraId="603DEF65" w14:textId="77777777" w:rsidR="0011644B" w:rsidRPr="00965BA6" w:rsidRDefault="0011644B" w:rsidP="00732D74">
            <w:pPr>
              <w:tabs>
                <w:tab w:val="decimal" w:pos="948"/>
              </w:tabs>
              <w:autoSpaceDE w:val="0"/>
              <w:autoSpaceDN w:val="0"/>
              <w:adjustRightInd w:val="0"/>
              <w:spacing w:line="276" w:lineRule="auto"/>
              <w:ind w:firstLineChars="0" w:firstLine="0"/>
              <w:rPr>
                <w:b/>
                <w:kern w:val="0"/>
                <w:sz w:val="20"/>
                <w:szCs w:val="21"/>
              </w:rPr>
            </w:pPr>
            <w:r w:rsidRPr="00965BA6">
              <w:rPr>
                <w:b/>
                <w:kern w:val="0"/>
                <w:sz w:val="20"/>
                <w:szCs w:val="21"/>
              </w:rPr>
              <w:t>0.00</w:t>
            </w:r>
          </w:p>
        </w:tc>
      </w:tr>
    </w:tbl>
    <w:p w14:paraId="3826164D" w14:textId="7673504E" w:rsidR="0011644B" w:rsidRDefault="009A295C" w:rsidP="00965BA6">
      <w:pPr>
        <w:pStyle w:val="ae"/>
      </w:pPr>
      <w:r>
        <w:rPr>
          <w:rFonts w:hint="eastAsia"/>
        </w:rPr>
        <w:t>注：</w:t>
      </w:r>
      <w:r w:rsidR="0011644B">
        <w:t xml:space="preserve">* </w:t>
      </w:r>
      <w:r w:rsidR="0011644B">
        <w:rPr>
          <w:i/>
          <w:iCs/>
        </w:rPr>
        <w:t>p</w:t>
      </w:r>
      <w:r w:rsidR="00A03BC1">
        <w:t>&lt;0.05; *</w:t>
      </w:r>
      <w:r w:rsidR="0011644B">
        <w:t xml:space="preserve">* </w:t>
      </w:r>
      <w:r w:rsidR="0011644B">
        <w:rPr>
          <w:i/>
          <w:iCs/>
        </w:rPr>
        <w:t>p</w:t>
      </w:r>
      <w:r w:rsidR="0011644B">
        <w:t>&lt;0.01</w:t>
      </w:r>
    </w:p>
    <w:p w14:paraId="6D96F33B" w14:textId="2D7F5691" w:rsidR="00A17E1F" w:rsidRDefault="00A17E1F" w:rsidP="006E7775"/>
    <w:p w14:paraId="30D05E41" w14:textId="6236E1F7" w:rsidR="00FB0B3F" w:rsidRDefault="00FB0B3F" w:rsidP="006E7775">
      <w:r>
        <w:rPr>
          <w:rFonts w:hint="eastAsia"/>
        </w:rPr>
        <w:t>综合两个层次的回归结果来看，无论是宏观角度还是微观角度，投资者情绪都与分析师的择时行为显著正相关。当市场整体投资者情绪高涨时，</w:t>
      </w:r>
      <w:r w:rsidR="003C37D0">
        <w:rPr>
          <w:rFonts w:hint="eastAsia"/>
        </w:rPr>
        <w:t>分析师发布报告的数量</w:t>
      </w:r>
      <w:r w:rsidR="00367A54">
        <w:rPr>
          <w:rFonts w:hint="eastAsia"/>
        </w:rPr>
        <w:t>增加</w:t>
      </w:r>
      <w:r w:rsidR="005156F8">
        <w:rPr>
          <w:rFonts w:hint="eastAsia"/>
        </w:rPr>
        <w:t>。</w:t>
      </w:r>
      <w:r w:rsidR="00367A54">
        <w:rPr>
          <w:rFonts w:hint="eastAsia"/>
        </w:rPr>
        <w:t>微观层面上，分析师倾向于就投资者情绪高、分析师关注度高、盈利能力强、规模小的公司发布报告。</w:t>
      </w:r>
    </w:p>
    <w:p w14:paraId="6E879DF0" w14:textId="77777777" w:rsidR="00616AAF" w:rsidRDefault="00616AAF" w:rsidP="006E7775">
      <w:pPr>
        <w:rPr>
          <w:rFonts w:hint="eastAsia"/>
        </w:rPr>
      </w:pPr>
    </w:p>
    <w:p w14:paraId="5A348A61" w14:textId="1B034CB0" w:rsidR="00F44949" w:rsidRDefault="00D7679E" w:rsidP="00D7679E">
      <w:pPr>
        <w:pStyle w:val="3"/>
      </w:pPr>
      <w:bookmarkStart w:id="30" w:name="_Toc509527759"/>
      <w:r>
        <w:rPr>
          <w:rFonts w:hint="eastAsia"/>
        </w:rPr>
        <w:t>报告信息含量的检验</w:t>
      </w:r>
      <w:bookmarkEnd w:id="30"/>
    </w:p>
    <w:p w14:paraId="0B84AFCF" w14:textId="12384F85" w:rsidR="00F307C2" w:rsidRDefault="00367A54" w:rsidP="00D7679E">
      <w:r>
        <w:rPr>
          <w:rFonts w:hint="eastAsia"/>
        </w:rPr>
        <w:t>为了进一步探讨分析师在投资者情绪高的时期发布报告的动机，本文首先对报告发布前后的</w:t>
      </w:r>
      <w:r w:rsidR="00616AAF">
        <w:rPr>
          <w:rFonts w:hint="eastAsia"/>
        </w:rPr>
        <w:t>股价信息含量</w:t>
      </w:r>
      <w:r>
        <w:rPr>
          <w:rFonts w:hint="eastAsia"/>
        </w:rPr>
        <w:t>变化进行考察。使用每日前</w:t>
      </w:r>
      <w:r>
        <w:rPr>
          <w:rFonts w:hint="eastAsia"/>
        </w:rPr>
        <w:t>20</w:t>
      </w:r>
      <w:r>
        <w:rPr>
          <w:rFonts w:hint="eastAsia"/>
        </w:rPr>
        <w:t>个交易日的个股收益率</w:t>
      </w:r>
      <w:r w:rsidR="00F307C2">
        <w:rPr>
          <w:rFonts w:hint="eastAsia"/>
        </w:rPr>
        <w:t>与</w:t>
      </w:r>
      <w:r>
        <w:rPr>
          <w:rFonts w:hint="eastAsia"/>
        </w:rPr>
        <w:t>市场综合收益率回归，以得到的拟合系数作为</w:t>
      </w:r>
      <w:r w:rsidR="00F307C2">
        <w:rPr>
          <w:rFonts w:hint="eastAsia"/>
        </w:rPr>
        <w:t>该日的同步性水平，然后通过对每份报告发布前</w:t>
      </w:r>
      <w:r w:rsidR="00F307C2">
        <w:rPr>
          <w:rFonts w:hint="eastAsia"/>
        </w:rPr>
        <w:t>10</w:t>
      </w:r>
      <w:r w:rsidR="00F307C2">
        <w:rPr>
          <w:rFonts w:hint="eastAsia"/>
        </w:rPr>
        <w:t>天至报告发布后</w:t>
      </w:r>
      <w:r w:rsidR="00F307C2">
        <w:rPr>
          <w:rFonts w:hint="eastAsia"/>
        </w:rPr>
        <w:t>11</w:t>
      </w:r>
      <w:r w:rsidR="00F307C2">
        <w:rPr>
          <w:rFonts w:hint="eastAsia"/>
        </w:rPr>
        <w:t>天，共</w:t>
      </w:r>
      <w:r w:rsidR="00F307C2">
        <w:rPr>
          <w:rFonts w:hint="eastAsia"/>
        </w:rPr>
        <w:t>22</w:t>
      </w:r>
      <w:r w:rsidR="00F307C2">
        <w:rPr>
          <w:rFonts w:hint="eastAsia"/>
        </w:rPr>
        <w:t>天的数据滚动回归，得到</w:t>
      </w:r>
      <w:r w:rsidR="00616AAF">
        <w:rPr>
          <w:rFonts w:hint="eastAsia"/>
        </w:rPr>
        <w:t>了</w:t>
      </w:r>
      <w:r w:rsidR="00616AAF">
        <w:rPr>
          <w:rFonts w:hint="eastAsia"/>
        </w:rPr>
        <w:t>1</w:t>
      </w:r>
      <w:r w:rsidR="00616AAF">
        <w:t>8,617</w:t>
      </w:r>
      <w:r w:rsidR="00F307C2">
        <w:rPr>
          <w:rFonts w:hint="eastAsia"/>
        </w:rPr>
        <w:t>个同步性序列。为了直观的观察同步性的变化情况，本文首先依据后</w:t>
      </w:r>
      <w:r w:rsidR="00F307C2">
        <w:rPr>
          <w:rFonts w:hint="eastAsia"/>
        </w:rPr>
        <w:lastRenderedPageBreak/>
        <w:t>续回归中所使用的解释变量进行分组，分别计算报告发布前后</w:t>
      </w:r>
      <w:r w:rsidR="00F307C2">
        <w:rPr>
          <w:rFonts w:hint="eastAsia"/>
        </w:rPr>
        <w:t>22</w:t>
      </w:r>
      <w:r w:rsidR="00F307C2">
        <w:rPr>
          <w:rFonts w:hint="eastAsia"/>
        </w:rPr>
        <w:t>天窗口期内各天的股价同步性均值并将序列绘制成图。</w:t>
      </w:r>
    </w:p>
    <w:p w14:paraId="311C347F" w14:textId="77777777" w:rsidR="00A17E1F" w:rsidRDefault="00A17E1F" w:rsidP="00D7679E">
      <w:pPr>
        <w:rPr>
          <w:rFonts w:hint="eastAsia"/>
        </w:rPr>
      </w:pPr>
    </w:p>
    <w:p w14:paraId="467EB41F" w14:textId="77777777" w:rsidR="00F307C2" w:rsidRDefault="00D7679E" w:rsidP="00F307C2">
      <w:pPr>
        <w:keepNext/>
        <w:ind w:firstLineChars="0" w:firstLine="0"/>
      </w:pPr>
      <w:r w:rsidRPr="00D7679E">
        <w:rPr>
          <w:rFonts w:hint="eastAsia"/>
          <w:noProof/>
        </w:rPr>
        <w:drawing>
          <wp:inline distT="0" distB="0" distL="0" distR="0" wp14:anchorId="4BC25FF1" wp14:editId="0ACF7558">
            <wp:extent cx="5274310" cy="266725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6A625A7C" w14:textId="7705521D" w:rsidR="00D7679E" w:rsidRDefault="00F307C2" w:rsidP="00091511">
      <w:pPr>
        <w:pStyle w:val="ad"/>
      </w:pPr>
      <w:bookmarkStart w:id="31" w:name="_Ref50933859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5</w:t>
      </w:r>
      <w:r>
        <w:fldChar w:fldCharType="end"/>
      </w:r>
      <w:bookmarkEnd w:id="31"/>
      <w:r>
        <w:t xml:space="preserve"> </w:t>
      </w:r>
      <w:r>
        <w:rPr>
          <w:rFonts w:hint="eastAsia"/>
        </w:rPr>
        <w:t>同步性变化趋势</w:t>
      </w:r>
      <w:r>
        <w:rPr>
          <w:rFonts w:hint="eastAsia"/>
          <w:noProof/>
        </w:rPr>
        <w:t>（根据投资者情绪分组）</w:t>
      </w:r>
    </w:p>
    <w:p w14:paraId="3B394992" w14:textId="154F6115" w:rsidR="00D7679E" w:rsidRDefault="00F307C2" w:rsidP="00091511">
      <w:r>
        <w:rPr>
          <w:rFonts w:hint="eastAsia"/>
        </w:rPr>
        <w:t>根据</w:t>
      </w:r>
      <w:r w:rsidR="00681347">
        <w:fldChar w:fldCharType="begin"/>
      </w:r>
      <w:r w:rsidR="00681347">
        <w:instrText xml:space="preserve"> </w:instrText>
      </w:r>
      <w:r w:rsidR="00681347">
        <w:rPr>
          <w:rFonts w:hint="eastAsia"/>
        </w:rPr>
        <w:instrText>REF _Ref509338594 \h</w:instrText>
      </w:r>
      <w:r w:rsidR="00681347">
        <w:instrText xml:space="preserve"> </w:instrText>
      </w:r>
      <w:r w:rsidR="00681347">
        <w:fldChar w:fldCharType="separate"/>
      </w:r>
      <w:r w:rsidR="00A17E1F">
        <w:rPr>
          <w:rFonts w:hint="eastAsia"/>
        </w:rPr>
        <w:t>图</w:t>
      </w:r>
      <w:r w:rsidR="00A17E1F">
        <w:rPr>
          <w:noProof/>
        </w:rPr>
        <w:t>5</w:t>
      </w:r>
      <w:r w:rsidR="00681347">
        <w:fldChar w:fldCharType="end"/>
      </w:r>
      <w:r>
        <w:rPr>
          <w:rFonts w:hint="eastAsia"/>
        </w:rPr>
        <w:t>所示，将所有样本根据投资者情绪高低分为</w:t>
      </w:r>
      <w:r>
        <w:rPr>
          <w:rFonts w:hint="eastAsia"/>
        </w:rPr>
        <w:t>5</w:t>
      </w:r>
      <w:r>
        <w:rPr>
          <w:rFonts w:hint="eastAsia"/>
        </w:rPr>
        <w:t>组，可以发现在</w:t>
      </w:r>
      <w:r w:rsidR="00091511">
        <w:rPr>
          <w:rFonts w:hint="eastAsia"/>
        </w:rPr>
        <w:t>投资者情绪最低时发布的报告发布前后同步性变化幅度最大，而随着投资者情绪的升高，同步性变化的幅度减小，而在投资者情绪最高时发布的报告，发布后反而导致了同步性的上升。</w:t>
      </w:r>
      <w:r w:rsidR="00953D1A">
        <w:rPr>
          <w:rFonts w:hint="eastAsia"/>
        </w:rPr>
        <w:t>与本文的预期相符</w:t>
      </w:r>
    </w:p>
    <w:p w14:paraId="44D40494" w14:textId="77777777" w:rsidR="00953D1A" w:rsidRDefault="00953D1A" w:rsidP="00091511"/>
    <w:p w14:paraId="15FF2AD0" w14:textId="77777777" w:rsidR="00953D1A" w:rsidRDefault="00953D1A" w:rsidP="00953D1A">
      <w:pPr>
        <w:keepNext/>
        <w:ind w:firstLineChars="0" w:firstLine="0"/>
      </w:pPr>
      <w:r w:rsidRPr="00D7679E">
        <w:rPr>
          <w:rFonts w:hint="eastAsia"/>
          <w:noProof/>
        </w:rPr>
        <w:drawing>
          <wp:inline distT="0" distB="0" distL="0" distR="0" wp14:anchorId="689A9560" wp14:editId="0D618415">
            <wp:extent cx="5274310" cy="266725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791A283A" w14:textId="40652192" w:rsidR="00953D1A" w:rsidRDefault="00953D1A" w:rsidP="00953D1A">
      <w:pPr>
        <w:pStyle w:val="ad"/>
        <w:ind w:firstLine="400"/>
      </w:pPr>
      <w:bookmarkStart w:id="32" w:name="_Ref50933860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6</w:t>
      </w:r>
      <w:r>
        <w:fldChar w:fldCharType="end"/>
      </w:r>
      <w:bookmarkEnd w:id="32"/>
      <w:r>
        <w:rPr>
          <w:noProof/>
        </w:rPr>
        <w:t xml:space="preserve"> </w:t>
      </w:r>
      <w:r w:rsidRPr="00CB0727">
        <w:rPr>
          <w:rFonts w:hint="eastAsia"/>
          <w:noProof/>
        </w:rPr>
        <w:t>同步性变化趋势（根据</w:t>
      </w:r>
      <w:r>
        <w:rPr>
          <w:rFonts w:hint="eastAsia"/>
          <w:noProof/>
        </w:rPr>
        <w:t>分析师“新财富”身份</w:t>
      </w:r>
      <w:r w:rsidRPr="00CB0727">
        <w:rPr>
          <w:rFonts w:hint="eastAsia"/>
          <w:noProof/>
        </w:rPr>
        <w:t>分组）</w:t>
      </w:r>
    </w:p>
    <w:p w14:paraId="7B8641E3" w14:textId="51988AE1" w:rsidR="00953D1A" w:rsidRDefault="00953D1A" w:rsidP="00953D1A">
      <w:r>
        <w:rPr>
          <w:rFonts w:hint="eastAsia"/>
        </w:rPr>
        <w:t>根据</w:t>
      </w:r>
      <w:r w:rsidR="00681347">
        <w:fldChar w:fldCharType="begin"/>
      </w:r>
      <w:r w:rsidR="00681347">
        <w:instrText xml:space="preserve"> </w:instrText>
      </w:r>
      <w:r w:rsidR="00681347">
        <w:rPr>
          <w:rFonts w:hint="eastAsia"/>
        </w:rPr>
        <w:instrText>REF _Ref509338602 \h</w:instrText>
      </w:r>
      <w:r w:rsidR="00681347">
        <w:instrText xml:space="preserve"> </w:instrText>
      </w:r>
      <w:r w:rsidR="00681347">
        <w:fldChar w:fldCharType="separate"/>
      </w:r>
      <w:r w:rsidR="00A17E1F">
        <w:rPr>
          <w:rFonts w:hint="eastAsia"/>
        </w:rPr>
        <w:t>图</w:t>
      </w:r>
      <w:r w:rsidR="00A17E1F">
        <w:rPr>
          <w:noProof/>
        </w:rPr>
        <w:t>6</w:t>
      </w:r>
      <w:r w:rsidR="00681347">
        <w:fldChar w:fldCharType="end"/>
      </w:r>
      <w:r>
        <w:rPr>
          <w:rFonts w:hint="eastAsia"/>
        </w:rPr>
        <w:t>所示，上一年上榜“新财富”最佳分析师发布深度</w:t>
      </w:r>
      <w:r w:rsidR="00616AAF">
        <w:rPr>
          <w:rFonts w:hint="eastAsia"/>
        </w:rPr>
        <w:t>研究</w:t>
      </w:r>
      <w:r>
        <w:rPr>
          <w:rFonts w:hint="eastAsia"/>
        </w:rPr>
        <w:t>报告后，股</w:t>
      </w:r>
      <w:r>
        <w:rPr>
          <w:rFonts w:hint="eastAsia"/>
        </w:rPr>
        <w:lastRenderedPageBreak/>
        <w:t>价同步性下降的幅度要大于非最佳分析师，意味着明星分析师的深度报告具有更高的信息含量，与已有的研究结果一致，也与本文预期相符。</w:t>
      </w:r>
    </w:p>
    <w:p w14:paraId="145B84B7" w14:textId="77777777" w:rsidR="00953D1A" w:rsidRPr="00953D1A" w:rsidRDefault="00953D1A" w:rsidP="00091511"/>
    <w:p w14:paraId="2EDD557F" w14:textId="77777777" w:rsidR="00091511" w:rsidRDefault="00D7679E" w:rsidP="00091511">
      <w:pPr>
        <w:keepNext/>
        <w:ind w:firstLineChars="0" w:firstLine="0"/>
      </w:pPr>
      <w:r w:rsidRPr="00D7679E">
        <w:rPr>
          <w:rFonts w:hint="eastAsia"/>
          <w:noProof/>
        </w:rPr>
        <w:drawing>
          <wp:inline distT="0" distB="0" distL="0" distR="0" wp14:anchorId="3289456D" wp14:editId="700117D6">
            <wp:extent cx="5274310" cy="266725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6B6C663A" w14:textId="78E4D5B7" w:rsidR="00D7679E" w:rsidRDefault="00091511" w:rsidP="00091511">
      <w:pPr>
        <w:pStyle w:val="ad"/>
      </w:pPr>
      <w:bookmarkStart w:id="33" w:name="_Ref50933860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7</w:t>
      </w:r>
      <w:r>
        <w:fldChar w:fldCharType="end"/>
      </w:r>
      <w:bookmarkEnd w:id="33"/>
      <w:r>
        <w:rPr>
          <w:noProof/>
        </w:rPr>
        <w:t xml:space="preserve"> </w:t>
      </w:r>
      <w:r>
        <w:rPr>
          <w:rFonts w:hint="eastAsia"/>
          <w:noProof/>
        </w:rPr>
        <w:t>同步性变化趋势（根据评级水平分组）</w:t>
      </w:r>
    </w:p>
    <w:p w14:paraId="11400502" w14:textId="5BA12A3D" w:rsidR="00D7679E" w:rsidRDefault="00091511" w:rsidP="00091511">
      <w:r>
        <w:rPr>
          <w:rFonts w:hint="eastAsia"/>
        </w:rPr>
        <w:t>根据</w:t>
      </w:r>
      <w:r w:rsidR="00681347">
        <w:fldChar w:fldCharType="begin"/>
      </w:r>
      <w:r w:rsidR="00681347">
        <w:instrText xml:space="preserve"> </w:instrText>
      </w:r>
      <w:r w:rsidR="00681347">
        <w:rPr>
          <w:rFonts w:hint="eastAsia"/>
        </w:rPr>
        <w:instrText>REF _Ref509338608 \h</w:instrText>
      </w:r>
      <w:r w:rsidR="00681347">
        <w:instrText xml:space="preserve"> </w:instrText>
      </w:r>
      <w:r w:rsidR="00681347">
        <w:fldChar w:fldCharType="separate"/>
      </w:r>
      <w:r w:rsidR="00A17E1F">
        <w:rPr>
          <w:rFonts w:hint="eastAsia"/>
        </w:rPr>
        <w:t>图</w:t>
      </w:r>
      <w:r w:rsidR="00A17E1F">
        <w:rPr>
          <w:noProof/>
        </w:rPr>
        <w:t>7</w:t>
      </w:r>
      <w:r w:rsidR="00681347">
        <w:fldChar w:fldCharType="end"/>
      </w:r>
      <w:r>
        <w:rPr>
          <w:rFonts w:hint="eastAsia"/>
        </w:rPr>
        <w:t>所示，其中从左到</w:t>
      </w:r>
      <w:r w:rsidR="00616AAF">
        <w:rPr>
          <w:rFonts w:hint="eastAsia"/>
        </w:rPr>
        <w:t>右依次代表了“卖出”“减持”“中性”“增持”和“买入”评级，</w:t>
      </w:r>
      <w:r>
        <w:rPr>
          <w:rFonts w:hint="eastAsia"/>
        </w:rPr>
        <w:t>“卖出”和“减持”</w:t>
      </w:r>
      <w:r w:rsidR="002F68ED">
        <w:rPr>
          <w:rFonts w:hint="eastAsia"/>
        </w:rPr>
        <w:t>评级由于</w:t>
      </w:r>
      <w:r>
        <w:rPr>
          <w:rFonts w:hint="eastAsia"/>
        </w:rPr>
        <w:t>样本数量非常少</w:t>
      </w:r>
      <w:r w:rsidR="002F68ED">
        <w:rPr>
          <w:rFonts w:hint="eastAsia"/>
        </w:rPr>
        <w:t>（仅占全部样本的不到</w:t>
      </w:r>
      <w:r w:rsidR="002F68ED">
        <w:rPr>
          <w:rFonts w:hint="eastAsia"/>
        </w:rPr>
        <w:t>1%</w:t>
      </w:r>
      <w:r w:rsidR="002F68ED">
        <w:rPr>
          <w:rFonts w:hint="eastAsia"/>
        </w:rPr>
        <w:t>）</w:t>
      </w:r>
      <w:r>
        <w:rPr>
          <w:rFonts w:hint="eastAsia"/>
        </w:rPr>
        <w:t>，因此得到的序列非常不平滑，</w:t>
      </w:r>
      <w:r w:rsidR="002F68ED">
        <w:rPr>
          <w:rFonts w:hint="eastAsia"/>
        </w:rPr>
        <w:t>而“中性”评级的报告发布后股价同步性呈现缓慢上升趋势，“增持”和“买入”评级发布后，股价同步性都有所下降。这与以往的一些研究结果相符，</w:t>
      </w:r>
      <w:r w:rsidR="00681347">
        <w:rPr>
          <w:rFonts w:hint="eastAsia"/>
        </w:rPr>
        <w:t>即</w:t>
      </w:r>
      <w:r w:rsidR="002F68ED">
        <w:rPr>
          <w:rFonts w:hint="eastAsia"/>
        </w:rPr>
        <w:t>市场对“中性”评级没有</w:t>
      </w:r>
      <w:r w:rsidR="00616AAF">
        <w:rPr>
          <w:rFonts w:hint="eastAsia"/>
        </w:rPr>
        <w:t>做出</w:t>
      </w:r>
      <w:r w:rsidR="002F68ED">
        <w:rPr>
          <w:rFonts w:hint="eastAsia"/>
        </w:rPr>
        <w:t>反应。</w:t>
      </w:r>
    </w:p>
    <w:p w14:paraId="1878E49D" w14:textId="77777777" w:rsidR="00953D1A" w:rsidRDefault="00953D1A" w:rsidP="00091511"/>
    <w:p w14:paraId="71EF8AD0" w14:textId="77777777" w:rsidR="00091511" w:rsidRDefault="00D7679E" w:rsidP="00091511">
      <w:pPr>
        <w:keepNext/>
        <w:ind w:firstLineChars="0" w:firstLine="0"/>
      </w:pPr>
      <w:r w:rsidRPr="00D7679E">
        <w:rPr>
          <w:rFonts w:hint="eastAsia"/>
          <w:noProof/>
        </w:rPr>
        <w:lastRenderedPageBreak/>
        <w:drawing>
          <wp:inline distT="0" distB="0" distL="0" distR="0" wp14:anchorId="5B5183D6" wp14:editId="3E25CA89">
            <wp:extent cx="5274310" cy="2667254"/>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667254"/>
                    </a:xfrm>
                    <a:prstGeom prst="rect">
                      <a:avLst/>
                    </a:prstGeom>
                    <a:noFill/>
                    <a:ln>
                      <a:noFill/>
                    </a:ln>
                  </pic:spPr>
                </pic:pic>
              </a:graphicData>
            </a:graphic>
          </wp:inline>
        </w:drawing>
      </w:r>
    </w:p>
    <w:p w14:paraId="1711D20D" w14:textId="1542FBC5" w:rsidR="00D7679E" w:rsidRDefault="00091511" w:rsidP="00091511">
      <w:pPr>
        <w:pStyle w:val="ad"/>
      </w:pPr>
      <w:bookmarkStart w:id="34" w:name="_Ref50933861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7E1F">
        <w:rPr>
          <w:noProof/>
        </w:rPr>
        <w:t>8</w:t>
      </w:r>
      <w:r>
        <w:fldChar w:fldCharType="end"/>
      </w:r>
      <w:bookmarkEnd w:id="34"/>
      <w:r>
        <w:rPr>
          <w:noProof/>
        </w:rPr>
        <w:t xml:space="preserve"> </w:t>
      </w:r>
      <w:r w:rsidRPr="00CC145A">
        <w:rPr>
          <w:rFonts w:hint="eastAsia"/>
          <w:noProof/>
        </w:rPr>
        <w:t>同步性变化趋势（根据</w:t>
      </w:r>
      <w:r>
        <w:rPr>
          <w:rFonts w:hint="eastAsia"/>
          <w:noProof/>
        </w:rPr>
        <w:t>评级调整方向</w:t>
      </w:r>
      <w:r w:rsidRPr="00CC145A">
        <w:rPr>
          <w:rFonts w:hint="eastAsia"/>
          <w:noProof/>
        </w:rPr>
        <w:t>分组）</w:t>
      </w:r>
    </w:p>
    <w:p w14:paraId="211410CB" w14:textId="1EFDD442" w:rsidR="00AC47F1" w:rsidRDefault="002F68ED" w:rsidP="00EB3FF6">
      <w:r>
        <w:rPr>
          <w:rFonts w:hint="eastAsia"/>
        </w:rPr>
        <w:t>根据</w:t>
      </w:r>
      <w:r w:rsidR="00681347">
        <w:fldChar w:fldCharType="begin"/>
      </w:r>
      <w:r w:rsidR="00681347">
        <w:instrText xml:space="preserve"> </w:instrText>
      </w:r>
      <w:r w:rsidR="00681347">
        <w:rPr>
          <w:rFonts w:hint="eastAsia"/>
        </w:rPr>
        <w:instrText>REF _Ref509338616 \h</w:instrText>
      </w:r>
      <w:r w:rsidR="00681347">
        <w:instrText xml:space="preserve"> </w:instrText>
      </w:r>
      <w:r w:rsidR="00681347">
        <w:fldChar w:fldCharType="separate"/>
      </w:r>
      <w:r w:rsidR="00A17E1F">
        <w:rPr>
          <w:rFonts w:hint="eastAsia"/>
        </w:rPr>
        <w:t>图</w:t>
      </w:r>
      <w:r w:rsidR="00A17E1F">
        <w:rPr>
          <w:noProof/>
        </w:rPr>
        <w:t>8</w:t>
      </w:r>
      <w:r w:rsidR="00681347">
        <w:fldChar w:fldCharType="end"/>
      </w:r>
      <w:r>
        <w:rPr>
          <w:rFonts w:hint="eastAsia"/>
        </w:rPr>
        <w:t>所示，深度报告下调评级时</w:t>
      </w:r>
      <w:r w:rsidR="00616AAF">
        <w:rPr>
          <w:rFonts w:hint="eastAsia"/>
        </w:rPr>
        <w:t>股价</w:t>
      </w:r>
      <w:r>
        <w:rPr>
          <w:rFonts w:hint="eastAsia"/>
        </w:rPr>
        <w:t>同步性出现了上升趋势，但这一组的样本数量也过少，不到全部样本的</w:t>
      </w:r>
      <w:r>
        <w:rPr>
          <w:rFonts w:hint="eastAsia"/>
        </w:rPr>
        <w:t>1%</w:t>
      </w:r>
      <w:r>
        <w:rPr>
          <w:rFonts w:hint="eastAsia"/>
        </w:rPr>
        <w:t>，而观察另外三组，似乎在评级调整后都出现了同步性的下降。</w:t>
      </w:r>
      <w:r w:rsidR="00EB3FF6">
        <w:rPr>
          <w:rFonts w:hint="eastAsia"/>
        </w:rPr>
        <w:t>这一点与</w:t>
      </w:r>
      <w:r w:rsidR="007F77AB">
        <w:rPr>
          <w:rFonts w:hint="eastAsia"/>
        </w:rPr>
        <w:t>已有的许多研究</w:t>
      </w:r>
      <w:r w:rsidR="00616AAF">
        <w:rPr>
          <w:rFonts w:hint="eastAsia"/>
        </w:rPr>
        <w:t>结论</w:t>
      </w:r>
      <w:r w:rsidR="007F77AB">
        <w:rPr>
          <w:rFonts w:hint="eastAsia"/>
        </w:rPr>
        <w:t>并不相符，推测可能是因为本文采用的样本限制为公司深度研究报告，因此即使分析师维持</w:t>
      </w:r>
      <w:r w:rsidR="00EB3FF6">
        <w:rPr>
          <w:rFonts w:hint="eastAsia"/>
        </w:rPr>
        <w:t>上次评级，</w:t>
      </w:r>
      <w:r w:rsidR="007F77AB">
        <w:rPr>
          <w:rFonts w:hint="eastAsia"/>
        </w:rPr>
        <w:t>报告依然向市场传递了一些信息。</w:t>
      </w:r>
    </w:p>
    <w:p w14:paraId="49B7207E" w14:textId="0E90945D" w:rsidR="005D699F" w:rsidRDefault="00EB3FF6" w:rsidP="007F77AB">
      <w:r>
        <w:rPr>
          <w:rFonts w:hint="eastAsia"/>
        </w:rPr>
        <w:t>为了</w:t>
      </w:r>
      <w:r w:rsidR="007F77AB">
        <w:rPr>
          <w:rFonts w:hint="eastAsia"/>
        </w:rPr>
        <w:t>更好的控制其他外部因素，本文使用</w:t>
      </w:r>
      <w:r w:rsidR="00616AAF">
        <w:rPr>
          <w:rFonts w:hint="eastAsia"/>
        </w:rPr>
        <w:t>股价</w:t>
      </w:r>
      <w:r w:rsidR="007F77AB">
        <w:rPr>
          <w:rFonts w:hint="eastAsia"/>
        </w:rPr>
        <w:t>同步性变化</w:t>
      </w:r>
      <m:oMath>
        <m:r>
          <w:rPr>
            <w:rFonts w:ascii="Cambria Math" w:hAnsi="Cambria Math"/>
          </w:rPr>
          <m:t>dr2</m:t>
        </m:r>
      </m:oMath>
      <w:r w:rsidR="007F77AB">
        <w:rPr>
          <w:rFonts w:hint="eastAsia"/>
        </w:rPr>
        <w:t>为被解释变量，使用投资者情绪、明星分析师身份、评级水平、评级调整方向为解释变量，并控制了市场周期和行业差异。根据本文的假设和已有研究，预期报告发布时投资者情绪越高，同步性</w:t>
      </w:r>
      <w:r w:rsidR="00EA3AC9">
        <w:rPr>
          <w:rFonts w:hint="eastAsia"/>
        </w:rPr>
        <w:t>向下的</w:t>
      </w:r>
      <w:r w:rsidR="007F77AB">
        <w:rPr>
          <w:rFonts w:hint="eastAsia"/>
        </w:rPr>
        <w:t>变化幅度</w:t>
      </w:r>
      <w:r w:rsidR="00EA3AC9">
        <w:rPr>
          <w:rFonts w:hint="eastAsia"/>
        </w:rPr>
        <w:t>越小，即</w:t>
      </w:r>
      <m:oMath>
        <m:r>
          <w:rPr>
            <w:rFonts w:ascii="Cambria Math" w:hAnsi="Cambria Math"/>
          </w:rPr>
          <m:t>dr2</m:t>
        </m:r>
      </m:oMath>
      <w:r w:rsidR="00EA3AC9">
        <w:rPr>
          <w:rFonts w:hint="eastAsia"/>
        </w:rPr>
        <w:t>越大，回归</w:t>
      </w:r>
      <w:r w:rsidR="007F77AB">
        <w:rPr>
          <w:rFonts w:hint="eastAsia"/>
        </w:rPr>
        <w:t>系数为</w:t>
      </w:r>
      <w:r w:rsidR="00EA3AC9">
        <w:rPr>
          <w:rFonts w:hint="eastAsia"/>
        </w:rPr>
        <w:t>正；同时，新财富分析师</w:t>
      </w:r>
      <w:r w:rsidR="002C1AA6">
        <w:rPr>
          <w:rFonts w:hint="eastAsia"/>
        </w:rPr>
        <w:t>的</w:t>
      </w:r>
      <w:r w:rsidR="00EA3AC9">
        <w:rPr>
          <w:rFonts w:hint="eastAsia"/>
        </w:rPr>
        <w:t>报告有更高的信息含量，同步性向下变化幅度更大，即</w:t>
      </w:r>
      <m:oMath>
        <m:r>
          <w:rPr>
            <w:rFonts w:ascii="Cambria Math" w:hAnsi="Cambria Math" w:hint="eastAsia"/>
          </w:rPr>
          <m:t>dr2</m:t>
        </m:r>
      </m:oMath>
      <w:r w:rsidR="00EA3AC9">
        <w:rPr>
          <w:rFonts w:hint="eastAsia"/>
        </w:rPr>
        <w:t>更小，回归系数为负；评级水平为“中性”时</w:t>
      </w:r>
      <w:r w:rsidR="005D699F">
        <w:rPr>
          <w:rFonts w:hint="eastAsia"/>
        </w:rPr>
        <w:t>同步性向上</w:t>
      </w:r>
      <w:r w:rsidR="00EA3AC9">
        <w:rPr>
          <w:rFonts w:hint="eastAsia"/>
        </w:rPr>
        <w:t>变化，</w:t>
      </w:r>
      <w:r w:rsidR="005D699F">
        <w:rPr>
          <w:rFonts w:hint="eastAsia"/>
        </w:rPr>
        <w:t>回归系数为负。</w:t>
      </w:r>
    </w:p>
    <w:p w14:paraId="28E446FB" w14:textId="52330C72" w:rsidR="00EB3FF6" w:rsidRDefault="005D699F" w:rsidP="00EB3FF6">
      <w:r>
        <w:rPr>
          <w:rFonts w:hint="eastAsia"/>
        </w:rPr>
        <w:t>多元回归分析</w:t>
      </w:r>
      <w:r w:rsidR="007F77AB">
        <w:rPr>
          <w:rFonts w:hint="eastAsia"/>
        </w:rPr>
        <w:t>结果如</w:t>
      </w:r>
      <w:r w:rsidR="007F77AB">
        <w:fldChar w:fldCharType="begin"/>
      </w:r>
      <w:r w:rsidR="007F77AB">
        <w:instrText xml:space="preserve"> </w:instrText>
      </w:r>
      <w:r w:rsidR="007F77AB">
        <w:rPr>
          <w:rFonts w:hint="eastAsia"/>
        </w:rPr>
        <w:instrText>REF _Ref509338647 \h</w:instrText>
      </w:r>
      <w:r w:rsidR="007F77AB">
        <w:instrText xml:space="preserve"> </w:instrText>
      </w:r>
      <w:r w:rsidR="007F77AB">
        <w:fldChar w:fldCharType="separate"/>
      </w:r>
      <w:r w:rsidR="00A17E1F">
        <w:rPr>
          <w:rFonts w:hint="eastAsia"/>
        </w:rPr>
        <w:t>表</w:t>
      </w:r>
      <w:r w:rsidR="00A17E1F">
        <w:rPr>
          <w:noProof/>
        </w:rPr>
        <w:t>7</w:t>
      </w:r>
      <w:r w:rsidR="007F77AB">
        <w:fldChar w:fldCharType="end"/>
      </w:r>
      <w:r w:rsidR="007F77AB">
        <w:rPr>
          <w:rFonts w:hint="eastAsia"/>
        </w:rPr>
        <w:t>所示</w:t>
      </w:r>
      <w:r>
        <w:rPr>
          <w:rFonts w:hint="eastAsia"/>
        </w:rPr>
        <w:t>，</w:t>
      </w:r>
      <w:r w:rsidR="007F77AB">
        <w:rPr>
          <w:rFonts w:hint="eastAsia"/>
        </w:rPr>
        <w:t>其中</w:t>
      </w:r>
      <w:r w:rsidR="007F77AB">
        <w:rPr>
          <w:rFonts w:hint="eastAsia"/>
        </w:rPr>
        <w:t>Model(</w:t>
      </w:r>
      <w:r w:rsidR="007F77AB">
        <w:t>8</w:t>
      </w:r>
      <w:r w:rsidR="007F77AB">
        <w:rPr>
          <w:rFonts w:hint="eastAsia"/>
        </w:rPr>
        <w:t>)</w:t>
      </w:r>
      <w:r w:rsidR="007F77AB">
        <w:rPr>
          <w:rFonts w:hint="eastAsia"/>
        </w:rPr>
        <w:t>和</w:t>
      </w:r>
      <w:r w:rsidR="007F77AB">
        <w:rPr>
          <w:rFonts w:hint="eastAsia"/>
        </w:rPr>
        <w:t>Model(9)</w:t>
      </w:r>
      <w:r w:rsidR="007F77AB">
        <w:rPr>
          <w:rFonts w:hint="eastAsia"/>
        </w:rPr>
        <w:t>分别</w:t>
      </w:r>
      <w:r w:rsidR="004757FE">
        <w:rPr>
          <w:rFonts w:hint="eastAsia"/>
        </w:rPr>
        <w:t>报告了</w:t>
      </w:r>
      <w:r>
        <w:rPr>
          <w:rFonts w:hint="eastAsia"/>
        </w:rPr>
        <w:t>加入投资者情绪变量</w:t>
      </w:r>
      <w:r w:rsidR="000D2CB7">
        <w:rPr>
          <w:rFonts w:hint="eastAsia"/>
        </w:rPr>
        <w:t>之后和</w:t>
      </w:r>
      <w:r w:rsidR="004757FE">
        <w:rPr>
          <w:rFonts w:hint="eastAsia"/>
        </w:rPr>
        <w:t>之前</w:t>
      </w:r>
      <w:r>
        <w:rPr>
          <w:rFonts w:hint="eastAsia"/>
        </w:rPr>
        <w:t>的</w:t>
      </w:r>
      <w:r w:rsidR="000D2CB7">
        <w:rPr>
          <w:rFonts w:hint="eastAsia"/>
        </w:rPr>
        <w:t>回归</w:t>
      </w:r>
      <w:r w:rsidR="004757FE">
        <w:rPr>
          <w:rFonts w:hint="eastAsia"/>
        </w:rPr>
        <w:t>结果</w:t>
      </w:r>
      <w:r w:rsidR="000D2CB7">
        <w:rPr>
          <w:rFonts w:hint="eastAsia"/>
        </w:rPr>
        <w:t>。</w:t>
      </w:r>
      <w:r w:rsidR="004757FE">
        <w:rPr>
          <w:rFonts w:hint="eastAsia"/>
        </w:rPr>
        <w:t>投资者情绪变量</w:t>
      </w:r>
      <w:r w:rsidR="004757FE">
        <w:rPr>
          <w:rFonts w:hint="eastAsia"/>
        </w:rPr>
        <w:t>SENT</w:t>
      </w:r>
      <w:r w:rsidR="004757FE">
        <w:rPr>
          <w:rFonts w:hint="eastAsia"/>
        </w:rPr>
        <w:t>的回归系数为</w:t>
      </w:r>
      <w:r w:rsidR="004757FE">
        <w:rPr>
          <w:rFonts w:hint="eastAsia"/>
        </w:rPr>
        <w:t>0.0049</w:t>
      </w:r>
      <w:r w:rsidR="004757FE">
        <w:rPr>
          <w:rFonts w:hint="eastAsia"/>
        </w:rPr>
        <w:t>，在</w:t>
      </w:r>
      <w:r w:rsidR="004757FE">
        <w:rPr>
          <w:rFonts w:hint="eastAsia"/>
        </w:rPr>
        <w:t>99%</w:t>
      </w:r>
      <w:r w:rsidR="004757FE">
        <w:rPr>
          <w:rFonts w:hint="eastAsia"/>
        </w:rPr>
        <w:t>的置信水平上显著为正，与预期相符</w:t>
      </w:r>
      <w:r w:rsidR="002C1AA6">
        <w:rPr>
          <w:rFonts w:hint="eastAsia"/>
        </w:rPr>
        <w:t>，说明在投资者情绪高涨时期发布的报告对股价同步性的影响更小，信息含量更低</w:t>
      </w:r>
      <w:r w:rsidR="004757FE">
        <w:rPr>
          <w:rFonts w:hint="eastAsia"/>
        </w:rPr>
        <w:t>。</w:t>
      </w:r>
      <w:r w:rsidR="002C1AA6">
        <w:rPr>
          <w:rFonts w:hint="eastAsia"/>
        </w:rPr>
        <w:t>明星分析师身份变量</w:t>
      </w:r>
      <w:r w:rsidR="002C1AA6">
        <w:rPr>
          <w:rFonts w:hint="eastAsia"/>
        </w:rPr>
        <w:t>last</w:t>
      </w:r>
      <w:r w:rsidR="002C1AA6">
        <w:t>STAR</w:t>
      </w:r>
      <w:r w:rsidR="002C1AA6">
        <w:rPr>
          <w:rFonts w:hint="eastAsia"/>
        </w:rPr>
        <w:t>的系数为</w:t>
      </w:r>
      <w:r w:rsidR="002C1AA6">
        <w:rPr>
          <w:rFonts w:hint="eastAsia"/>
        </w:rPr>
        <w:t>-0.0096</w:t>
      </w:r>
      <w:r w:rsidR="002C1AA6">
        <w:rPr>
          <w:rFonts w:hint="eastAsia"/>
        </w:rPr>
        <w:t>，在</w:t>
      </w:r>
      <w:r w:rsidR="002C1AA6">
        <w:rPr>
          <w:rFonts w:hint="eastAsia"/>
        </w:rPr>
        <w:t>99%</w:t>
      </w:r>
      <w:r w:rsidR="002C1AA6">
        <w:rPr>
          <w:rFonts w:hint="eastAsia"/>
        </w:rPr>
        <w:t>的置信水平上显著为负，与以往的研究结果相符，明星分析师发布的报告对同步性产生了更大影响。评级水平变量</w:t>
      </w:r>
      <w:r w:rsidR="002C1AA6">
        <w:rPr>
          <w:rFonts w:hint="eastAsia"/>
        </w:rPr>
        <w:t>Rating</w:t>
      </w:r>
      <w:r w:rsidR="002C1AA6">
        <w:rPr>
          <w:rFonts w:hint="eastAsia"/>
        </w:rPr>
        <w:t>的系数</w:t>
      </w:r>
      <w:r w:rsidR="00AB7ED2">
        <w:rPr>
          <w:rFonts w:hint="eastAsia"/>
        </w:rPr>
        <w:t>在</w:t>
      </w:r>
      <w:r w:rsidR="00AB7ED2">
        <w:rPr>
          <w:rFonts w:hint="eastAsia"/>
        </w:rPr>
        <w:t>95%</w:t>
      </w:r>
      <w:r w:rsidR="00AB7ED2">
        <w:rPr>
          <w:rFonts w:hint="eastAsia"/>
        </w:rPr>
        <w:t>的置信水平上</w:t>
      </w:r>
      <w:r w:rsidR="002C1AA6">
        <w:rPr>
          <w:rFonts w:hint="eastAsia"/>
        </w:rPr>
        <w:t>显著为负，意味着“中性”评级报告的信息含量比其他几类评级更低</w:t>
      </w:r>
      <w:r w:rsidR="00AB7ED2">
        <w:rPr>
          <w:rFonts w:hint="eastAsia"/>
        </w:rPr>
        <w:t>。此外评级的调整方向</w:t>
      </w:r>
      <w:r w:rsidR="00AB7ED2">
        <w:t>R</w:t>
      </w:r>
      <w:r w:rsidR="00AB7ED2">
        <w:rPr>
          <w:rFonts w:hint="eastAsia"/>
        </w:rPr>
        <w:t>evision</w:t>
      </w:r>
      <w:r w:rsidR="00AB7ED2">
        <w:rPr>
          <w:rFonts w:hint="eastAsia"/>
        </w:rPr>
        <w:t>系列</w:t>
      </w:r>
      <w:r w:rsidR="00B320CA">
        <w:rPr>
          <w:rFonts w:hint="eastAsia"/>
        </w:rPr>
        <w:t>虚拟变量</w:t>
      </w:r>
      <w:r w:rsidR="00AB7ED2">
        <w:rPr>
          <w:rFonts w:hint="eastAsia"/>
        </w:rPr>
        <w:t>的</w:t>
      </w:r>
      <w:r w:rsidR="00B320CA">
        <w:rPr>
          <w:rFonts w:hint="eastAsia"/>
        </w:rPr>
        <w:t>回归</w:t>
      </w:r>
      <w:r w:rsidR="00AB7ED2">
        <w:rPr>
          <w:rFonts w:hint="eastAsia"/>
        </w:rPr>
        <w:t>系数均不显</w:t>
      </w:r>
      <w:r w:rsidR="00AB7ED2">
        <w:rPr>
          <w:rFonts w:hint="eastAsia"/>
        </w:rPr>
        <w:lastRenderedPageBreak/>
        <w:t>著，与前文</w:t>
      </w:r>
      <w:r w:rsidR="00AB7ED2">
        <w:fldChar w:fldCharType="begin"/>
      </w:r>
      <w:r w:rsidR="00AB7ED2">
        <w:instrText xml:space="preserve"> </w:instrText>
      </w:r>
      <w:r w:rsidR="00AB7ED2">
        <w:rPr>
          <w:rFonts w:hint="eastAsia"/>
        </w:rPr>
        <w:instrText>REF _Ref509338616 \h</w:instrText>
      </w:r>
      <w:r w:rsidR="00AB7ED2">
        <w:instrText xml:space="preserve"> </w:instrText>
      </w:r>
      <w:r w:rsidR="00AB7ED2">
        <w:fldChar w:fldCharType="separate"/>
      </w:r>
      <w:r w:rsidR="00A17E1F">
        <w:rPr>
          <w:rFonts w:hint="eastAsia"/>
        </w:rPr>
        <w:t>图</w:t>
      </w:r>
      <w:r w:rsidR="00A17E1F">
        <w:rPr>
          <w:noProof/>
        </w:rPr>
        <w:t>8</w:t>
      </w:r>
      <w:r w:rsidR="00AB7ED2">
        <w:fldChar w:fldCharType="end"/>
      </w:r>
      <w:r w:rsidR="00AB7ED2">
        <w:rPr>
          <w:rFonts w:hint="eastAsia"/>
        </w:rPr>
        <w:t>的结果相</w:t>
      </w:r>
      <w:r w:rsidR="002B7056">
        <w:rPr>
          <w:rFonts w:hint="eastAsia"/>
        </w:rPr>
        <w:t>吻合</w:t>
      </w:r>
      <w:r w:rsidR="00AB7ED2">
        <w:rPr>
          <w:rFonts w:hint="eastAsia"/>
        </w:rPr>
        <w:t>。而控制的市场周期和行业</w:t>
      </w:r>
      <w:r w:rsidR="00B320CA">
        <w:rPr>
          <w:rFonts w:hint="eastAsia"/>
        </w:rPr>
        <w:t>虚拟变量</w:t>
      </w:r>
      <w:r w:rsidR="00AB7ED2">
        <w:rPr>
          <w:rFonts w:hint="eastAsia"/>
        </w:rPr>
        <w:t>均不显著，意味着公司深度研究报告对股价同步性的影响并不随市场周期而改变，也不存在行业间差异。</w:t>
      </w:r>
    </w:p>
    <w:p w14:paraId="0B7160FC" w14:textId="77777777" w:rsidR="00395397" w:rsidRPr="007F77AB" w:rsidRDefault="00395397" w:rsidP="00EB3FF6">
      <w:pPr>
        <w:rPr>
          <w:rFonts w:hint="eastAsia"/>
        </w:rPr>
      </w:pPr>
    </w:p>
    <w:p w14:paraId="418668FF" w14:textId="32516105" w:rsidR="007F3EB0" w:rsidRDefault="007F3EB0" w:rsidP="007F3EB0">
      <w:pPr>
        <w:pStyle w:val="ad"/>
      </w:pPr>
      <w:bookmarkStart w:id="35" w:name="_Ref509338647"/>
      <w:bookmarkStart w:id="36" w:name="_Ref50933863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7</w:t>
      </w:r>
      <w:r>
        <w:fldChar w:fldCharType="end"/>
      </w:r>
      <w:bookmarkEnd w:id="35"/>
      <w:r>
        <w:rPr>
          <w:noProof/>
        </w:rPr>
        <w:t xml:space="preserve"> </w:t>
      </w:r>
      <w:r>
        <w:rPr>
          <w:rFonts w:hint="eastAsia"/>
          <w:noProof/>
        </w:rPr>
        <w:t>分析师报告信息含量多元回归结果</w:t>
      </w:r>
      <w:bookmarkEnd w:id="36"/>
    </w:p>
    <w:tbl>
      <w:tblPr>
        <w:tblStyle w:val="6"/>
        <w:tblW w:w="5000" w:type="pct"/>
        <w:tblLook w:val="06A0" w:firstRow="1" w:lastRow="0" w:firstColumn="1" w:lastColumn="0" w:noHBand="1" w:noVBand="1"/>
      </w:tblPr>
      <w:tblGrid>
        <w:gridCol w:w="4080"/>
        <w:gridCol w:w="2113"/>
        <w:gridCol w:w="2113"/>
      </w:tblGrid>
      <w:tr w:rsidR="007F3EB0" w:rsidRPr="002B7056" w14:paraId="6E2A7D5D" w14:textId="77777777" w:rsidTr="002B7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pct"/>
            <w:vAlign w:val="center"/>
          </w:tcPr>
          <w:p w14:paraId="2E08B7DC" w14:textId="77777777" w:rsidR="007F3EB0" w:rsidRPr="002B7056" w:rsidRDefault="007F3EB0" w:rsidP="002B7056">
            <w:pPr>
              <w:autoSpaceDE w:val="0"/>
              <w:autoSpaceDN w:val="0"/>
              <w:adjustRightInd w:val="0"/>
              <w:spacing w:before="79" w:after="79"/>
              <w:ind w:firstLineChars="0" w:firstLine="0"/>
              <w:jc w:val="center"/>
              <w:rPr>
                <w:kern w:val="0"/>
              </w:rPr>
            </w:pPr>
            <w:r w:rsidRPr="002B7056">
              <w:rPr>
                <w:kern w:val="0"/>
              </w:rPr>
              <w:t>Sync Change</w:t>
            </w:r>
          </w:p>
        </w:tc>
        <w:tc>
          <w:tcPr>
            <w:tcW w:w="1272" w:type="pct"/>
            <w:vAlign w:val="center"/>
          </w:tcPr>
          <w:p w14:paraId="1F8245A5" w14:textId="77777777" w:rsidR="007F3EB0" w:rsidRPr="002B7056" w:rsidRDefault="007F3EB0" w:rsidP="002B7056">
            <w:pPr>
              <w:autoSpaceDE w:val="0"/>
              <w:autoSpaceDN w:val="0"/>
              <w:adjustRightInd w:val="0"/>
              <w:spacing w:before="79" w:after="79"/>
              <w:ind w:firstLineChars="0" w:firstLine="0"/>
              <w:jc w:val="center"/>
              <w:cnfStyle w:val="100000000000" w:firstRow="1" w:lastRow="0" w:firstColumn="0" w:lastColumn="0" w:oddVBand="0" w:evenVBand="0" w:oddHBand="0" w:evenHBand="0" w:firstRowFirstColumn="0" w:firstRowLastColumn="0" w:lastRowFirstColumn="0" w:lastRowLastColumn="0"/>
              <w:rPr>
                <w:kern w:val="0"/>
              </w:rPr>
            </w:pPr>
            <w:r w:rsidRPr="002B7056">
              <w:rPr>
                <w:kern w:val="0"/>
              </w:rPr>
              <w:t>Model(8)</w:t>
            </w:r>
          </w:p>
        </w:tc>
        <w:tc>
          <w:tcPr>
            <w:tcW w:w="1272" w:type="pct"/>
            <w:vAlign w:val="center"/>
          </w:tcPr>
          <w:p w14:paraId="63B692CC" w14:textId="77777777" w:rsidR="007F3EB0" w:rsidRPr="002B7056" w:rsidRDefault="007F3EB0" w:rsidP="002B7056">
            <w:pPr>
              <w:autoSpaceDE w:val="0"/>
              <w:autoSpaceDN w:val="0"/>
              <w:adjustRightInd w:val="0"/>
              <w:spacing w:before="79" w:after="79"/>
              <w:ind w:firstLineChars="0" w:firstLine="0"/>
              <w:jc w:val="center"/>
              <w:cnfStyle w:val="100000000000" w:firstRow="1" w:lastRow="0" w:firstColumn="0" w:lastColumn="0" w:oddVBand="0" w:evenVBand="0" w:oddHBand="0" w:evenHBand="0" w:firstRowFirstColumn="0" w:firstRowLastColumn="0" w:lastRowFirstColumn="0" w:lastRowLastColumn="0"/>
              <w:rPr>
                <w:kern w:val="0"/>
              </w:rPr>
            </w:pPr>
            <w:r w:rsidRPr="002B7056">
              <w:rPr>
                <w:kern w:val="0"/>
              </w:rPr>
              <w:t>Model(9)</w:t>
            </w:r>
          </w:p>
        </w:tc>
      </w:tr>
      <w:tr w:rsidR="007F3EB0" w:rsidRPr="002B7056" w14:paraId="24CFF261"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6F185025" w14:textId="17B58F8B" w:rsidR="007F3EB0" w:rsidRPr="002B7056" w:rsidRDefault="007F3EB0" w:rsidP="002B7056">
            <w:pPr>
              <w:autoSpaceDE w:val="0"/>
              <w:autoSpaceDN w:val="0"/>
              <w:adjustRightInd w:val="0"/>
              <w:ind w:firstLineChars="0" w:firstLine="0"/>
              <w:jc w:val="center"/>
              <w:rPr>
                <w:kern w:val="0"/>
              </w:rPr>
            </w:pPr>
            <w:r w:rsidRPr="002B7056">
              <w:rPr>
                <w:kern w:val="0"/>
              </w:rPr>
              <w:t>SENT</w:t>
            </w:r>
          </w:p>
        </w:tc>
        <w:tc>
          <w:tcPr>
            <w:tcW w:w="1272" w:type="pct"/>
            <w:vAlign w:val="center"/>
          </w:tcPr>
          <w:p w14:paraId="12C782EC"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0.0049</w:t>
            </w:r>
          </w:p>
        </w:tc>
        <w:tc>
          <w:tcPr>
            <w:tcW w:w="1272" w:type="pct"/>
            <w:vAlign w:val="center"/>
          </w:tcPr>
          <w:p w14:paraId="0AF6455F"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p>
        </w:tc>
      </w:tr>
      <w:tr w:rsidR="007F3EB0" w:rsidRPr="002B7056" w14:paraId="2826DB5F"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589234CD" w14:textId="77777777" w:rsidR="007F3EB0" w:rsidRPr="002B7056" w:rsidRDefault="007F3EB0" w:rsidP="002B7056">
            <w:pPr>
              <w:autoSpaceDE w:val="0"/>
              <w:autoSpaceDN w:val="0"/>
              <w:adjustRightInd w:val="0"/>
              <w:ind w:firstLineChars="0" w:firstLine="0"/>
              <w:jc w:val="center"/>
              <w:rPr>
                <w:kern w:val="0"/>
              </w:rPr>
            </w:pPr>
          </w:p>
        </w:tc>
        <w:tc>
          <w:tcPr>
            <w:tcW w:w="1272" w:type="pct"/>
            <w:vAlign w:val="center"/>
          </w:tcPr>
          <w:p w14:paraId="7C0073D6"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(8.59)**</w:t>
            </w:r>
          </w:p>
        </w:tc>
        <w:tc>
          <w:tcPr>
            <w:tcW w:w="1272" w:type="pct"/>
            <w:vAlign w:val="center"/>
          </w:tcPr>
          <w:p w14:paraId="3868D101"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p>
        </w:tc>
      </w:tr>
      <w:tr w:rsidR="007F3EB0" w:rsidRPr="002B7056" w14:paraId="08868834"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75BA9457" w14:textId="77777777" w:rsidR="007F3EB0" w:rsidRPr="002B7056" w:rsidRDefault="007F3EB0" w:rsidP="002B7056">
            <w:pPr>
              <w:autoSpaceDE w:val="0"/>
              <w:autoSpaceDN w:val="0"/>
              <w:adjustRightInd w:val="0"/>
              <w:ind w:firstLineChars="0" w:firstLine="0"/>
              <w:jc w:val="center"/>
              <w:rPr>
                <w:kern w:val="0"/>
              </w:rPr>
            </w:pPr>
            <w:r w:rsidRPr="002B7056">
              <w:rPr>
                <w:kern w:val="0"/>
              </w:rPr>
              <w:t>laststar</w:t>
            </w:r>
          </w:p>
        </w:tc>
        <w:tc>
          <w:tcPr>
            <w:tcW w:w="1272" w:type="pct"/>
            <w:vAlign w:val="center"/>
          </w:tcPr>
          <w:p w14:paraId="11D9BCBA"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-0.0096</w:t>
            </w:r>
          </w:p>
        </w:tc>
        <w:tc>
          <w:tcPr>
            <w:tcW w:w="1272" w:type="pct"/>
            <w:vAlign w:val="center"/>
          </w:tcPr>
          <w:p w14:paraId="6929ED6E"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-0.0098</w:t>
            </w:r>
          </w:p>
        </w:tc>
      </w:tr>
      <w:tr w:rsidR="007F3EB0" w:rsidRPr="002B7056" w14:paraId="6BC67139"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2C23F44E" w14:textId="77777777" w:rsidR="007F3EB0" w:rsidRPr="002B7056" w:rsidRDefault="007F3EB0" w:rsidP="002B7056">
            <w:pPr>
              <w:autoSpaceDE w:val="0"/>
              <w:autoSpaceDN w:val="0"/>
              <w:adjustRightInd w:val="0"/>
              <w:ind w:firstLineChars="0" w:firstLine="0"/>
              <w:jc w:val="center"/>
              <w:rPr>
                <w:kern w:val="0"/>
              </w:rPr>
            </w:pPr>
          </w:p>
        </w:tc>
        <w:tc>
          <w:tcPr>
            <w:tcW w:w="1272" w:type="pct"/>
            <w:vAlign w:val="center"/>
          </w:tcPr>
          <w:p w14:paraId="7A601DC3"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(4.79)**</w:t>
            </w:r>
          </w:p>
        </w:tc>
        <w:tc>
          <w:tcPr>
            <w:tcW w:w="1272" w:type="pct"/>
            <w:vAlign w:val="center"/>
          </w:tcPr>
          <w:p w14:paraId="5462C257"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(4.87)**</w:t>
            </w:r>
          </w:p>
        </w:tc>
      </w:tr>
      <w:tr w:rsidR="007F3EB0" w:rsidRPr="002B7056" w14:paraId="368A63F7"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36F28DF2" w14:textId="77777777" w:rsidR="007F3EB0" w:rsidRPr="002B7056" w:rsidRDefault="007F3EB0" w:rsidP="002B7056">
            <w:pPr>
              <w:autoSpaceDE w:val="0"/>
              <w:autoSpaceDN w:val="0"/>
              <w:adjustRightInd w:val="0"/>
              <w:ind w:firstLineChars="0" w:firstLine="0"/>
              <w:jc w:val="center"/>
              <w:rPr>
                <w:kern w:val="0"/>
              </w:rPr>
            </w:pPr>
            <w:r w:rsidRPr="002B7056">
              <w:rPr>
                <w:kern w:val="0"/>
              </w:rPr>
              <w:t>rating</w:t>
            </w:r>
          </w:p>
        </w:tc>
        <w:tc>
          <w:tcPr>
            <w:tcW w:w="1272" w:type="pct"/>
            <w:vAlign w:val="center"/>
          </w:tcPr>
          <w:p w14:paraId="123C48AB"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-0.0109</w:t>
            </w:r>
          </w:p>
        </w:tc>
        <w:tc>
          <w:tcPr>
            <w:tcW w:w="1272" w:type="pct"/>
            <w:vAlign w:val="center"/>
          </w:tcPr>
          <w:p w14:paraId="2DBC941A"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-0.0107</w:t>
            </w:r>
          </w:p>
        </w:tc>
      </w:tr>
      <w:tr w:rsidR="007F3EB0" w:rsidRPr="002B7056" w14:paraId="753F13EC"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7629CF3F" w14:textId="77777777" w:rsidR="007F3EB0" w:rsidRPr="002B7056" w:rsidRDefault="007F3EB0" w:rsidP="002B7056">
            <w:pPr>
              <w:autoSpaceDE w:val="0"/>
              <w:autoSpaceDN w:val="0"/>
              <w:adjustRightInd w:val="0"/>
              <w:ind w:firstLineChars="0" w:firstLine="0"/>
              <w:jc w:val="center"/>
              <w:rPr>
                <w:kern w:val="0"/>
              </w:rPr>
            </w:pPr>
          </w:p>
        </w:tc>
        <w:tc>
          <w:tcPr>
            <w:tcW w:w="1272" w:type="pct"/>
            <w:vAlign w:val="center"/>
          </w:tcPr>
          <w:p w14:paraId="3D009FE5"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(2.36)*</w:t>
            </w:r>
          </w:p>
        </w:tc>
        <w:tc>
          <w:tcPr>
            <w:tcW w:w="1272" w:type="pct"/>
            <w:vAlign w:val="center"/>
          </w:tcPr>
          <w:p w14:paraId="5C02DF58"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(2.32)*</w:t>
            </w:r>
          </w:p>
        </w:tc>
      </w:tr>
      <w:tr w:rsidR="007F3EB0" w:rsidRPr="002B7056" w14:paraId="428D7006"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36480BD7" w14:textId="5901D7C7" w:rsidR="007F3EB0" w:rsidRPr="002B7056" w:rsidRDefault="007F3EB0" w:rsidP="002B7056">
            <w:pPr>
              <w:autoSpaceDE w:val="0"/>
              <w:autoSpaceDN w:val="0"/>
              <w:adjustRightInd w:val="0"/>
              <w:ind w:firstLineChars="0" w:firstLine="0"/>
              <w:jc w:val="center"/>
              <w:rPr>
                <w:kern w:val="0"/>
              </w:rPr>
            </w:pPr>
            <w:r w:rsidRPr="002B7056">
              <w:rPr>
                <w:kern w:val="0"/>
              </w:rPr>
              <w:t>Revision = First</w:t>
            </w:r>
          </w:p>
        </w:tc>
        <w:tc>
          <w:tcPr>
            <w:tcW w:w="1272" w:type="pct"/>
            <w:vAlign w:val="center"/>
          </w:tcPr>
          <w:p w14:paraId="04FAF620"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-0.0092</w:t>
            </w:r>
          </w:p>
        </w:tc>
        <w:tc>
          <w:tcPr>
            <w:tcW w:w="1272" w:type="pct"/>
            <w:vAlign w:val="center"/>
          </w:tcPr>
          <w:p w14:paraId="2AC0D3E3"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-0.0086</w:t>
            </w:r>
          </w:p>
        </w:tc>
      </w:tr>
      <w:tr w:rsidR="007F3EB0" w:rsidRPr="002B7056" w14:paraId="2CD19896"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470F77BC" w14:textId="77777777" w:rsidR="007F3EB0" w:rsidRPr="002B7056" w:rsidRDefault="007F3EB0" w:rsidP="002B7056">
            <w:pPr>
              <w:autoSpaceDE w:val="0"/>
              <w:autoSpaceDN w:val="0"/>
              <w:adjustRightInd w:val="0"/>
              <w:ind w:firstLineChars="0" w:firstLine="0"/>
              <w:jc w:val="center"/>
              <w:rPr>
                <w:kern w:val="0"/>
              </w:rPr>
            </w:pPr>
          </w:p>
        </w:tc>
        <w:tc>
          <w:tcPr>
            <w:tcW w:w="1272" w:type="pct"/>
            <w:vAlign w:val="center"/>
          </w:tcPr>
          <w:p w14:paraId="3771542B"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(1.08)</w:t>
            </w:r>
          </w:p>
        </w:tc>
        <w:tc>
          <w:tcPr>
            <w:tcW w:w="1272" w:type="pct"/>
            <w:vAlign w:val="center"/>
          </w:tcPr>
          <w:p w14:paraId="11B6CC8B"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(1.00)</w:t>
            </w:r>
          </w:p>
        </w:tc>
      </w:tr>
      <w:tr w:rsidR="007F3EB0" w:rsidRPr="002B7056" w14:paraId="74975BC3"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7FD76CC8" w14:textId="76ABD07E" w:rsidR="007F3EB0" w:rsidRPr="002B7056" w:rsidRDefault="007F3EB0" w:rsidP="002B7056">
            <w:pPr>
              <w:autoSpaceDE w:val="0"/>
              <w:autoSpaceDN w:val="0"/>
              <w:adjustRightInd w:val="0"/>
              <w:ind w:firstLineChars="0" w:firstLine="0"/>
              <w:jc w:val="center"/>
              <w:rPr>
                <w:kern w:val="0"/>
              </w:rPr>
            </w:pPr>
            <w:r w:rsidRPr="002B7056">
              <w:rPr>
                <w:kern w:val="0"/>
              </w:rPr>
              <w:t>Revision = Keep</w:t>
            </w:r>
          </w:p>
        </w:tc>
        <w:tc>
          <w:tcPr>
            <w:tcW w:w="1272" w:type="pct"/>
            <w:vAlign w:val="center"/>
          </w:tcPr>
          <w:p w14:paraId="06754100"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-0.0099</w:t>
            </w:r>
          </w:p>
        </w:tc>
        <w:tc>
          <w:tcPr>
            <w:tcW w:w="1272" w:type="pct"/>
            <w:vAlign w:val="center"/>
          </w:tcPr>
          <w:p w14:paraId="5B4B58B7"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-0.0091</w:t>
            </w:r>
          </w:p>
        </w:tc>
      </w:tr>
      <w:tr w:rsidR="007F3EB0" w:rsidRPr="002B7056" w14:paraId="6855177E"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6DA84EA2" w14:textId="77777777" w:rsidR="007F3EB0" w:rsidRPr="002B7056" w:rsidRDefault="007F3EB0" w:rsidP="002B7056">
            <w:pPr>
              <w:autoSpaceDE w:val="0"/>
              <w:autoSpaceDN w:val="0"/>
              <w:adjustRightInd w:val="0"/>
              <w:ind w:firstLineChars="0" w:firstLine="0"/>
              <w:jc w:val="center"/>
              <w:rPr>
                <w:kern w:val="0"/>
              </w:rPr>
            </w:pPr>
          </w:p>
        </w:tc>
        <w:tc>
          <w:tcPr>
            <w:tcW w:w="1272" w:type="pct"/>
            <w:vAlign w:val="center"/>
          </w:tcPr>
          <w:p w14:paraId="6CDD945C"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(1.16)</w:t>
            </w:r>
          </w:p>
        </w:tc>
        <w:tc>
          <w:tcPr>
            <w:tcW w:w="1272" w:type="pct"/>
            <w:vAlign w:val="center"/>
          </w:tcPr>
          <w:p w14:paraId="0B9182D7"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(1.05)</w:t>
            </w:r>
          </w:p>
        </w:tc>
      </w:tr>
      <w:tr w:rsidR="007F3EB0" w:rsidRPr="002B7056" w14:paraId="26F8C6F9"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23732F1E" w14:textId="07CE58F1" w:rsidR="007F3EB0" w:rsidRPr="002B7056" w:rsidRDefault="007F3EB0" w:rsidP="002B7056">
            <w:pPr>
              <w:autoSpaceDE w:val="0"/>
              <w:autoSpaceDN w:val="0"/>
              <w:adjustRightInd w:val="0"/>
              <w:ind w:firstLineChars="0" w:firstLine="0"/>
              <w:jc w:val="center"/>
              <w:rPr>
                <w:kern w:val="0"/>
              </w:rPr>
            </w:pPr>
            <w:r w:rsidRPr="002B7056">
              <w:rPr>
                <w:kern w:val="0"/>
              </w:rPr>
              <w:t>Revision = Up</w:t>
            </w:r>
          </w:p>
        </w:tc>
        <w:tc>
          <w:tcPr>
            <w:tcW w:w="1272" w:type="pct"/>
            <w:vAlign w:val="center"/>
          </w:tcPr>
          <w:p w14:paraId="14E34C6C"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-0.0166</w:t>
            </w:r>
          </w:p>
        </w:tc>
        <w:tc>
          <w:tcPr>
            <w:tcW w:w="1272" w:type="pct"/>
            <w:vAlign w:val="center"/>
          </w:tcPr>
          <w:p w14:paraId="6EF77963"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-0.0156</w:t>
            </w:r>
          </w:p>
        </w:tc>
      </w:tr>
      <w:tr w:rsidR="007F3EB0" w:rsidRPr="002B7056" w14:paraId="1E2DAD58"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30F6099D" w14:textId="77777777" w:rsidR="007F3EB0" w:rsidRPr="002B7056" w:rsidRDefault="007F3EB0" w:rsidP="002B7056">
            <w:pPr>
              <w:autoSpaceDE w:val="0"/>
              <w:autoSpaceDN w:val="0"/>
              <w:adjustRightInd w:val="0"/>
              <w:ind w:firstLineChars="0" w:firstLine="0"/>
              <w:jc w:val="center"/>
              <w:rPr>
                <w:kern w:val="0"/>
              </w:rPr>
            </w:pPr>
          </w:p>
        </w:tc>
        <w:tc>
          <w:tcPr>
            <w:tcW w:w="1272" w:type="pct"/>
            <w:vAlign w:val="center"/>
          </w:tcPr>
          <w:p w14:paraId="69DB86A0"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(1.76)</w:t>
            </w:r>
          </w:p>
        </w:tc>
        <w:tc>
          <w:tcPr>
            <w:tcW w:w="1272" w:type="pct"/>
            <w:vAlign w:val="center"/>
          </w:tcPr>
          <w:p w14:paraId="25C8A9FA"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(1.64)</w:t>
            </w:r>
          </w:p>
        </w:tc>
      </w:tr>
      <w:tr w:rsidR="004757FE" w:rsidRPr="002B7056" w14:paraId="771165EC"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09F580B6" w14:textId="77777777" w:rsidR="004757FE" w:rsidRPr="002B7056" w:rsidRDefault="004757FE" w:rsidP="002B7056">
            <w:pPr>
              <w:autoSpaceDE w:val="0"/>
              <w:autoSpaceDN w:val="0"/>
              <w:adjustRightInd w:val="0"/>
              <w:ind w:firstLineChars="0" w:firstLine="0"/>
              <w:jc w:val="center"/>
              <w:rPr>
                <w:kern w:val="0"/>
              </w:rPr>
            </w:pPr>
            <w:r w:rsidRPr="002B7056">
              <w:rPr>
                <w:kern w:val="0"/>
              </w:rPr>
              <w:t>Cycle</w:t>
            </w:r>
          </w:p>
        </w:tc>
        <w:tc>
          <w:tcPr>
            <w:tcW w:w="1272" w:type="pct"/>
            <w:vAlign w:val="center"/>
          </w:tcPr>
          <w:p w14:paraId="2A577FF7" w14:textId="77777777" w:rsidR="004757FE" w:rsidRPr="002B7056" w:rsidRDefault="004757FE"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0.0013</w:t>
            </w:r>
          </w:p>
        </w:tc>
        <w:tc>
          <w:tcPr>
            <w:tcW w:w="1272" w:type="pct"/>
            <w:vAlign w:val="center"/>
          </w:tcPr>
          <w:p w14:paraId="79D4E2E5" w14:textId="77777777" w:rsidR="004757FE" w:rsidRPr="002B7056" w:rsidRDefault="004757FE"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0.0018</w:t>
            </w:r>
          </w:p>
        </w:tc>
      </w:tr>
      <w:tr w:rsidR="004757FE" w:rsidRPr="002B7056" w14:paraId="7FE71F62"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ign w:val="center"/>
          </w:tcPr>
          <w:p w14:paraId="717FFCF4" w14:textId="77777777" w:rsidR="004757FE" w:rsidRPr="002B7056" w:rsidRDefault="004757FE" w:rsidP="002B7056">
            <w:pPr>
              <w:autoSpaceDE w:val="0"/>
              <w:autoSpaceDN w:val="0"/>
              <w:adjustRightInd w:val="0"/>
              <w:ind w:firstLineChars="0" w:firstLine="0"/>
              <w:jc w:val="center"/>
              <w:rPr>
                <w:kern w:val="0"/>
              </w:rPr>
            </w:pPr>
          </w:p>
        </w:tc>
        <w:tc>
          <w:tcPr>
            <w:tcW w:w="1272" w:type="pct"/>
            <w:vAlign w:val="center"/>
          </w:tcPr>
          <w:p w14:paraId="5617FDF9" w14:textId="77777777" w:rsidR="004757FE" w:rsidRPr="002B7056" w:rsidRDefault="004757FE"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(0.81)</w:t>
            </w:r>
          </w:p>
        </w:tc>
        <w:tc>
          <w:tcPr>
            <w:tcW w:w="1272" w:type="pct"/>
            <w:vAlign w:val="center"/>
          </w:tcPr>
          <w:p w14:paraId="7177117F" w14:textId="77777777" w:rsidR="004757FE" w:rsidRPr="002B7056" w:rsidRDefault="004757FE"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(1.11)</w:t>
            </w:r>
          </w:p>
        </w:tc>
      </w:tr>
      <w:tr w:rsidR="007F3EB0" w:rsidRPr="002B7056" w14:paraId="299F3AB7" w14:textId="77777777" w:rsidTr="002B7056">
        <w:tc>
          <w:tcPr>
            <w:cnfStyle w:val="001000000000" w:firstRow="0" w:lastRow="0" w:firstColumn="1" w:lastColumn="0" w:oddVBand="0" w:evenVBand="0" w:oddHBand="0" w:evenHBand="0" w:firstRowFirstColumn="0" w:firstRowLastColumn="0" w:lastRowFirstColumn="0" w:lastRowLastColumn="0"/>
            <w:tcW w:w="2456" w:type="pct"/>
            <w:vAlign w:val="center"/>
          </w:tcPr>
          <w:p w14:paraId="595FD46C" w14:textId="77777777" w:rsidR="007F3EB0" w:rsidRPr="002B7056" w:rsidRDefault="007F3EB0" w:rsidP="002B7056">
            <w:pPr>
              <w:autoSpaceDE w:val="0"/>
              <w:autoSpaceDN w:val="0"/>
              <w:adjustRightInd w:val="0"/>
              <w:ind w:firstLineChars="0" w:firstLine="0"/>
              <w:jc w:val="center"/>
              <w:rPr>
                <w:kern w:val="0"/>
              </w:rPr>
            </w:pPr>
            <w:r w:rsidRPr="002B7056">
              <w:rPr>
                <w:rFonts w:hint="eastAsia"/>
                <w:kern w:val="0"/>
              </w:rPr>
              <w:t>Indus</w:t>
            </w:r>
            <w:r w:rsidRPr="002B7056">
              <w:rPr>
                <w:kern w:val="0"/>
              </w:rPr>
              <w:t>try</w:t>
            </w:r>
          </w:p>
        </w:tc>
        <w:tc>
          <w:tcPr>
            <w:tcW w:w="1272" w:type="pct"/>
            <w:vAlign w:val="center"/>
          </w:tcPr>
          <w:p w14:paraId="4C6509B4"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N</w:t>
            </w:r>
          </w:p>
        </w:tc>
        <w:tc>
          <w:tcPr>
            <w:tcW w:w="1272" w:type="pct"/>
            <w:vAlign w:val="center"/>
          </w:tcPr>
          <w:p w14:paraId="5B320964"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N</w:t>
            </w:r>
          </w:p>
        </w:tc>
      </w:tr>
      <w:tr w:rsidR="007F3EB0" w:rsidRPr="002B7056" w14:paraId="0889F83B"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val="restart"/>
            <w:vAlign w:val="center"/>
          </w:tcPr>
          <w:p w14:paraId="5C9C3BD8" w14:textId="77777777" w:rsidR="007F3EB0" w:rsidRPr="002B7056" w:rsidRDefault="007F3EB0" w:rsidP="002B7056">
            <w:pPr>
              <w:autoSpaceDE w:val="0"/>
              <w:autoSpaceDN w:val="0"/>
              <w:adjustRightInd w:val="0"/>
              <w:ind w:firstLineChars="0" w:firstLine="0"/>
              <w:jc w:val="center"/>
              <w:rPr>
                <w:kern w:val="0"/>
              </w:rPr>
            </w:pPr>
            <w:r w:rsidRPr="002B7056">
              <w:rPr>
                <w:kern w:val="0"/>
              </w:rPr>
              <w:t>_Cons</w:t>
            </w:r>
          </w:p>
        </w:tc>
        <w:tc>
          <w:tcPr>
            <w:tcW w:w="1272" w:type="pct"/>
            <w:vAlign w:val="center"/>
          </w:tcPr>
          <w:p w14:paraId="70B0C49A"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-0.0077</w:t>
            </w:r>
          </w:p>
        </w:tc>
        <w:tc>
          <w:tcPr>
            <w:tcW w:w="1272" w:type="pct"/>
            <w:vAlign w:val="center"/>
          </w:tcPr>
          <w:p w14:paraId="487340CE"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0.0057</w:t>
            </w:r>
          </w:p>
        </w:tc>
      </w:tr>
      <w:tr w:rsidR="007F3EB0" w:rsidRPr="002B7056" w14:paraId="1860E2BA"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tcBorders>
              <w:bottom w:val="double" w:sz="4" w:space="0" w:color="auto"/>
            </w:tcBorders>
            <w:vAlign w:val="center"/>
          </w:tcPr>
          <w:p w14:paraId="3004974C" w14:textId="77777777" w:rsidR="007F3EB0" w:rsidRPr="002B7056" w:rsidRDefault="007F3EB0" w:rsidP="002B7056">
            <w:pPr>
              <w:autoSpaceDE w:val="0"/>
              <w:autoSpaceDN w:val="0"/>
              <w:adjustRightInd w:val="0"/>
              <w:ind w:firstLineChars="0" w:firstLine="0"/>
              <w:jc w:val="center"/>
              <w:rPr>
                <w:kern w:val="0"/>
              </w:rPr>
            </w:pPr>
          </w:p>
        </w:tc>
        <w:tc>
          <w:tcPr>
            <w:tcW w:w="1272" w:type="pct"/>
            <w:tcBorders>
              <w:bottom w:val="double" w:sz="4" w:space="0" w:color="auto"/>
            </w:tcBorders>
            <w:vAlign w:val="center"/>
          </w:tcPr>
          <w:p w14:paraId="3B2D0A5D"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(0.77)</w:t>
            </w:r>
          </w:p>
        </w:tc>
        <w:tc>
          <w:tcPr>
            <w:tcW w:w="1272" w:type="pct"/>
            <w:tcBorders>
              <w:bottom w:val="double" w:sz="4" w:space="0" w:color="auto"/>
            </w:tcBorders>
            <w:vAlign w:val="center"/>
          </w:tcPr>
          <w:p w14:paraId="49F35DC3" w14:textId="77777777" w:rsidR="007F3EB0" w:rsidRPr="002B7056" w:rsidRDefault="007F3EB0" w:rsidP="002B7056">
            <w:pPr>
              <w:tabs>
                <w:tab w:val="decimal" w:pos="538"/>
              </w:tabs>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kern w:val="0"/>
              </w:rPr>
            </w:pPr>
            <w:r w:rsidRPr="002B7056">
              <w:rPr>
                <w:kern w:val="0"/>
              </w:rPr>
              <w:t>(0.57)</w:t>
            </w:r>
          </w:p>
        </w:tc>
      </w:tr>
      <w:tr w:rsidR="007F3EB0" w:rsidRPr="002B7056" w14:paraId="0B99BE71" w14:textId="77777777" w:rsidTr="002B7056">
        <w:tc>
          <w:tcPr>
            <w:cnfStyle w:val="001000000000" w:firstRow="0" w:lastRow="0" w:firstColumn="1" w:lastColumn="0" w:oddVBand="0" w:evenVBand="0" w:oddHBand="0" w:evenHBand="0" w:firstRowFirstColumn="0" w:firstRowLastColumn="0" w:lastRowFirstColumn="0" w:lastRowLastColumn="0"/>
            <w:tcW w:w="2456" w:type="pct"/>
            <w:tcBorders>
              <w:top w:val="double" w:sz="4" w:space="0" w:color="auto"/>
              <w:bottom w:val="nil"/>
            </w:tcBorders>
            <w:vAlign w:val="center"/>
          </w:tcPr>
          <w:p w14:paraId="57E6A7BA" w14:textId="77777777" w:rsidR="007F3EB0" w:rsidRPr="002B7056" w:rsidRDefault="007F3EB0" w:rsidP="002B7056">
            <w:pPr>
              <w:autoSpaceDE w:val="0"/>
              <w:autoSpaceDN w:val="0"/>
              <w:adjustRightInd w:val="0"/>
              <w:ind w:firstLineChars="0" w:firstLine="0"/>
              <w:jc w:val="center"/>
              <w:rPr>
                <w:kern w:val="0"/>
              </w:rPr>
            </w:pPr>
            <w:r w:rsidRPr="002B7056">
              <w:rPr>
                <w:kern w:val="0"/>
              </w:rPr>
              <w:t>F Statistics</w:t>
            </w:r>
          </w:p>
        </w:tc>
        <w:tc>
          <w:tcPr>
            <w:tcW w:w="1272" w:type="pct"/>
            <w:tcBorders>
              <w:top w:val="double" w:sz="4" w:space="0" w:color="auto"/>
              <w:bottom w:val="nil"/>
            </w:tcBorders>
            <w:vAlign w:val="center"/>
          </w:tcPr>
          <w:p w14:paraId="46BD6037" w14:textId="77777777" w:rsidR="007F3EB0" w:rsidRPr="002B7056" w:rsidRDefault="007F3EB0" w:rsidP="002B7056">
            <w:pPr>
              <w:tabs>
                <w:tab w:val="decimal" w:pos="538"/>
              </w:tabs>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b/>
                <w:kern w:val="0"/>
              </w:rPr>
            </w:pPr>
            <w:r w:rsidRPr="002B7056">
              <w:rPr>
                <w:b/>
                <w:kern w:val="0"/>
              </w:rPr>
              <w:t>6.08</w:t>
            </w:r>
          </w:p>
        </w:tc>
        <w:tc>
          <w:tcPr>
            <w:tcW w:w="1272" w:type="pct"/>
            <w:tcBorders>
              <w:top w:val="double" w:sz="4" w:space="0" w:color="auto"/>
              <w:bottom w:val="nil"/>
            </w:tcBorders>
            <w:vAlign w:val="center"/>
          </w:tcPr>
          <w:p w14:paraId="6A20E90E" w14:textId="77777777" w:rsidR="007F3EB0" w:rsidRPr="002B7056" w:rsidRDefault="007F3EB0" w:rsidP="002B7056">
            <w:pPr>
              <w:tabs>
                <w:tab w:val="decimal" w:pos="538"/>
              </w:tabs>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b/>
                <w:kern w:val="0"/>
              </w:rPr>
            </w:pPr>
            <w:r w:rsidRPr="002B7056">
              <w:rPr>
                <w:b/>
                <w:kern w:val="0"/>
              </w:rPr>
              <w:t>3.00</w:t>
            </w:r>
          </w:p>
        </w:tc>
      </w:tr>
      <w:tr w:rsidR="007F3EB0" w:rsidRPr="002B7056" w14:paraId="5FEA1DD9" w14:textId="77777777" w:rsidTr="002B7056">
        <w:tc>
          <w:tcPr>
            <w:cnfStyle w:val="001000000000" w:firstRow="0" w:lastRow="0" w:firstColumn="1" w:lastColumn="0" w:oddVBand="0" w:evenVBand="0" w:oddHBand="0" w:evenHBand="0" w:firstRowFirstColumn="0" w:firstRowLastColumn="0" w:lastRowFirstColumn="0" w:lastRowLastColumn="0"/>
            <w:tcW w:w="2456" w:type="pct"/>
            <w:tcBorders>
              <w:top w:val="nil"/>
            </w:tcBorders>
            <w:vAlign w:val="center"/>
          </w:tcPr>
          <w:p w14:paraId="242BAE4C" w14:textId="77777777" w:rsidR="007F3EB0" w:rsidRPr="002B7056" w:rsidRDefault="007F3EB0" w:rsidP="002B7056">
            <w:pPr>
              <w:autoSpaceDE w:val="0"/>
              <w:autoSpaceDN w:val="0"/>
              <w:adjustRightInd w:val="0"/>
              <w:ind w:firstLineChars="0" w:firstLine="0"/>
              <w:jc w:val="center"/>
              <w:rPr>
                <w:kern w:val="0"/>
              </w:rPr>
            </w:pPr>
            <w:r w:rsidRPr="002B7056">
              <w:rPr>
                <w:i/>
                <w:iCs/>
                <w:kern w:val="0"/>
              </w:rPr>
              <w:t>R</w:t>
            </w:r>
            <w:r w:rsidRPr="002B7056">
              <w:rPr>
                <w:kern w:val="0"/>
                <w:vertAlign w:val="superscript"/>
              </w:rPr>
              <w:t>2</w:t>
            </w:r>
          </w:p>
        </w:tc>
        <w:tc>
          <w:tcPr>
            <w:tcW w:w="1272" w:type="pct"/>
            <w:tcBorders>
              <w:top w:val="nil"/>
            </w:tcBorders>
            <w:vAlign w:val="center"/>
          </w:tcPr>
          <w:p w14:paraId="3ACA6AC2" w14:textId="77777777" w:rsidR="007F3EB0" w:rsidRPr="002B7056" w:rsidRDefault="007F3EB0" w:rsidP="002B7056">
            <w:pPr>
              <w:tabs>
                <w:tab w:val="decimal" w:pos="538"/>
              </w:tabs>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b/>
                <w:kern w:val="0"/>
              </w:rPr>
            </w:pPr>
            <w:r w:rsidRPr="002B7056">
              <w:rPr>
                <w:b/>
                <w:kern w:val="0"/>
              </w:rPr>
              <w:t>0.01</w:t>
            </w:r>
          </w:p>
        </w:tc>
        <w:tc>
          <w:tcPr>
            <w:tcW w:w="1272" w:type="pct"/>
            <w:tcBorders>
              <w:top w:val="nil"/>
            </w:tcBorders>
            <w:vAlign w:val="center"/>
          </w:tcPr>
          <w:p w14:paraId="026E6374" w14:textId="77777777" w:rsidR="007F3EB0" w:rsidRPr="002B7056" w:rsidRDefault="007F3EB0" w:rsidP="002B7056">
            <w:pPr>
              <w:tabs>
                <w:tab w:val="decimal" w:pos="538"/>
              </w:tabs>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b/>
                <w:kern w:val="0"/>
              </w:rPr>
            </w:pPr>
            <w:r w:rsidRPr="002B7056">
              <w:rPr>
                <w:b/>
                <w:kern w:val="0"/>
              </w:rPr>
              <w:t>0.00</w:t>
            </w:r>
          </w:p>
        </w:tc>
      </w:tr>
    </w:tbl>
    <w:p w14:paraId="5DD090AA" w14:textId="77777777" w:rsidR="00E22A49" w:rsidRDefault="00E22A49" w:rsidP="00E22A49">
      <w:pPr>
        <w:pStyle w:val="ae"/>
      </w:pPr>
      <w:r>
        <w:rPr>
          <w:rFonts w:hint="eastAsia"/>
        </w:rPr>
        <w:t>注：</w:t>
      </w:r>
      <w:r>
        <w:t xml:space="preserve">* </w:t>
      </w:r>
      <w:r>
        <w:rPr>
          <w:i/>
          <w:iCs/>
        </w:rPr>
        <w:t>p</w:t>
      </w:r>
      <w:r>
        <w:t xml:space="preserve">&lt;0.05; ** </w:t>
      </w:r>
      <w:r>
        <w:rPr>
          <w:i/>
          <w:iCs/>
        </w:rPr>
        <w:t>p</w:t>
      </w:r>
      <w:r>
        <w:t>&lt;0.01</w:t>
      </w:r>
    </w:p>
    <w:p w14:paraId="1833BEC9" w14:textId="550A2CA3" w:rsidR="000E66C0" w:rsidRDefault="000E66C0" w:rsidP="00E22A49"/>
    <w:p w14:paraId="5CD55F78" w14:textId="02D24127" w:rsidR="002B7056" w:rsidRDefault="002B7056" w:rsidP="00E22A49">
      <w:r w:rsidRPr="00872CBA">
        <w:rPr>
          <w:rFonts w:hint="eastAsia"/>
        </w:rPr>
        <w:t>总体来看</w:t>
      </w:r>
      <w:r w:rsidR="00395397" w:rsidRPr="00872CBA">
        <w:rPr>
          <w:rFonts w:hint="eastAsia"/>
        </w:rPr>
        <w:t>，在个股投资者情绪高涨时发布的相关深度研究报告引起的股价同步性变化幅度更小，也即</w:t>
      </w:r>
      <w:r w:rsidR="00872CBA" w:rsidRPr="00872CBA">
        <w:rPr>
          <w:rFonts w:hint="eastAsia"/>
        </w:rPr>
        <w:t>报告的信息含量更低。</w:t>
      </w:r>
      <w:r w:rsidR="00395397" w:rsidRPr="00872CBA">
        <w:rPr>
          <w:rFonts w:hint="eastAsia"/>
        </w:rPr>
        <w:t>同时</w:t>
      </w:r>
      <w:r w:rsidR="00872CBA" w:rsidRPr="00872CBA">
        <w:rPr>
          <w:rFonts w:hint="eastAsia"/>
        </w:rPr>
        <w:t>，无论是从名誉模式还是信</w:t>
      </w:r>
      <w:r w:rsidR="00872CBA" w:rsidRPr="00872CBA">
        <w:rPr>
          <w:rFonts w:hint="eastAsia"/>
        </w:rPr>
        <w:lastRenderedPageBreak/>
        <w:t>息模式来看，“新财富”最佳分析师对股价的同步性都产生了更大的影响；此外，“中性”评级向市场提供的增量信息要显著低于具有明确操作方向的投资评级，具体反映在这类报告发布后股价同步性变化的幅度更小。</w:t>
      </w:r>
    </w:p>
    <w:p w14:paraId="550986F4" w14:textId="77777777" w:rsidR="002B7056" w:rsidRDefault="002B7056" w:rsidP="00E22A49">
      <w:pPr>
        <w:rPr>
          <w:rFonts w:hint="eastAsia"/>
        </w:rPr>
      </w:pPr>
    </w:p>
    <w:p w14:paraId="3AFC7755" w14:textId="7C7C72D0" w:rsidR="00DF10C0" w:rsidRDefault="004757FE" w:rsidP="004757FE">
      <w:pPr>
        <w:pStyle w:val="3"/>
      </w:pPr>
      <w:bookmarkStart w:id="37" w:name="_Toc509527760"/>
      <w:r>
        <w:rPr>
          <w:rFonts w:hint="eastAsia"/>
        </w:rPr>
        <w:t>市场对分析师的择时行为</w:t>
      </w:r>
      <w:r w:rsidR="00F41C26">
        <w:rPr>
          <w:rFonts w:hint="eastAsia"/>
        </w:rPr>
        <w:t>进行</w:t>
      </w:r>
      <w:r w:rsidR="002913DA">
        <w:rPr>
          <w:rFonts w:hint="eastAsia"/>
        </w:rPr>
        <w:t>识别</w:t>
      </w:r>
      <w:r>
        <w:rPr>
          <w:rFonts w:hint="eastAsia"/>
        </w:rPr>
        <w:t>吗？</w:t>
      </w:r>
      <w:bookmarkEnd w:id="37"/>
    </w:p>
    <w:p w14:paraId="1262ADCE" w14:textId="6641C764" w:rsidR="00872CBA" w:rsidRDefault="00306F88" w:rsidP="00872CBA">
      <w:r>
        <w:rPr>
          <w:rFonts w:hint="eastAsia"/>
        </w:rPr>
        <w:t>为了进一步考察市场对分析师择时行为的反应，接下来本文首先从分析师维度重新</w:t>
      </w:r>
      <w:r w:rsidR="00982E2D">
        <w:rPr>
          <w:rFonts w:hint="eastAsia"/>
        </w:rPr>
        <w:t>以同步性变化为因变量、投资者情绪为自变量进行回归</w:t>
      </w:r>
      <w:r w:rsidR="00872CBA">
        <w:rPr>
          <w:rFonts w:hint="eastAsia"/>
        </w:rPr>
        <w:t>。</w:t>
      </w:r>
      <w:r w:rsidR="00872CBA">
        <w:rPr>
          <w:rFonts w:hint="eastAsia"/>
        </w:rPr>
        <w:t>由于近年来我国的证券研究行业发展迅速，新增分析师数量巨大，其次本文将样本限制在公司深度研究报告，因此仅就发表的报告数量足够多的分析师进行了回归以及进一步的分析。使用的样本共计</w:t>
      </w:r>
      <w:r w:rsidR="00872CBA">
        <w:rPr>
          <w:rFonts w:hint="eastAsia"/>
        </w:rPr>
        <w:t>237</w:t>
      </w:r>
      <w:r w:rsidR="00872CBA">
        <w:rPr>
          <w:rFonts w:hint="eastAsia"/>
        </w:rPr>
        <w:t>位分析师，发表了</w:t>
      </w:r>
      <w:r w:rsidR="00872CBA">
        <w:rPr>
          <w:rFonts w:hint="eastAsia"/>
        </w:rPr>
        <w:t>7</w:t>
      </w:r>
      <w:r w:rsidR="00872CBA">
        <w:t>,841</w:t>
      </w:r>
      <w:r w:rsidR="00872CBA">
        <w:rPr>
          <w:rFonts w:hint="eastAsia"/>
        </w:rPr>
        <w:t>份公司深度研究报告，人均发表</w:t>
      </w:r>
      <w:r w:rsidR="00872CBA">
        <w:rPr>
          <w:rFonts w:hint="eastAsia"/>
        </w:rPr>
        <w:t>33</w:t>
      </w:r>
      <w:r w:rsidR="00872CBA">
        <w:rPr>
          <w:rFonts w:hint="eastAsia"/>
        </w:rPr>
        <w:t>篇，其中择时组</w:t>
      </w:r>
      <w:r w:rsidR="00872CBA">
        <w:rPr>
          <w:rFonts w:hint="eastAsia"/>
        </w:rPr>
        <w:t>52</w:t>
      </w:r>
      <w:r w:rsidR="00872CBA">
        <w:rPr>
          <w:rFonts w:hint="eastAsia"/>
        </w:rPr>
        <w:t>人，发布了</w:t>
      </w:r>
      <w:r w:rsidR="00872CBA">
        <w:rPr>
          <w:rFonts w:hint="eastAsia"/>
        </w:rPr>
        <w:t>1,649</w:t>
      </w:r>
      <w:r w:rsidR="00872CBA">
        <w:rPr>
          <w:rFonts w:hint="eastAsia"/>
        </w:rPr>
        <w:t>份报告，非择时组</w:t>
      </w:r>
      <w:r w:rsidR="00872CBA">
        <w:rPr>
          <w:rFonts w:hint="eastAsia"/>
        </w:rPr>
        <w:t>185</w:t>
      </w:r>
      <w:r w:rsidR="00872CBA">
        <w:rPr>
          <w:rFonts w:hint="eastAsia"/>
        </w:rPr>
        <w:t>人，发布了</w:t>
      </w:r>
      <w:r w:rsidR="00872CBA">
        <w:rPr>
          <w:rFonts w:hint="eastAsia"/>
        </w:rPr>
        <w:t>6</w:t>
      </w:r>
      <w:r w:rsidR="00872CBA">
        <w:t>,</w:t>
      </w:r>
      <w:r w:rsidR="00872CBA">
        <w:rPr>
          <w:rFonts w:hint="eastAsia"/>
        </w:rPr>
        <w:t>192</w:t>
      </w:r>
      <w:r w:rsidR="00872CBA">
        <w:rPr>
          <w:rFonts w:hint="eastAsia"/>
        </w:rPr>
        <w:t>份深度报告。</w:t>
      </w:r>
    </w:p>
    <w:p w14:paraId="45F455BC" w14:textId="5C1EDE39" w:rsidR="00982E2D" w:rsidRDefault="00982E2D" w:rsidP="004757FE"/>
    <w:p w14:paraId="5F98AC4E" w14:textId="5F26F50A" w:rsidR="00FD2E8D" w:rsidRDefault="00FD2E8D" w:rsidP="00FD2E8D">
      <w:pPr>
        <w:pStyle w:val="ad"/>
      </w:pPr>
      <w:bookmarkStart w:id="38" w:name="_Ref50951353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8</w:t>
      </w:r>
      <w:r>
        <w:fldChar w:fldCharType="end"/>
      </w:r>
      <w:bookmarkEnd w:id="38"/>
      <w:r>
        <w:rPr>
          <w:noProof/>
        </w:rPr>
        <w:t xml:space="preserve"> </w:t>
      </w:r>
      <w:r>
        <w:rPr>
          <w:rFonts w:hint="eastAsia"/>
          <w:noProof/>
        </w:rPr>
        <w:t>超额收益率</w:t>
      </w:r>
      <w:r w:rsidR="008A792E">
        <w:rPr>
          <w:rFonts w:hint="eastAsia"/>
          <w:noProof/>
        </w:rPr>
        <w:t>（市场调整模型法）</w:t>
      </w:r>
      <w:r>
        <w:rPr>
          <w:rFonts w:hint="eastAsia"/>
          <w:noProof/>
        </w:rPr>
        <w:t>检验</w:t>
      </w:r>
    </w:p>
    <w:tbl>
      <w:tblPr>
        <w:tblStyle w:val="6"/>
        <w:tblW w:w="5000" w:type="pct"/>
        <w:tblLook w:val="06E0" w:firstRow="1" w:lastRow="1" w:firstColumn="1" w:lastColumn="0" w:noHBand="1" w:noVBand="1"/>
      </w:tblPr>
      <w:tblGrid>
        <w:gridCol w:w="994"/>
        <w:gridCol w:w="1817"/>
        <w:gridCol w:w="1817"/>
        <w:gridCol w:w="1851"/>
        <w:gridCol w:w="1827"/>
      </w:tblGrid>
      <w:tr w:rsidR="00FD2E8D" w:rsidRPr="004061B6" w14:paraId="6AC27F47" w14:textId="77777777" w:rsidTr="00FD2E8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8" w:type="pct"/>
            <w:noWrap/>
            <w:hideMark/>
          </w:tcPr>
          <w:p w14:paraId="37310B4E"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CAR</w:t>
            </w:r>
          </w:p>
        </w:tc>
        <w:tc>
          <w:tcPr>
            <w:tcW w:w="1094" w:type="pct"/>
            <w:noWrap/>
            <w:hideMark/>
          </w:tcPr>
          <w:p w14:paraId="6F8B75B1" w14:textId="77777777" w:rsidR="004061B6" w:rsidRPr="004061B6" w:rsidRDefault="004061B6"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Timing-HInfo</w:t>
            </w:r>
          </w:p>
        </w:tc>
        <w:tc>
          <w:tcPr>
            <w:tcW w:w="1094" w:type="pct"/>
            <w:noWrap/>
            <w:hideMark/>
          </w:tcPr>
          <w:p w14:paraId="542EF6A5" w14:textId="77777777" w:rsidR="004061B6" w:rsidRPr="004061B6" w:rsidRDefault="004061B6"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Timing-LInfo</w:t>
            </w:r>
          </w:p>
        </w:tc>
        <w:tc>
          <w:tcPr>
            <w:tcW w:w="1114" w:type="pct"/>
            <w:noWrap/>
            <w:hideMark/>
          </w:tcPr>
          <w:p w14:paraId="28B8EEC9" w14:textId="77777777" w:rsidR="004061B6" w:rsidRPr="004061B6" w:rsidRDefault="004061B6"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NonTiming-HInfo</w:t>
            </w:r>
          </w:p>
        </w:tc>
        <w:tc>
          <w:tcPr>
            <w:tcW w:w="1100" w:type="pct"/>
            <w:noWrap/>
            <w:hideMark/>
          </w:tcPr>
          <w:p w14:paraId="59AD5C80" w14:textId="77777777" w:rsidR="004061B6" w:rsidRPr="004061B6" w:rsidRDefault="004061B6"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NonTiming-LInfo</w:t>
            </w:r>
          </w:p>
        </w:tc>
      </w:tr>
      <w:tr w:rsidR="00FD2E8D" w:rsidRPr="004061B6" w14:paraId="0E5FAB4C"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4299AC65"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(-10,-6)</w:t>
            </w:r>
          </w:p>
        </w:tc>
        <w:tc>
          <w:tcPr>
            <w:tcW w:w="1094" w:type="pct"/>
            <w:hideMark/>
          </w:tcPr>
          <w:p w14:paraId="1C778439"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0.0086</w:t>
            </w:r>
          </w:p>
        </w:tc>
        <w:tc>
          <w:tcPr>
            <w:tcW w:w="1094" w:type="pct"/>
            <w:hideMark/>
          </w:tcPr>
          <w:p w14:paraId="301836E8"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0.0085</w:t>
            </w:r>
          </w:p>
        </w:tc>
        <w:tc>
          <w:tcPr>
            <w:tcW w:w="1114" w:type="pct"/>
            <w:hideMark/>
          </w:tcPr>
          <w:p w14:paraId="2BFF1E9A"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0.0096</w:t>
            </w:r>
          </w:p>
        </w:tc>
        <w:tc>
          <w:tcPr>
            <w:tcW w:w="1100" w:type="pct"/>
            <w:hideMark/>
          </w:tcPr>
          <w:p w14:paraId="7545B5E3"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0.0098</w:t>
            </w:r>
          </w:p>
        </w:tc>
      </w:tr>
      <w:tr w:rsidR="00FD2E8D" w:rsidRPr="004061B6" w14:paraId="657D527B"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073B3065" w14:textId="77777777" w:rsidR="004061B6" w:rsidRPr="004061B6" w:rsidRDefault="004061B6" w:rsidP="00374F88">
            <w:pPr>
              <w:widowControl/>
              <w:ind w:firstLineChars="0" w:firstLine="0"/>
              <w:jc w:val="left"/>
              <w:rPr>
                <w:color w:val="000000"/>
                <w:kern w:val="0"/>
                <w:sz w:val="21"/>
                <w:szCs w:val="21"/>
              </w:rPr>
            </w:pPr>
          </w:p>
        </w:tc>
        <w:tc>
          <w:tcPr>
            <w:tcW w:w="1094" w:type="pct"/>
            <w:hideMark/>
          </w:tcPr>
          <w:p w14:paraId="04BC457F"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(4.35)**</w:t>
            </w:r>
          </w:p>
        </w:tc>
        <w:tc>
          <w:tcPr>
            <w:tcW w:w="1094" w:type="pct"/>
            <w:hideMark/>
          </w:tcPr>
          <w:p w14:paraId="45C2D275"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(4.07)**</w:t>
            </w:r>
          </w:p>
        </w:tc>
        <w:tc>
          <w:tcPr>
            <w:tcW w:w="1114" w:type="pct"/>
            <w:hideMark/>
          </w:tcPr>
          <w:p w14:paraId="5E10AA9E"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(9.90)**</w:t>
            </w:r>
          </w:p>
        </w:tc>
        <w:tc>
          <w:tcPr>
            <w:tcW w:w="1100" w:type="pct"/>
            <w:hideMark/>
          </w:tcPr>
          <w:p w14:paraId="406E609E"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(9.56)**</w:t>
            </w:r>
          </w:p>
        </w:tc>
      </w:tr>
      <w:tr w:rsidR="00FD2E8D" w:rsidRPr="004061B6" w14:paraId="78772C4F"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13D224A9"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(-5,-1)</w:t>
            </w:r>
          </w:p>
        </w:tc>
        <w:tc>
          <w:tcPr>
            <w:tcW w:w="1094" w:type="pct"/>
            <w:hideMark/>
          </w:tcPr>
          <w:p w14:paraId="7FD5110D"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0.0259</w:t>
            </w:r>
          </w:p>
        </w:tc>
        <w:tc>
          <w:tcPr>
            <w:tcW w:w="1094" w:type="pct"/>
            <w:hideMark/>
          </w:tcPr>
          <w:p w14:paraId="2BFC1FA0"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0.0123</w:t>
            </w:r>
          </w:p>
        </w:tc>
        <w:tc>
          <w:tcPr>
            <w:tcW w:w="1114" w:type="pct"/>
            <w:hideMark/>
          </w:tcPr>
          <w:p w14:paraId="0256195E"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0.0242</w:t>
            </w:r>
          </w:p>
        </w:tc>
        <w:tc>
          <w:tcPr>
            <w:tcW w:w="1100" w:type="pct"/>
            <w:hideMark/>
          </w:tcPr>
          <w:p w14:paraId="3C17CF44"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0.0138</w:t>
            </w:r>
          </w:p>
        </w:tc>
      </w:tr>
      <w:tr w:rsidR="00FD2E8D" w:rsidRPr="004061B6" w14:paraId="534E6AF1"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0EEBC3EB" w14:textId="77777777" w:rsidR="004061B6" w:rsidRPr="004061B6" w:rsidRDefault="004061B6" w:rsidP="00374F88">
            <w:pPr>
              <w:widowControl/>
              <w:ind w:firstLineChars="0" w:firstLine="0"/>
              <w:jc w:val="left"/>
              <w:rPr>
                <w:color w:val="000000"/>
                <w:kern w:val="0"/>
                <w:sz w:val="21"/>
                <w:szCs w:val="21"/>
              </w:rPr>
            </w:pPr>
          </w:p>
        </w:tc>
        <w:tc>
          <w:tcPr>
            <w:tcW w:w="1094" w:type="pct"/>
            <w:hideMark/>
          </w:tcPr>
          <w:p w14:paraId="05C7D389"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(11.94)**</w:t>
            </w:r>
          </w:p>
        </w:tc>
        <w:tc>
          <w:tcPr>
            <w:tcW w:w="1094" w:type="pct"/>
            <w:hideMark/>
          </w:tcPr>
          <w:p w14:paraId="5E0AD4FB"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(6.07)**</w:t>
            </w:r>
          </w:p>
        </w:tc>
        <w:tc>
          <w:tcPr>
            <w:tcW w:w="1114" w:type="pct"/>
            <w:hideMark/>
          </w:tcPr>
          <w:p w14:paraId="60999373"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(21.42)**</w:t>
            </w:r>
          </w:p>
        </w:tc>
        <w:tc>
          <w:tcPr>
            <w:tcW w:w="1100" w:type="pct"/>
            <w:hideMark/>
          </w:tcPr>
          <w:p w14:paraId="7EBA7CB0"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(12.38)**</w:t>
            </w:r>
          </w:p>
        </w:tc>
      </w:tr>
      <w:tr w:rsidR="00FD2E8D" w:rsidRPr="004061B6" w14:paraId="3A9814A1"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026974E6"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0</w:t>
            </w:r>
          </w:p>
        </w:tc>
        <w:tc>
          <w:tcPr>
            <w:tcW w:w="1094" w:type="pct"/>
            <w:hideMark/>
          </w:tcPr>
          <w:p w14:paraId="22B64AC3"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0.0104</w:t>
            </w:r>
          </w:p>
        </w:tc>
        <w:tc>
          <w:tcPr>
            <w:tcW w:w="1094" w:type="pct"/>
            <w:hideMark/>
          </w:tcPr>
          <w:p w14:paraId="465EDEF4"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0.0045</w:t>
            </w:r>
          </w:p>
        </w:tc>
        <w:tc>
          <w:tcPr>
            <w:tcW w:w="1114" w:type="pct"/>
            <w:hideMark/>
          </w:tcPr>
          <w:p w14:paraId="409C0564"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0.0097</w:t>
            </w:r>
          </w:p>
        </w:tc>
        <w:tc>
          <w:tcPr>
            <w:tcW w:w="1100" w:type="pct"/>
            <w:hideMark/>
          </w:tcPr>
          <w:p w14:paraId="3C87A37F"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0.0042</w:t>
            </w:r>
          </w:p>
        </w:tc>
      </w:tr>
      <w:tr w:rsidR="00FD2E8D" w:rsidRPr="004061B6" w14:paraId="4B735FE7"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775C47FD" w14:textId="77777777" w:rsidR="004061B6" w:rsidRPr="004061B6" w:rsidRDefault="004061B6" w:rsidP="00374F88">
            <w:pPr>
              <w:widowControl/>
              <w:ind w:firstLineChars="0" w:firstLine="0"/>
              <w:jc w:val="left"/>
              <w:rPr>
                <w:color w:val="000000"/>
                <w:kern w:val="0"/>
                <w:sz w:val="21"/>
                <w:szCs w:val="21"/>
              </w:rPr>
            </w:pPr>
          </w:p>
        </w:tc>
        <w:tc>
          <w:tcPr>
            <w:tcW w:w="1094" w:type="pct"/>
            <w:hideMark/>
          </w:tcPr>
          <w:p w14:paraId="2A42BD82"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(9.17)**</w:t>
            </w:r>
          </w:p>
        </w:tc>
        <w:tc>
          <w:tcPr>
            <w:tcW w:w="1094" w:type="pct"/>
            <w:hideMark/>
          </w:tcPr>
          <w:p w14:paraId="5D6CDCCC"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(5.46)**</w:t>
            </w:r>
          </w:p>
        </w:tc>
        <w:tc>
          <w:tcPr>
            <w:tcW w:w="1114" w:type="pct"/>
            <w:hideMark/>
          </w:tcPr>
          <w:p w14:paraId="345F5D45"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(17.07)**</w:t>
            </w:r>
          </w:p>
        </w:tc>
        <w:tc>
          <w:tcPr>
            <w:tcW w:w="1100" w:type="pct"/>
            <w:hideMark/>
          </w:tcPr>
          <w:p w14:paraId="4989EDC4"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(9.11)**</w:t>
            </w:r>
          </w:p>
        </w:tc>
      </w:tr>
      <w:tr w:rsidR="00FD2E8D" w:rsidRPr="004061B6" w14:paraId="1274D7E6"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243309BF"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1</w:t>
            </w:r>
          </w:p>
        </w:tc>
        <w:tc>
          <w:tcPr>
            <w:tcW w:w="1094" w:type="pct"/>
            <w:hideMark/>
          </w:tcPr>
          <w:p w14:paraId="55099C48"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0.0062</w:t>
            </w:r>
          </w:p>
        </w:tc>
        <w:tc>
          <w:tcPr>
            <w:tcW w:w="1094" w:type="pct"/>
            <w:hideMark/>
          </w:tcPr>
          <w:p w14:paraId="6CBD6353"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0.0036</w:t>
            </w:r>
          </w:p>
        </w:tc>
        <w:tc>
          <w:tcPr>
            <w:tcW w:w="1114" w:type="pct"/>
            <w:hideMark/>
          </w:tcPr>
          <w:p w14:paraId="389859F1"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0.0059</w:t>
            </w:r>
          </w:p>
        </w:tc>
        <w:tc>
          <w:tcPr>
            <w:tcW w:w="1100" w:type="pct"/>
            <w:hideMark/>
          </w:tcPr>
          <w:p w14:paraId="47BF56E1"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0.0022</w:t>
            </w:r>
          </w:p>
        </w:tc>
      </w:tr>
      <w:tr w:rsidR="00FD2E8D" w:rsidRPr="004061B6" w14:paraId="07C6DED9"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278B4416" w14:textId="77777777" w:rsidR="004061B6" w:rsidRPr="004061B6" w:rsidRDefault="004061B6" w:rsidP="00374F88">
            <w:pPr>
              <w:widowControl/>
              <w:ind w:firstLineChars="0" w:firstLine="0"/>
              <w:jc w:val="left"/>
              <w:rPr>
                <w:color w:val="000000"/>
                <w:kern w:val="0"/>
                <w:sz w:val="21"/>
                <w:szCs w:val="21"/>
              </w:rPr>
            </w:pPr>
          </w:p>
        </w:tc>
        <w:tc>
          <w:tcPr>
            <w:tcW w:w="1094" w:type="pct"/>
            <w:hideMark/>
          </w:tcPr>
          <w:p w14:paraId="24BFB5F1"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(6.42)**</w:t>
            </w:r>
          </w:p>
        </w:tc>
        <w:tc>
          <w:tcPr>
            <w:tcW w:w="1094" w:type="pct"/>
            <w:hideMark/>
          </w:tcPr>
          <w:p w14:paraId="69B3AFFF"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(4.11)**</w:t>
            </w:r>
          </w:p>
        </w:tc>
        <w:tc>
          <w:tcPr>
            <w:tcW w:w="1114" w:type="pct"/>
            <w:hideMark/>
          </w:tcPr>
          <w:p w14:paraId="2D73B47C"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(11.17)**</w:t>
            </w:r>
          </w:p>
        </w:tc>
        <w:tc>
          <w:tcPr>
            <w:tcW w:w="1100" w:type="pct"/>
            <w:hideMark/>
          </w:tcPr>
          <w:p w14:paraId="4ADFD3A3"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(4.87)**</w:t>
            </w:r>
          </w:p>
        </w:tc>
      </w:tr>
      <w:tr w:rsidR="00FD2E8D" w:rsidRPr="004061B6" w14:paraId="5215E8AA"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735FDB02"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(2,6)</w:t>
            </w:r>
          </w:p>
        </w:tc>
        <w:tc>
          <w:tcPr>
            <w:tcW w:w="1094" w:type="pct"/>
            <w:hideMark/>
          </w:tcPr>
          <w:p w14:paraId="3F61D410"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0.0022</w:t>
            </w:r>
          </w:p>
        </w:tc>
        <w:tc>
          <w:tcPr>
            <w:tcW w:w="1094" w:type="pct"/>
            <w:hideMark/>
          </w:tcPr>
          <w:p w14:paraId="271138DD"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0.0038</w:t>
            </w:r>
          </w:p>
        </w:tc>
        <w:tc>
          <w:tcPr>
            <w:tcW w:w="1114" w:type="pct"/>
            <w:hideMark/>
          </w:tcPr>
          <w:p w14:paraId="5ABF41F6"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0.0025</w:t>
            </w:r>
          </w:p>
        </w:tc>
        <w:tc>
          <w:tcPr>
            <w:tcW w:w="1100" w:type="pct"/>
            <w:hideMark/>
          </w:tcPr>
          <w:p w14:paraId="765265BD"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0.0033</w:t>
            </w:r>
          </w:p>
        </w:tc>
      </w:tr>
      <w:tr w:rsidR="00FD2E8D" w:rsidRPr="004061B6" w14:paraId="2A818C3A"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2D8B95E7" w14:textId="77777777" w:rsidR="004061B6" w:rsidRPr="004061B6" w:rsidRDefault="004061B6" w:rsidP="00374F88">
            <w:pPr>
              <w:widowControl/>
              <w:ind w:firstLineChars="0" w:firstLine="0"/>
              <w:jc w:val="left"/>
              <w:rPr>
                <w:color w:val="000000"/>
                <w:kern w:val="0"/>
                <w:sz w:val="21"/>
                <w:szCs w:val="21"/>
              </w:rPr>
            </w:pPr>
          </w:p>
        </w:tc>
        <w:tc>
          <w:tcPr>
            <w:tcW w:w="1094" w:type="pct"/>
            <w:hideMark/>
          </w:tcPr>
          <w:p w14:paraId="5F029815"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(1.15)</w:t>
            </w:r>
          </w:p>
        </w:tc>
        <w:tc>
          <w:tcPr>
            <w:tcW w:w="1094" w:type="pct"/>
            <w:hideMark/>
          </w:tcPr>
          <w:p w14:paraId="01913D51"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(1.80)</w:t>
            </w:r>
          </w:p>
        </w:tc>
        <w:tc>
          <w:tcPr>
            <w:tcW w:w="1114" w:type="pct"/>
            <w:hideMark/>
          </w:tcPr>
          <w:p w14:paraId="3BE9FE2E"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(2.43)*</w:t>
            </w:r>
          </w:p>
        </w:tc>
        <w:tc>
          <w:tcPr>
            <w:tcW w:w="1100" w:type="pct"/>
            <w:hideMark/>
          </w:tcPr>
          <w:p w14:paraId="1AC8F591"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(3.08)**</w:t>
            </w:r>
          </w:p>
        </w:tc>
      </w:tr>
      <w:tr w:rsidR="00FD2E8D" w:rsidRPr="004061B6" w14:paraId="5B7CCEFB"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46ED4AA9" w14:textId="77777777" w:rsidR="004061B6" w:rsidRPr="004061B6" w:rsidRDefault="004061B6" w:rsidP="00374F88">
            <w:pPr>
              <w:widowControl/>
              <w:ind w:firstLineChars="0" w:firstLine="0"/>
              <w:jc w:val="center"/>
              <w:rPr>
                <w:color w:val="000000"/>
                <w:kern w:val="0"/>
                <w:sz w:val="21"/>
                <w:szCs w:val="21"/>
              </w:rPr>
            </w:pPr>
            <w:r w:rsidRPr="004061B6">
              <w:rPr>
                <w:color w:val="000000"/>
                <w:kern w:val="0"/>
                <w:sz w:val="21"/>
                <w:szCs w:val="21"/>
              </w:rPr>
              <w:t>(7,11)</w:t>
            </w:r>
          </w:p>
        </w:tc>
        <w:tc>
          <w:tcPr>
            <w:tcW w:w="1094" w:type="pct"/>
            <w:hideMark/>
          </w:tcPr>
          <w:p w14:paraId="18561B13"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0.0008</w:t>
            </w:r>
          </w:p>
        </w:tc>
        <w:tc>
          <w:tcPr>
            <w:tcW w:w="1094" w:type="pct"/>
            <w:hideMark/>
          </w:tcPr>
          <w:p w14:paraId="3A596E09"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0.0007</w:t>
            </w:r>
          </w:p>
        </w:tc>
        <w:tc>
          <w:tcPr>
            <w:tcW w:w="1114" w:type="pct"/>
            <w:hideMark/>
          </w:tcPr>
          <w:p w14:paraId="13DF29B6"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0.0016</w:t>
            </w:r>
          </w:p>
        </w:tc>
        <w:tc>
          <w:tcPr>
            <w:tcW w:w="1100" w:type="pct"/>
            <w:hideMark/>
          </w:tcPr>
          <w:p w14:paraId="734FE7CE"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0.0021</w:t>
            </w:r>
          </w:p>
        </w:tc>
      </w:tr>
      <w:tr w:rsidR="00FD2E8D" w:rsidRPr="004061B6" w14:paraId="721CB065"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5E1D6AD8" w14:textId="77777777" w:rsidR="004061B6" w:rsidRPr="004061B6" w:rsidRDefault="004061B6" w:rsidP="00374F88">
            <w:pPr>
              <w:widowControl/>
              <w:ind w:firstLineChars="0" w:firstLine="0"/>
              <w:jc w:val="left"/>
              <w:rPr>
                <w:color w:val="000000"/>
                <w:kern w:val="0"/>
                <w:sz w:val="21"/>
                <w:szCs w:val="21"/>
              </w:rPr>
            </w:pPr>
          </w:p>
        </w:tc>
        <w:tc>
          <w:tcPr>
            <w:tcW w:w="1094" w:type="pct"/>
            <w:hideMark/>
          </w:tcPr>
          <w:p w14:paraId="2998BD62"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(0.45)</w:t>
            </w:r>
          </w:p>
        </w:tc>
        <w:tc>
          <w:tcPr>
            <w:tcW w:w="1094" w:type="pct"/>
            <w:hideMark/>
          </w:tcPr>
          <w:p w14:paraId="63A61511"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(0.40)</w:t>
            </w:r>
          </w:p>
        </w:tc>
        <w:tc>
          <w:tcPr>
            <w:tcW w:w="1114" w:type="pct"/>
            <w:hideMark/>
          </w:tcPr>
          <w:p w14:paraId="75831D6A"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(1.77)</w:t>
            </w:r>
          </w:p>
        </w:tc>
        <w:tc>
          <w:tcPr>
            <w:tcW w:w="1100" w:type="pct"/>
            <w:hideMark/>
          </w:tcPr>
          <w:p w14:paraId="420C6F75" w14:textId="77777777" w:rsidR="004061B6" w:rsidRPr="004061B6" w:rsidRDefault="004061B6"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(2.09)*</w:t>
            </w:r>
          </w:p>
        </w:tc>
      </w:tr>
      <w:tr w:rsidR="00FD2E8D" w:rsidRPr="004061B6" w14:paraId="3F56B3A5" w14:textId="77777777" w:rsidTr="00FD2E8D">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8" w:type="pct"/>
            <w:hideMark/>
          </w:tcPr>
          <w:p w14:paraId="51A80B2D" w14:textId="77777777" w:rsidR="004061B6" w:rsidRPr="004061B6" w:rsidRDefault="004061B6" w:rsidP="00374F88">
            <w:pPr>
              <w:widowControl/>
              <w:ind w:firstLineChars="0" w:firstLine="0"/>
              <w:jc w:val="center"/>
              <w:rPr>
                <w:i/>
                <w:iCs/>
                <w:color w:val="000000"/>
                <w:kern w:val="0"/>
                <w:sz w:val="21"/>
                <w:szCs w:val="21"/>
              </w:rPr>
            </w:pPr>
            <w:r w:rsidRPr="004061B6">
              <w:rPr>
                <w:i/>
                <w:iCs/>
                <w:color w:val="000000"/>
                <w:kern w:val="0"/>
                <w:sz w:val="21"/>
                <w:szCs w:val="21"/>
              </w:rPr>
              <w:t>N</w:t>
            </w:r>
          </w:p>
        </w:tc>
        <w:tc>
          <w:tcPr>
            <w:tcW w:w="1094" w:type="pct"/>
            <w:hideMark/>
          </w:tcPr>
          <w:p w14:paraId="36C19A2F" w14:textId="77777777" w:rsidR="004061B6" w:rsidRPr="004061B6" w:rsidRDefault="004061B6"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844</w:t>
            </w:r>
          </w:p>
        </w:tc>
        <w:tc>
          <w:tcPr>
            <w:tcW w:w="1094" w:type="pct"/>
            <w:hideMark/>
          </w:tcPr>
          <w:p w14:paraId="3C44D8F0" w14:textId="77777777" w:rsidR="004061B6" w:rsidRPr="004061B6" w:rsidRDefault="004061B6"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805</w:t>
            </w:r>
          </w:p>
        </w:tc>
        <w:tc>
          <w:tcPr>
            <w:tcW w:w="1114" w:type="pct"/>
            <w:hideMark/>
          </w:tcPr>
          <w:p w14:paraId="38433D30" w14:textId="77777777" w:rsidR="004061B6" w:rsidRPr="004061B6" w:rsidRDefault="004061B6"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3,191</w:t>
            </w:r>
          </w:p>
        </w:tc>
        <w:tc>
          <w:tcPr>
            <w:tcW w:w="1100" w:type="pct"/>
            <w:hideMark/>
          </w:tcPr>
          <w:p w14:paraId="068F37A7" w14:textId="77777777" w:rsidR="004061B6" w:rsidRPr="004061B6" w:rsidRDefault="004061B6"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4061B6">
              <w:rPr>
                <w:color w:val="000000"/>
                <w:kern w:val="0"/>
                <w:sz w:val="21"/>
                <w:szCs w:val="21"/>
              </w:rPr>
              <w:t>3,001</w:t>
            </w:r>
          </w:p>
        </w:tc>
      </w:tr>
    </w:tbl>
    <w:p w14:paraId="1CC332BC" w14:textId="77777777" w:rsidR="008A792E" w:rsidRDefault="008A792E" w:rsidP="008A792E">
      <w:pPr>
        <w:pStyle w:val="ae"/>
      </w:pPr>
      <w:r>
        <w:rPr>
          <w:rFonts w:hint="eastAsia"/>
        </w:rPr>
        <w:t>注：</w:t>
      </w:r>
      <w:r>
        <w:t xml:space="preserve">* </w:t>
      </w:r>
      <w:r>
        <w:rPr>
          <w:i/>
          <w:iCs/>
        </w:rPr>
        <w:t>p</w:t>
      </w:r>
      <w:r>
        <w:t xml:space="preserve">&lt;0.05; ** </w:t>
      </w:r>
      <w:r>
        <w:rPr>
          <w:i/>
          <w:iCs/>
        </w:rPr>
        <w:t>p</w:t>
      </w:r>
      <w:r>
        <w:t>&lt;0.01</w:t>
      </w:r>
    </w:p>
    <w:p w14:paraId="2DD6A47C" w14:textId="77777777" w:rsidR="00872CBA" w:rsidRDefault="00872CBA" w:rsidP="00872CBA">
      <w:r>
        <w:rPr>
          <w:rFonts w:hint="eastAsia"/>
        </w:rPr>
        <w:lastRenderedPageBreak/>
        <w:t>根据前文的分析，如果分析师倾向于对投资者情绪择时，则回归系数应显著为正，如果分析师并未针对投资者情绪进行择时，则自变量回归系数不显著。然后根据回归系数的显著性将分析师分为择时和非择时组，进一步对比其发布报告后的市场反应。</w:t>
      </w:r>
    </w:p>
    <w:p w14:paraId="167BED20" w14:textId="26DD5602" w:rsidR="000C0856" w:rsidRDefault="00AC389E" w:rsidP="004757FE">
      <w:r>
        <w:fldChar w:fldCharType="begin"/>
      </w:r>
      <w:r>
        <w:instrText xml:space="preserve"> </w:instrText>
      </w:r>
      <w:r>
        <w:rPr>
          <w:rFonts w:hint="eastAsia"/>
        </w:rPr>
        <w:instrText>REF _Ref509513538 \h</w:instrText>
      </w:r>
      <w:r>
        <w:instrText xml:space="preserve"> </w:instrText>
      </w:r>
      <w:r>
        <w:fldChar w:fldCharType="separate"/>
      </w:r>
      <w:r w:rsidR="00A17E1F">
        <w:rPr>
          <w:rFonts w:hint="eastAsia"/>
        </w:rPr>
        <w:t>表</w:t>
      </w:r>
      <w:r w:rsidR="00A17E1F">
        <w:rPr>
          <w:noProof/>
        </w:rPr>
        <w:t>8</w:t>
      </w:r>
      <w:r>
        <w:fldChar w:fldCharType="end"/>
      </w:r>
      <w:r w:rsidR="008A792E">
        <w:rPr>
          <w:rFonts w:hint="eastAsia"/>
        </w:rPr>
        <w:t>的检验结果</w:t>
      </w:r>
      <w:r w:rsidR="00872CBA">
        <w:rPr>
          <w:rFonts w:hint="eastAsia"/>
        </w:rPr>
        <w:t>显示</w:t>
      </w:r>
      <w:r w:rsidR="008A792E">
        <w:rPr>
          <w:rFonts w:hint="eastAsia"/>
        </w:rPr>
        <w:t>，无论分析师是否进行了关于投资者情绪的择时，在报告发布前两周、报告发布当天及第二天都有显著为正的超额收益，但在报告发布后两周内，择时组的超额收益率不再显著，非择时组的超额收益率则直至第二周仍然显著。其次对比高信息含量与</w:t>
      </w:r>
      <w:r w:rsidR="000C0856">
        <w:rPr>
          <w:rFonts w:hint="eastAsia"/>
        </w:rPr>
        <w:t>低</w:t>
      </w:r>
      <w:r w:rsidR="008A792E">
        <w:rPr>
          <w:rFonts w:hint="eastAsia"/>
        </w:rPr>
        <w:t>信息含量</w:t>
      </w:r>
      <w:r w:rsidR="000C0856">
        <w:rPr>
          <w:rFonts w:hint="eastAsia"/>
        </w:rPr>
        <w:t>组</w:t>
      </w:r>
      <w:r w:rsidR="008A792E">
        <w:rPr>
          <w:rFonts w:hint="eastAsia"/>
        </w:rPr>
        <w:t>，发现总体来看高信息含量的报告产生的超额收益率</w:t>
      </w:r>
      <w:r w:rsidR="000C0856">
        <w:rPr>
          <w:rFonts w:hint="eastAsia"/>
        </w:rPr>
        <w:t>要高于低信息含量的报告。因此市场可以识别分析师在发布报告时的择时行为，并对此进行了一定程度的定价。</w:t>
      </w:r>
    </w:p>
    <w:p w14:paraId="14F413AD" w14:textId="77777777" w:rsidR="002B7056" w:rsidRPr="002B7056" w:rsidRDefault="002B7056" w:rsidP="004757FE">
      <w:pPr>
        <w:rPr>
          <w:rFonts w:hint="eastAsia"/>
        </w:rPr>
      </w:pPr>
    </w:p>
    <w:p w14:paraId="027AD76B" w14:textId="77777777" w:rsidR="00C51E79" w:rsidRDefault="00C51E79" w:rsidP="002E3E1D">
      <w:pPr>
        <w:pStyle w:val="2"/>
      </w:pPr>
      <w:bookmarkStart w:id="39" w:name="_Toc509527761"/>
      <w:r>
        <w:rPr>
          <w:rFonts w:hint="eastAsia"/>
        </w:rPr>
        <w:t>稳健性检验</w:t>
      </w:r>
      <w:bookmarkEnd w:id="39"/>
    </w:p>
    <w:p w14:paraId="3783CBD9" w14:textId="79A06764" w:rsidR="000C0856" w:rsidRDefault="000C0856" w:rsidP="00AE6F69">
      <w:pPr>
        <w:pStyle w:val="3"/>
        <w:numPr>
          <w:ilvl w:val="0"/>
          <w:numId w:val="21"/>
        </w:numPr>
        <w:ind w:firstLineChars="0"/>
      </w:pPr>
      <w:bookmarkStart w:id="40" w:name="_Toc509527762"/>
      <w:r>
        <w:rPr>
          <w:rFonts w:hint="eastAsia"/>
        </w:rPr>
        <w:t>控制宏观经济变量</w:t>
      </w:r>
      <w:bookmarkEnd w:id="40"/>
      <w:r w:rsidR="008B3B3D">
        <w:rPr>
          <w:rFonts w:hint="eastAsia"/>
        </w:rPr>
        <w:t>的影响</w:t>
      </w:r>
      <w:bookmarkStart w:id="41" w:name="_GoBack"/>
      <w:bookmarkEnd w:id="41"/>
    </w:p>
    <w:p w14:paraId="1DD0C79D" w14:textId="77777777" w:rsidR="000C0856" w:rsidRPr="000C0856" w:rsidRDefault="000C0856" w:rsidP="000C0856">
      <w:pPr>
        <w:rPr>
          <w:rFonts w:hint="eastAsia"/>
        </w:rPr>
      </w:pPr>
    </w:p>
    <w:p w14:paraId="27209522" w14:textId="095562F4" w:rsidR="000C0856" w:rsidRPr="000C0856" w:rsidRDefault="001204D5" w:rsidP="000C0856">
      <w:pPr>
        <w:pStyle w:val="3"/>
        <w:rPr>
          <w:rFonts w:hint="eastAsia"/>
        </w:rPr>
      </w:pPr>
      <w:bookmarkStart w:id="42" w:name="_Toc509527763"/>
      <w:r>
        <w:rPr>
          <w:rFonts w:hint="eastAsia"/>
        </w:rPr>
        <w:t>使用</w:t>
      </w:r>
      <w:r w:rsidR="000C0856">
        <w:rPr>
          <w:rFonts w:hint="eastAsia"/>
        </w:rPr>
        <w:t>不同方法</w:t>
      </w:r>
      <w:r>
        <w:rPr>
          <w:rFonts w:hint="eastAsia"/>
        </w:rPr>
        <w:t>计算</w:t>
      </w:r>
      <w:r w:rsidR="000C0856">
        <w:rPr>
          <w:rFonts w:hint="eastAsia"/>
        </w:rPr>
        <w:t>超额收益</w:t>
      </w:r>
      <w:bookmarkEnd w:id="42"/>
    </w:p>
    <w:p w14:paraId="3EA5EFBF" w14:textId="5B93ECB2" w:rsidR="00977F82" w:rsidRDefault="000C0856" w:rsidP="00977F82">
      <w:r>
        <w:rPr>
          <w:rFonts w:hint="eastAsia"/>
        </w:rPr>
        <w:t>为了考察市场对分析师择时行为的识别结论是否与超额收益的计算方式相关，</w:t>
      </w:r>
      <w:r w:rsidR="00977F82">
        <w:rPr>
          <w:rFonts w:hint="eastAsia"/>
        </w:rPr>
        <w:t>本文</w:t>
      </w:r>
      <w:r>
        <w:rPr>
          <w:rFonts w:hint="eastAsia"/>
        </w:rPr>
        <w:t>重新</w:t>
      </w:r>
      <w:r w:rsidR="00977F82">
        <w:rPr>
          <w:rFonts w:hint="eastAsia"/>
        </w:rPr>
        <w:t>采用市场模型法计算超额收益率，以报告发布前</w:t>
      </w:r>
      <w:r w:rsidR="00977F82">
        <w:rPr>
          <w:rFonts w:hint="eastAsia"/>
        </w:rPr>
        <w:t>50</w:t>
      </w:r>
      <w:r w:rsidR="00977F82">
        <w:rPr>
          <w:rFonts w:hint="eastAsia"/>
        </w:rPr>
        <w:t>日至前</w:t>
      </w:r>
      <w:r w:rsidR="00977F82">
        <w:rPr>
          <w:rFonts w:hint="eastAsia"/>
        </w:rPr>
        <w:t>10</w:t>
      </w:r>
      <w:r w:rsidR="00977F82">
        <w:rPr>
          <w:rFonts w:hint="eastAsia"/>
        </w:rPr>
        <w:t>日</w:t>
      </w:r>
      <w:r>
        <w:rPr>
          <w:rFonts w:hint="eastAsia"/>
        </w:rPr>
        <w:t>的</w:t>
      </w:r>
      <w:r w:rsidR="00977F82">
        <w:rPr>
          <w:rFonts w:hint="eastAsia"/>
        </w:rPr>
        <w:t>40</w:t>
      </w:r>
      <w:r w:rsidR="00977F82">
        <w:rPr>
          <w:rFonts w:hint="eastAsia"/>
        </w:rPr>
        <w:t>个交易日为估计窗口，</w:t>
      </w:r>
      <w:r w:rsidR="00B760B4">
        <w:rPr>
          <w:rFonts w:hint="eastAsia"/>
        </w:rPr>
        <w:t>剔除了</w:t>
      </w:r>
      <w:r w:rsidR="00B760B4">
        <w:rPr>
          <w:rFonts w:hint="eastAsia"/>
        </w:rPr>
        <w:t>425</w:t>
      </w:r>
      <w:r w:rsidR="00B760B4">
        <w:rPr>
          <w:rFonts w:hint="eastAsia"/>
        </w:rPr>
        <w:t>份估计窗样本不足的报告。</w:t>
      </w:r>
      <w:r w:rsidR="00977F82" w:rsidRPr="00DE6D57">
        <w:rPr>
          <w:rFonts w:hint="eastAsia"/>
        </w:rPr>
        <w:t>根据市场模型的公式</w:t>
      </w:r>
    </w:p>
    <w:p w14:paraId="7EEB4015" w14:textId="77777777" w:rsidR="00977F82" w:rsidRPr="00DE6D57" w:rsidRDefault="00977F82" w:rsidP="00977F82">
      <m:oMathPara>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i,t</m:t>
              </m:r>
            </m:sub>
          </m:sSub>
        </m:oMath>
      </m:oMathPara>
    </w:p>
    <w:p w14:paraId="2BD8BD83" w14:textId="77777777" w:rsidR="00977F82" w:rsidRDefault="00977F82" w:rsidP="00977F82">
      <w:r>
        <w:rPr>
          <w:rFonts w:hint="eastAsia"/>
        </w:rPr>
        <w:t>回归得到</w:t>
      </w:r>
      <m:oMath>
        <m:acc>
          <m:accPr>
            <m:ctrlPr>
              <w:rPr>
                <w:rFonts w:ascii="Cambria Math" w:hAnsi="Cambria Math"/>
                <w:i/>
              </w:rPr>
            </m:ctrlPr>
          </m:accPr>
          <m:e>
            <m:sSub>
              <m:sSubPr>
                <m:ctrlPr>
                  <w:rPr>
                    <w:rFonts w:ascii="Cambria Math" w:hAnsi="Cambria Math"/>
                    <w:i/>
                  </w:rPr>
                </m:ctrlPr>
              </m:sSubPr>
              <m:e>
                <m:r>
                  <w:rPr>
                    <w:rFonts w:ascii="Cambria Math" w:hAnsi="Cambria Math" w:hint="eastAsia"/>
                  </w:rPr>
                  <m:t>α</m:t>
                </m:r>
              </m:e>
              <m:sub>
                <m:r>
                  <w:rPr>
                    <w:rFonts w:ascii="Cambria Math" w:hAnsi="Cambria Math"/>
                  </w:rPr>
                  <m:t>i</m:t>
                </m:r>
              </m:sub>
            </m:sSub>
          </m:e>
        </m:acc>
      </m:oMath>
      <w:r>
        <w:rPr>
          <w:rFonts w:hint="eastAsia"/>
        </w:rPr>
        <w:t>和</w:t>
      </w:r>
      <m:oMath>
        <m:acc>
          <m:accPr>
            <m:ctrlPr>
              <w:rPr>
                <w:rFonts w:ascii="Cambria Math" w:hAnsi="Cambria Math"/>
                <w:i/>
              </w:rPr>
            </m:ctrlPr>
          </m:accPr>
          <m:e>
            <m:sSub>
              <m:sSubPr>
                <m:ctrlPr>
                  <w:rPr>
                    <w:rFonts w:ascii="Cambria Math" w:hAnsi="Cambria Math"/>
                    <w:i/>
                  </w:rPr>
                </m:ctrlPr>
              </m:sSubPr>
              <m:e>
                <m:r>
                  <w:rPr>
                    <w:rFonts w:ascii="Cambria Math" w:hAnsi="Cambria Math" w:hint="eastAsia"/>
                  </w:rPr>
                  <m:t>β</m:t>
                </m:r>
              </m:e>
              <m:sub>
                <m:r>
                  <w:rPr>
                    <w:rFonts w:ascii="Cambria Math" w:hAnsi="Cambria Math"/>
                  </w:rPr>
                  <m:t>i</m:t>
                </m:r>
              </m:sub>
            </m:sSub>
          </m:e>
        </m:acc>
      </m:oMath>
      <w:r>
        <w:rPr>
          <w:rFonts w:hint="eastAsia"/>
        </w:rPr>
        <w:t>，则股票</w:t>
      </w:r>
      <m:oMath>
        <m:r>
          <w:rPr>
            <w:rFonts w:ascii="Cambria Math" w:hAnsi="Cambria Math"/>
          </w:rPr>
          <m:t>i</m:t>
        </m:r>
      </m:oMath>
      <w:r>
        <w:rPr>
          <w:rFonts w:hint="eastAsia"/>
        </w:rPr>
        <w:t>的正常收益率</w:t>
      </w:r>
    </w:p>
    <w:p w14:paraId="220673B2" w14:textId="43945048" w:rsidR="00977F82" w:rsidRPr="00271171" w:rsidRDefault="00977F82" w:rsidP="00977F82">
      <m:oMathPara>
        <m:oMath>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α</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β</m:t>
                  </m:r>
                </m:e>
                <m:sub>
                  <m:r>
                    <w:rPr>
                      <w:rFonts w:ascii="Cambria Math" w:hAnsi="Cambria Math"/>
                    </w:rPr>
                    <m:t>i</m:t>
                  </m:r>
                </m:sub>
              </m:sSub>
            </m:e>
          </m:acc>
          <m:sSub>
            <m:sSubPr>
              <m:ctrlPr>
                <w:rPr>
                  <w:rFonts w:ascii="Cambria Math" w:hAnsi="Cambria Math"/>
                  <w:i/>
                </w:rPr>
              </m:ctrlPr>
            </m:sSubPr>
            <m:e>
              <m:r>
                <w:rPr>
                  <w:rFonts w:ascii="Cambria Math" w:hAnsi="Cambria Math"/>
                </w:rPr>
                <m:t>R</m:t>
              </m:r>
            </m:e>
            <m:sub>
              <m:r>
                <w:rPr>
                  <w:rFonts w:ascii="Cambria Math" w:hAnsi="Cambria Math"/>
                </w:rPr>
                <m:t>m,t</m:t>
              </m:r>
            </m:sub>
          </m:sSub>
        </m:oMath>
      </m:oMathPara>
    </w:p>
    <w:p w14:paraId="6C913620" w14:textId="3B0CAB34" w:rsidR="00977F82" w:rsidRDefault="00977F82" w:rsidP="00977F82">
      <w:r>
        <w:rPr>
          <w:rFonts w:hint="eastAsia"/>
        </w:rPr>
        <w:t>以</w:t>
      </w:r>
      <m:oMath>
        <m:sSub>
          <m:sSubPr>
            <m:ctrlPr>
              <w:rPr>
                <w:rFonts w:ascii="Cambria Math" w:hAnsi="Cambria Math"/>
              </w:rPr>
            </m:ctrlPr>
          </m:sSubPr>
          <m:e>
            <m:r>
              <w:rPr>
                <w:rFonts w:ascii="Cambria Math" w:hAnsi="Cambria Math"/>
              </w:rPr>
              <m:t>AR</m:t>
            </m:r>
          </m:e>
          <m:sub>
            <m:r>
              <w:rPr>
                <w:rFonts w:ascii="Cambria Math" w:hAnsi="Cambria Math"/>
              </w:rPr>
              <m:t>i,t</m:t>
            </m:r>
          </m:sub>
        </m:sSub>
      </m:oMath>
      <w:r>
        <w:rPr>
          <w:rFonts w:hint="eastAsia"/>
        </w:rPr>
        <w:t>表示股票</w:t>
      </w:r>
      <m:oMath>
        <m:r>
          <w:rPr>
            <w:rFonts w:ascii="Cambria Math" w:hAnsi="Cambria Math"/>
          </w:rPr>
          <m:t>i</m:t>
        </m:r>
      </m:oMath>
      <w:r>
        <w:rPr>
          <w:rFonts w:hint="eastAsia"/>
        </w:rPr>
        <w:t>第</w:t>
      </w:r>
      <m:oMath>
        <m:r>
          <w:rPr>
            <w:rFonts w:ascii="Cambria Math" w:hAnsi="Cambria Math"/>
          </w:rPr>
          <m:t>t</m:t>
        </m:r>
      </m:oMath>
      <w:r>
        <w:rPr>
          <w:rFonts w:hint="eastAsia"/>
        </w:rPr>
        <w:t>日的超额收益率，则</w:t>
      </w:r>
    </w:p>
    <w:p w14:paraId="19D647E3" w14:textId="77777777" w:rsidR="00977F82" w:rsidRPr="00C272DC" w:rsidRDefault="00977F82" w:rsidP="00977F82">
      <m:oMathPara>
        <m:oMath>
          <m:sSub>
            <m:sSubPr>
              <m:ctrlPr>
                <w:rPr>
                  <w:rFonts w:ascii="Cambria Math" w:hAnsi="Cambria Math"/>
                </w:rPr>
              </m:ctrlPr>
            </m:sSubPr>
            <m:e>
              <m:r>
                <w:rPr>
                  <w:rFonts w:ascii="Cambria Math" w:hAnsi="Cambria Math"/>
                </w:rPr>
                <m:t>AR</m:t>
              </m:r>
            </m:e>
            <m:sub>
              <m:r>
                <w:rPr>
                  <w:rFonts w:ascii="Cambria Math" w:hAnsi="Cambria Math"/>
                </w:rPr>
                <m:t>i,t</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微软雅黑" w:eastAsia="微软雅黑" w:hAnsi="微软雅黑" w:cs="微软雅黑" w:hint="eastAsia"/>
            </w:rPr>
            <m:t>-</m:t>
          </m:r>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i,t</m:t>
                  </m:r>
                </m:sub>
              </m:sSub>
              <m:ctrlPr>
                <w:rPr>
                  <w:rFonts w:ascii="Cambria Math" w:hAnsi="Cambria Math"/>
                </w:rPr>
              </m:ctrlP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α</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β</m:t>
                  </m:r>
                </m:e>
                <m:sub>
                  <m:r>
                    <w:rPr>
                      <w:rFonts w:ascii="Cambria Math" w:hAnsi="Cambria Math"/>
                    </w:rPr>
                    <m:t>i</m:t>
                  </m:r>
                </m:sub>
              </m:sSub>
            </m:e>
          </m:acc>
          <m:sSub>
            <m:sSubPr>
              <m:ctrlPr>
                <w:rPr>
                  <w:rFonts w:ascii="Cambria Math" w:hAnsi="Cambria Math"/>
                  <w:i/>
                </w:rPr>
              </m:ctrlPr>
            </m:sSubPr>
            <m:e>
              <m:r>
                <w:rPr>
                  <w:rFonts w:ascii="Cambria Math" w:hAnsi="Cambria Math"/>
                </w:rPr>
                <m:t>R</m:t>
              </m:r>
            </m:e>
            <m:sub>
              <m:r>
                <w:rPr>
                  <w:rFonts w:ascii="Cambria Math" w:hAnsi="Cambria Math"/>
                </w:rPr>
                <m:t>m,t</m:t>
              </m:r>
            </m:sub>
          </m:sSub>
        </m:oMath>
      </m:oMathPara>
    </w:p>
    <w:p w14:paraId="4C90966C" w14:textId="482DEFBD" w:rsidR="00977F82" w:rsidRDefault="00977F82" w:rsidP="00977F82">
      <w:r>
        <w:rPr>
          <w:rFonts w:hint="eastAsia"/>
        </w:rPr>
        <w:t>以</w:t>
      </w:r>
      <m:oMath>
        <m:sSub>
          <m:sSubPr>
            <m:ctrlPr>
              <w:rPr>
                <w:rFonts w:ascii="Cambria Math" w:hAnsi="Cambria Math"/>
              </w:rPr>
            </m:ctrlPr>
          </m:sSubPr>
          <m:e>
            <m:r>
              <w:rPr>
                <w:rFonts w:ascii="Cambria Math" w:hAnsi="Cambria Math"/>
              </w:rPr>
              <m:t>ACAR</m:t>
            </m:r>
          </m:e>
          <m:sub>
            <m:r>
              <w:rPr>
                <w:rFonts w:ascii="Cambria Math" w:hAnsi="Cambria Math"/>
              </w:rPr>
              <m:t>t1,t2</m:t>
            </m:r>
          </m:sub>
        </m:sSub>
      </m:oMath>
      <w:r>
        <w:rPr>
          <w:rFonts w:hint="eastAsia"/>
        </w:rPr>
        <w:t>表示</w:t>
      </w:r>
      <m:oMath>
        <m:r>
          <m:rPr>
            <m:sty m:val="p"/>
          </m:rPr>
          <w:rPr>
            <w:rFonts w:ascii="Cambria Math" w:hAnsi="Cambria Math"/>
          </w:rPr>
          <m:t>(</m:t>
        </m:r>
        <m:r>
          <w:rPr>
            <w:rFonts w:ascii="Cambria Math" w:hAnsi="Cambria Math"/>
          </w:rPr>
          <m:t>t1</m:t>
        </m:r>
        <m:r>
          <m:rPr>
            <m:sty m:val="p"/>
          </m:rPr>
          <w:rPr>
            <w:rFonts w:ascii="Cambria Math" w:hAnsi="Cambria Math"/>
          </w:rPr>
          <m:t>,</m:t>
        </m:r>
        <m:r>
          <w:rPr>
            <w:rFonts w:ascii="Cambria Math" w:hAnsi="Cambria Math"/>
          </w:rPr>
          <m:t>t2</m:t>
        </m:r>
        <m:r>
          <m:rPr>
            <m:sty m:val="p"/>
          </m:rPr>
          <w:rPr>
            <w:rFonts w:ascii="Cambria Math" w:hAnsi="Cambria Math"/>
          </w:rPr>
          <m:t>)</m:t>
        </m:r>
      </m:oMath>
      <w:r>
        <w:rPr>
          <w:rFonts w:hint="eastAsia"/>
        </w:rPr>
        <w:t>期间的平均累积超额收益率（</w:t>
      </w:r>
      <w:r>
        <w:t>Average Cumulative Abnormal Return</w:t>
      </w:r>
      <w:r>
        <w:rPr>
          <w:rFonts w:hint="eastAsia"/>
        </w:rPr>
        <w:t>），</w:t>
      </w:r>
      <m:oMath>
        <m:r>
          <w:rPr>
            <w:rFonts w:ascii="Cambria Math" w:hAnsi="Cambria Math"/>
          </w:rPr>
          <m:t>N</m:t>
        </m:r>
      </m:oMath>
      <w:r>
        <w:rPr>
          <w:rFonts w:hint="eastAsia"/>
        </w:rPr>
        <w:t>表示报告数量，平均累积超额收益率计算公式如下</w:t>
      </w:r>
    </w:p>
    <w:p w14:paraId="61E78799" w14:textId="370DD905" w:rsidR="00977F82" w:rsidRPr="00AA4847" w:rsidRDefault="00977F82" w:rsidP="00977F82">
      <m:oMathPara>
        <m:oMath>
          <m:sSub>
            <m:sSubPr>
              <m:ctrlPr>
                <w:rPr>
                  <w:rFonts w:ascii="Cambria Math" w:hAnsi="Cambria Math"/>
                </w:rPr>
              </m:ctrlPr>
            </m:sSubPr>
            <m:e>
              <m:r>
                <w:rPr>
                  <w:rFonts w:ascii="Cambria Math" w:hAnsi="Cambria Math"/>
                </w:rPr>
                <m:t>ACAR</m:t>
              </m:r>
            </m:e>
            <m:sub>
              <m:r>
                <w:rPr>
                  <w:rFonts w:ascii="Cambria Math" w:hAnsi="Cambria Math"/>
                </w:rPr>
                <m:t>t1,t2</m:t>
              </m:r>
            </m:sub>
          </m:sSub>
          <m:r>
            <w:rPr>
              <w:rFonts w:ascii="Cambria Math" w:hAnsi="Cambria Math"/>
            </w:rPr>
            <m:t>=</m:t>
          </m:r>
          <m:nary>
            <m:naryPr>
              <m:chr m:val="∑"/>
              <m:limLoc m:val="undOvr"/>
              <m:ctrlPr>
                <w:rPr>
                  <w:rFonts w:ascii="Cambria Math" w:hAnsi="Cambria Math"/>
                  <w:i/>
                </w:rPr>
              </m:ctrlPr>
            </m:naryPr>
            <m:sub>
              <m:r>
                <w:rPr>
                  <w:rFonts w:ascii="Cambria Math" w:hAnsi="Cambria Math"/>
                </w:rPr>
                <m:t>t=t1</m:t>
              </m:r>
            </m:sub>
            <m:sup>
              <m:r>
                <w:rPr>
                  <w:rFonts w:ascii="Cambria Math" w:hAnsi="Cambria Math"/>
                </w:rPr>
                <m:t>t2</m:t>
              </m:r>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hAnsi="Cambria Math"/>
                </w:rPr>
                <m:t>)</m:t>
              </m:r>
            </m:e>
          </m:nary>
        </m:oMath>
      </m:oMathPara>
    </w:p>
    <w:p w14:paraId="1FFD07A8" w14:textId="5E8A9637" w:rsidR="00D87470" w:rsidRDefault="00977F82" w:rsidP="00591EA7">
      <w:r>
        <w:rPr>
          <w:rFonts w:hint="eastAsia"/>
        </w:rPr>
        <w:t>相应的检验统计量为</w:t>
      </w:r>
    </w:p>
    <w:p w14:paraId="05B1B020" w14:textId="109DF826" w:rsidR="00977F82" w:rsidRPr="00977F82" w:rsidRDefault="00977F82" w:rsidP="00591EA7">
      <m:oMathPara>
        <m:oMath>
          <m:r>
            <m:rPr>
              <m:sty m:val="p"/>
            </m:rPr>
            <w:rPr>
              <w:rFonts w:ascii="Cambria Math" w:hAnsi="Cambria Math"/>
            </w:rPr>
            <m:t>t=</m:t>
          </m:r>
          <m:f>
            <m:fPr>
              <m:ctrlPr>
                <w:rPr>
                  <w:rFonts w:ascii="Cambria Math" w:hAnsi="Cambria Math"/>
                  <w:i/>
                </w:rPr>
              </m:ctrlPr>
            </m:fPr>
            <m:num>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CAR</m:t>
                      </m:r>
                    </m:e>
                    <m:sub>
                      <m:r>
                        <w:rPr>
                          <w:rFonts w:ascii="Cambria Math" w:hAnsi="Cambria Math" w:hint="eastAsia"/>
                        </w:rPr>
                        <m:t>i</m:t>
                      </m:r>
                    </m:sub>
                  </m:sSub>
                </m:e>
              </m:nary>
            </m:num>
            <m:den>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CAR</m:t>
                  </m:r>
                </m:e>
              </m:d>
              <m:rad>
                <m:radPr>
                  <m:degHide m:val="1"/>
                  <m:ctrlPr>
                    <w:rPr>
                      <w:rFonts w:ascii="Cambria Math" w:hAnsi="Cambria Math"/>
                      <w:i/>
                    </w:rPr>
                  </m:ctrlPr>
                </m:radPr>
                <m:deg/>
                <m:e>
                  <m:r>
                    <w:rPr>
                      <w:rFonts w:ascii="Cambria Math" w:hAnsi="Cambria Math"/>
                    </w:rPr>
                    <m:t>N</m:t>
                  </m:r>
                </m:e>
              </m:rad>
            </m:den>
          </m:f>
        </m:oMath>
      </m:oMathPara>
    </w:p>
    <w:p w14:paraId="3E136253" w14:textId="7F442D16" w:rsidR="00AE6F69" w:rsidRDefault="00977F82" w:rsidP="00591EA7">
      <w:r>
        <w:rPr>
          <w:rFonts w:hint="eastAsia"/>
        </w:rPr>
        <w:t>同样</w:t>
      </w:r>
      <w:r w:rsidR="00B60BCB">
        <w:rPr>
          <w:rFonts w:hint="eastAsia"/>
        </w:rPr>
        <w:t>划分</w:t>
      </w:r>
      <m:oMath>
        <m:r>
          <m:rPr>
            <m:sty m:val="p"/>
          </m:rPr>
          <w:rPr>
            <w:rFonts w:ascii="Cambria Math" w:hAnsi="Cambria Math"/>
          </w:rPr>
          <m:t>day</m:t>
        </m:r>
        <m:d>
          <m:dPr>
            <m:ctrlPr>
              <w:rPr>
                <w:rFonts w:ascii="Cambria Math" w:hAnsi="Cambria Math"/>
              </w:rPr>
            </m:ctrlPr>
          </m:dPr>
          <m:e>
            <m:r>
              <m:rPr>
                <m:sty m:val="p"/>
              </m:rPr>
              <w:rPr>
                <w:rFonts w:ascii="Cambria Math" w:hAnsi="Cambria Math"/>
              </w:rPr>
              <m:t>-10,-6</m:t>
            </m:r>
          </m:e>
        </m:d>
        <m:r>
          <m:rPr>
            <m:sty m:val="p"/>
          </m:rPr>
          <w:rPr>
            <w:rFonts w:ascii="Cambria Math" w:hAnsi="Cambria Math" w:hint="eastAsia"/>
          </w:rPr>
          <m:t>，</m:t>
        </m:r>
        <m:r>
          <m:rPr>
            <m:sty m:val="p"/>
          </m:rPr>
          <w:rPr>
            <w:rFonts w:ascii="Cambria Math" w:hAnsi="Cambria Math"/>
          </w:rPr>
          <m:t>day</m:t>
        </m:r>
        <m:d>
          <m:dPr>
            <m:ctrlPr>
              <w:rPr>
                <w:rFonts w:ascii="Cambria Math" w:hAnsi="Cambria Math"/>
              </w:rPr>
            </m:ctrlPr>
          </m:dPr>
          <m:e>
            <m:r>
              <w:rPr>
                <w:rFonts w:ascii="Cambria Math" w:hAnsi="Cambria Math"/>
              </w:rPr>
              <m:t>-5,-1</m:t>
            </m:r>
          </m:e>
        </m:d>
        <m:r>
          <m:rPr>
            <m:sty m:val="p"/>
          </m:rPr>
          <w:rPr>
            <w:rFonts w:ascii="Cambria Math" w:hAnsi="Cambria Math" w:hint="eastAsia"/>
          </w:rPr>
          <m:t>，</m:t>
        </m:r>
        <m:r>
          <m:rPr>
            <m:sty m:val="p"/>
          </m:rPr>
          <w:rPr>
            <w:rFonts w:ascii="Cambria Math" w:hAnsi="Cambria Math"/>
          </w:rPr>
          <m:t>day0</m:t>
        </m:r>
        <m:r>
          <m:rPr>
            <m:sty m:val="p"/>
          </m:rPr>
          <w:rPr>
            <w:rFonts w:ascii="Cambria Math" w:hAnsi="Cambria Math" w:hint="eastAsia"/>
          </w:rPr>
          <m:t>，</m:t>
        </m:r>
        <m:r>
          <m:rPr>
            <m:sty m:val="p"/>
          </m:rPr>
          <w:rPr>
            <w:rFonts w:ascii="Cambria Math" w:hAnsi="Cambria Math" w:hint="eastAsia"/>
          </w:rPr>
          <m:t>day</m:t>
        </m:r>
        <m:r>
          <m:rPr>
            <m:sty m:val="p"/>
          </m:rPr>
          <w:rPr>
            <w:rFonts w:ascii="Cambria Math" w:hAnsi="Cambria Math"/>
          </w:rPr>
          <m:t>1</m:t>
        </m:r>
        <m:r>
          <m:rPr>
            <m:sty m:val="p"/>
          </m:rPr>
          <w:rPr>
            <w:rFonts w:ascii="Cambria Math" w:hAnsi="Cambria Math" w:hint="eastAsia"/>
          </w:rPr>
          <m:t>，</m:t>
        </m:r>
        <m:r>
          <m:rPr>
            <m:sty m:val="p"/>
          </m:rPr>
          <w:rPr>
            <w:rFonts w:ascii="Cambria Math" w:hAnsi="Cambria Math" w:hint="eastAsia"/>
          </w:rPr>
          <m:t>day</m:t>
        </m:r>
        <m:d>
          <m:dPr>
            <m:ctrlPr>
              <w:rPr>
                <w:rFonts w:ascii="Cambria Math" w:hAnsi="Cambria Math"/>
              </w:rPr>
            </m:ctrlPr>
          </m:dPr>
          <m:e>
            <m:r>
              <m:rPr>
                <m:sty m:val="p"/>
              </m:rPr>
              <w:rPr>
                <w:rFonts w:ascii="Cambria Math" w:hAnsi="Cambria Math"/>
              </w:rPr>
              <m:t>2,6</m:t>
            </m:r>
          </m:e>
        </m:d>
        <m:r>
          <m:rPr>
            <m:sty m:val="p"/>
          </m:rPr>
          <w:rPr>
            <w:rFonts w:ascii="Cambria Math" w:hAnsi="Cambria Math" w:hint="eastAsia"/>
          </w:rPr>
          <m:t>，</m:t>
        </m:r>
        <m:r>
          <m:rPr>
            <m:sty m:val="p"/>
          </m:rPr>
          <w:rPr>
            <w:rFonts w:ascii="Cambria Math" w:hAnsi="Cambria Math"/>
          </w:rPr>
          <m:t>day(7,11)</m:t>
        </m:r>
      </m:oMath>
      <w:r>
        <w:rPr>
          <w:rFonts w:hint="eastAsia"/>
        </w:rPr>
        <w:t>六个窗口，</w:t>
      </w:r>
      <w:r w:rsidR="00B760B4">
        <w:rPr>
          <w:rFonts w:hint="eastAsia"/>
        </w:rPr>
        <w:t>计算出</w:t>
      </w:r>
      <w:r>
        <w:rPr>
          <w:rFonts w:hint="eastAsia"/>
        </w:rPr>
        <w:t>超额收益率的变化情况</w:t>
      </w:r>
      <w:r w:rsidR="00B60BCB">
        <w:rPr>
          <w:rFonts w:hint="eastAsia"/>
        </w:rPr>
        <w:t>如</w:t>
      </w:r>
      <w:r w:rsidR="00AC389E">
        <w:fldChar w:fldCharType="begin"/>
      </w:r>
      <w:r w:rsidR="00AC389E">
        <w:instrText xml:space="preserve"> </w:instrText>
      </w:r>
      <w:r w:rsidR="00AC389E">
        <w:rPr>
          <w:rFonts w:hint="eastAsia"/>
        </w:rPr>
        <w:instrText>REF _Ref509513524 \h</w:instrText>
      </w:r>
      <w:r w:rsidR="00AC389E">
        <w:instrText xml:space="preserve"> </w:instrText>
      </w:r>
      <w:r w:rsidR="00AC389E">
        <w:fldChar w:fldCharType="separate"/>
      </w:r>
      <w:r w:rsidR="00A17E1F">
        <w:rPr>
          <w:rFonts w:hint="eastAsia"/>
        </w:rPr>
        <w:t>表</w:t>
      </w:r>
      <w:r w:rsidR="00A17E1F">
        <w:rPr>
          <w:noProof/>
        </w:rPr>
        <w:t>9</w:t>
      </w:r>
      <w:r w:rsidR="00AC389E">
        <w:fldChar w:fldCharType="end"/>
      </w:r>
      <w:r w:rsidR="00B60BCB">
        <w:rPr>
          <w:rFonts w:hint="eastAsia"/>
        </w:rPr>
        <w:t>所示</w:t>
      </w:r>
      <w:r>
        <w:rPr>
          <w:rFonts w:hint="eastAsia"/>
        </w:rPr>
        <w:t>。</w:t>
      </w:r>
      <w:r w:rsidR="000C0856">
        <w:rPr>
          <w:rFonts w:hint="eastAsia"/>
        </w:rPr>
        <w:t>可以看到，在择时组中，报告发布前一周、发布当天及后一天有显著为正的超额收益率，随后超额收益率基本不再显著，而非择时组的超额收益率在前后四周内始终显著。</w:t>
      </w:r>
      <w:r w:rsidR="00AE6F69">
        <w:rPr>
          <w:rFonts w:hint="eastAsia"/>
        </w:rPr>
        <w:t>而且</w:t>
      </w:r>
      <w:r w:rsidR="000C0856">
        <w:rPr>
          <w:rFonts w:hint="eastAsia"/>
        </w:rPr>
        <w:t>与前文中的结果类似，高信息含量组</w:t>
      </w:r>
      <w:r w:rsidR="00AE6F69">
        <w:rPr>
          <w:rFonts w:hint="eastAsia"/>
        </w:rPr>
        <w:t>比低信息含量组</w:t>
      </w:r>
      <w:r w:rsidR="000C0856">
        <w:rPr>
          <w:rFonts w:hint="eastAsia"/>
        </w:rPr>
        <w:t>产生了</w:t>
      </w:r>
      <w:r w:rsidR="00AE6F69">
        <w:rPr>
          <w:rFonts w:hint="eastAsia"/>
        </w:rPr>
        <w:t>更高</w:t>
      </w:r>
      <w:r w:rsidR="000C0856">
        <w:rPr>
          <w:rFonts w:hint="eastAsia"/>
        </w:rPr>
        <w:t>的超额收益</w:t>
      </w:r>
      <w:r w:rsidR="00AE6F69">
        <w:rPr>
          <w:rFonts w:hint="eastAsia"/>
        </w:rPr>
        <w:t>。</w:t>
      </w:r>
    </w:p>
    <w:p w14:paraId="529841E9" w14:textId="36257617" w:rsidR="00B760B4" w:rsidRDefault="00B760B4" w:rsidP="00591EA7"/>
    <w:p w14:paraId="559728A2" w14:textId="6AB7E63A" w:rsidR="008A792E" w:rsidRDefault="008A792E" w:rsidP="008A792E">
      <w:pPr>
        <w:pStyle w:val="ad"/>
      </w:pPr>
      <w:bookmarkStart w:id="43" w:name="_Ref50951352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17E1F">
        <w:rPr>
          <w:noProof/>
        </w:rPr>
        <w:t>9</w:t>
      </w:r>
      <w:r>
        <w:fldChar w:fldCharType="end"/>
      </w:r>
      <w:bookmarkEnd w:id="43"/>
      <w:r>
        <w:rPr>
          <w:noProof/>
        </w:rPr>
        <w:t xml:space="preserve"> </w:t>
      </w:r>
      <w:r>
        <w:rPr>
          <w:rFonts w:hint="eastAsia"/>
          <w:noProof/>
        </w:rPr>
        <w:t>超额收益率（市场模型法）检验结果</w:t>
      </w:r>
    </w:p>
    <w:tbl>
      <w:tblPr>
        <w:tblStyle w:val="6"/>
        <w:tblW w:w="5000" w:type="pct"/>
        <w:tblLook w:val="06E0" w:firstRow="1" w:lastRow="1" w:firstColumn="1" w:lastColumn="0" w:noHBand="1" w:noVBand="1"/>
      </w:tblPr>
      <w:tblGrid>
        <w:gridCol w:w="961"/>
        <w:gridCol w:w="1641"/>
        <w:gridCol w:w="1615"/>
        <w:gridCol w:w="2057"/>
        <w:gridCol w:w="2032"/>
      </w:tblGrid>
      <w:tr w:rsidR="00FD2E8D" w:rsidRPr="00FD2E8D" w14:paraId="6E385666" w14:textId="77777777" w:rsidTr="00FD2E8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8" w:type="pct"/>
            <w:noWrap/>
            <w:hideMark/>
          </w:tcPr>
          <w:p w14:paraId="649B019D"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CAR</w:t>
            </w:r>
          </w:p>
        </w:tc>
        <w:tc>
          <w:tcPr>
            <w:tcW w:w="988" w:type="pct"/>
            <w:noWrap/>
            <w:hideMark/>
          </w:tcPr>
          <w:p w14:paraId="2999C31F" w14:textId="77777777" w:rsidR="00FD2E8D" w:rsidRPr="00FD2E8D" w:rsidRDefault="00FD2E8D"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Timing-HInfo</w:t>
            </w:r>
          </w:p>
        </w:tc>
        <w:tc>
          <w:tcPr>
            <w:tcW w:w="972" w:type="pct"/>
            <w:noWrap/>
            <w:hideMark/>
          </w:tcPr>
          <w:p w14:paraId="0ADF42FF" w14:textId="77777777" w:rsidR="00FD2E8D" w:rsidRPr="00FD2E8D" w:rsidRDefault="00FD2E8D"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Timing-LInfo</w:t>
            </w:r>
          </w:p>
        </w:tc>
        <w:tc>
          <w:tcPr>
            <w:tcW w:w="1238" w:type="pct"/>
            <w:noWrap/>
            <w:hideMark/>
          </w:tcPr>
          <w:p w14:paraId="3219F619" w14:textId="77777777" w:rsidR="00FD2E8D" w:rsidRPr="00FD2E8D" w:rsidRDefault="00FD2E8D"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NonTiming-HInfo</w:t>
            </w:r>
          </w:p>
        </w:tc>
        <w:tc>
          <w:tcPr>
            <w:tcW w:w="1223" w:type="pct"/>
            <w:noWrap/>
            <w:hideMark/>
          </w:tcPr>
          <w:p w14:paraId="2902DF2C" w14:textId="77777777" w:rsidR="00FD2E8D" w:rsidRPr="00FD2E8D" w:rsidRDefault="00FD2E8D" w:rsidP="00374F88">
            <w:pPr>
              <w:widowControl/>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NonTiming-LInfo</w:t>
            </w:r>
          </w:p>
        </w:tc>
      </w:tr>
      <w:tr w:rsidR="00FD2E8D" w:rsidRPr="00FD2E8D" w14:paraId="1DAF8878"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025788D6"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(-10,-6)</w:t>
            </w:r>
          </w:p>
        </w:tc>
        <w:tc>
          <w:tcPr>
            <w:tcW w:w="988" w:type="pct"/>
            <w:hideMark/>
          </w:tcPr>
          <w:p w14:paraId="73291DEE"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0.0024</w:t>
            </w:r>
          </w:p>
        </w:tc>
        <w:tc>
          <w:tcPr>
            <w:tcW w:w="972" w:type="pct"/>
            <w:hideMark/>
          </w:tcPr>
          <w:p w14:paraId="0B6E2967"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0.0022</w:t>
            </w:r>
          </w:p>
        </w:tc>
        <w:tc>
          <w:tcPr>
            <w:tcW w:w="1238" w:type="pct"/>
            <w:hideMark/>
          </w:tcPr>
          <w:p w14:paraId="1C371B3A"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0.0034</w:t>
            </w:r>
          </w:p>
        </w:tc>
        <w:tc>
          <w:tcPr>
            <w:tcW w:w="1223" w:type="pct"/>
            <w:hideMark/>
          </w:tcPr>
          <w:p w14:paraId="091C4C80"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0.0042</w:t>
            </w:r>
          </w:p>
        </w:tc>
      </w:tr>
      <w:tr w:rsidR="00FD2E8D" w:rsidRPr="00FD2E8D" w14:paraId="25D8DB7D"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72131F62" w14:textId="77777777" w:rsidR="00FD2E8D" w:rsidRPr="00FD2E8D" w:rsidRDefault="00FD2E8D" w:rsidP="00374F88">
            <w:pPr>
              <w:widowControl/>
              <w:ind w:firstLineChars="0" w:firstLine="0"/>
              <w:jc w:val="left"/>
              <w:rPr>
                <w:color w:val="000000"/>
                <w:kern w:val="0"/>
                <w:sz w:val="21"/>
                <w:szCs w:val="21"/>
              </w:rPr>
            </w:pPr>
          </w:p>
        </w:tc>
        <w:tc>
          <w:tcPr>
            <w:tcW w:w="988" w:type="pct"/>
            <w:hideMark/>
          </w:tcPr>
          <w:p w14:paraId="62A7F0DB"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(1.19)</w:t>
            </w:r>
          </w:p>
        </w:tc>
        <w:tc>
          <w:tcPr>
            <w:tcW w:w="972" w:type="pct"/>
            <w:hideMark/>
          </w:tcPr>
          <w:p w14:paraId="5FCFDDF2"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(1.01)</w:t>
            </w:r>
          </w:p>
        </w:tc>
        <w:tc>
          <w:tcPr>
            <w:tcW w:w="1238" w:type="pct"/>
            <w:hideMark/>
          </w:tcPr>
          <w:p w14:paraId="44826554"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(3.29)**</w:t>
            </w:r>
          </w:p>
        </w:tc>
        <w:tc>
          <w:tcPr>
            <w:tcW w:w="1223" w:type="pct"/>
            <w:hideMark/>
          </w:tcPr>
          <w:p w14:paraId="59762E3E"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(3.87)**</w:t>
            </w:r>
          </w:p>
        </w:tc>
      </w:tr>
      <w:tr w:rsidR="00FD2E8D" w:rsidRPr="00FD2E8D" w14:paraId="53F42DA5"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0B691185"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(-5,-1)</w:t>
            </w:r>
          </w:p>
        </w:tc>
        <w:tc>
          <w:tcPr>
            <w:tcW w:w="988" w:type="pct"/>
            <w:hideMark/>
          </w:tcPr>
          <w:p w14:paraId="58D1DD4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0.0204</w:t>
            </w:r>
          </w:p>
        </w:tc>
        <w:tc>
          <w:tcPr>
            <w:tcW w:w="972" w:type="pct"/>
            <w:hideMark/>
          </w:tcPr>
          <w:p w14:paraId="0621DA76"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0.007</w:t>
            </w:r>
          </w:p>
        </w:tc>
        <w:tc>
          <w:tcPr>
            <w:tcW w:w="1238" w:type="pct"/>
            <w:hideMark/>
          </w:tcPr>
          <w:p w14:paraId="5BC69E28"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0.0185</w:t>
            </w:r>
          </w:p>
        </w:tc>
        <w:tc>
          <w:tcPr>
            <w:tcW w:w="1223" w:type="pct"/>
            <w:hideMark/>
          </w:tcPr>
          <w:p w14:paraId="6DAE54B2"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0.0078</w:t>
            </w:r>
          </w:p>
        </w:tc>
      </w:tr>
      <w:tr w:rsidR="00FD2E8D" w:rsidRPr="00FD2E8D" w14:paraId="6539E748"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5987EBE1" w14:textId="77777777" w:rsidR="00FD2E8D" w:rsidRPr="00FD2E8D" w:rsidRDefault="00FD2E8D" w:rsidP="00374F88">
            <w:pPr>
              <w:widowControl/>
              <w:ind w:firstLineChars="0" w:firstLine="0"/>
              <w:jc w:val="left"/>
              <w:rPr>
                <w:color w:val="000000"/>
                <w:kern w:val="0"/>
                <w:sz w:val="21"/>
                <w:szCs w:val="21"/>
              </w:rPr>
            </w:pPr>
          </w:p>
        </w:tc>
        <w:tc>
          <w:tcPr>
            <w:tcW w:w="988" w:type="pct"/>
            <w:hideMark/>
          </w:tcPr>
          <w:p w14:paraId="4E7107E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(8.56)**</w:t>
            </w:r>
          </w:p>
        </w:tc>
        <w:tc>
          <w:tcPr>
            <w:tcW w:w="972" w:type="pct"/>
            <w:hideMark/>
          </w:tcPr>
          <w:p w14:paraId="61482737"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(3.28)**</w:t>
            </w:r>
          </w:p>
        </w:tc>
        <w:tc>
          <w:tcPr>
            <w:tcW w:w="1238" w:type="pct"/>
            <w:hideMark/>
          </w:tcPr>
          <w:p w14:paraId="28155913"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(15.72)**</w:t>
            </w:r>
          </w:p>
        </w:tc>
        <w:tc>
          <w:tcPr>
            <w:tcW w:w="1223" w:type="pct"/>
            <w:hideMark/>
          </w:tcPr>
          <w:p w14:paraId="5606FD8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(6.71)**</w:t>
            </w:r>
          </w:p>
        </w:tc>
      </w:tr>
      <w:tr w:rsidR="00FD2E8D" w:rsidRPr="00FD2E8D" w14:paraId="00939474"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796AA5EC"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0</w:t>
            </w:r>
          </w:p>
        </w:tc>
        <w:tc>
          <w:tcPr>
            <w:tcW w:w="988" w:type="pct"/>
            <w:hideMark/>
          </w:tcPr>
          <w:p w14:paraId="0B6C36B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0.0082</w:t>
            </w:r>
          </w:p>
        </w:tc>
        <w:tc>
          <w:tcPr>
            <w:tcW w:w="972" w:type="pct"/>
            <w:hideMark/>
          </w:tcPr>
          <w:p w14:paraId="517CA8A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0.0026</w:t>
            </w:r>
          </w:p>
        </w:tc>
        <w:tc>
          <w:tcPr>
            <w:tcW w:w="1238" w:type="pct"/>
            <w:hideMark/>
          </w:tcPr>
          <w:p w14:paraId="365E1CA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0.0084</w:t>
            </w:r>
          </w:p>
        </w:tc>
        <w:tc>
          <w:tcPr>
            <w:tcW w:w="1223" w:type="pct"/>
            <w:hideMark/>
          </w:tcPr>
          <w:p w14:paraId="537D14CB"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0.0027</w:t>
            </w:r>
          </w:p>
        </w:tc>
      </w:tr>
      <w:tr w:rsidR="00FD2E8D" w:rsidRPr="00FD2E8D" w14:paraId="4C501D50"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38B2DE6A" w14:textId="77777777" w:rsidR="00FD2E8D" w:rsidRPr="00FD2E8D" w:rsidRDefault="00FD2E8D" w:rsidP="00374F88">
            <w:pPr>
              <w:widowControl/>
              <w:ind w:firstLineChars="0" w:firstLine="0"/>
              <w:jc w:val="left"/>
              <w:rPr>
                <w:color w:val="000000"/>
                <w:kern w:val="0"/>
                <w:sz w:val="21"/>
                <w:szCs w:val="21"/>
              </w:rPr>
            </w:pPr>
          </w:p>
        </w:tc>
        <w:tc>
          <w:tcPr>
            <w:tcW w:w="988" w:type="pct"/>
            <w:hideMark/>
          </w:tcPr>
          <w:p w14:paraId="410B4BCB"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(7.17)**</w:t>
            </w:r>
          </w:p>
        </w:tc>
        <w:tc>
          <w:tcPr>
            <w:tcW w:w="972" w:type="pct"/>
            <w:hideMark/>
          </w:tcPr>
          <w:p w14:paraId="69679465"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(3.18)**</w:t>
            </w:r>
          </w:p>
        </w:tc>
        <w:tc>
          <w:tcPr>
            <w:tcW w:w="1238" w:type="pct"/>
            <w:hideMark/>
          </w:tcPr>
          <w:p w14:paraId="45B4C4E0"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(14.70)**</w:t>
            </w:r>
          </w:p>
        </w:tc>
        <w:tc>
          <w:tcPr>
            <w:tcW w:w="1223" w:type="pct"/>
            <w:hideMark/>
          </w:tcPr>
          <w:p w14:paraId="42F1AB94"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(5.98)**</w:t>
            </w:r>
          </w:p>
        </w:tc>
      </w:tr>
      <w:tr w:rsidR="00FD2E8D" w:rsidRPr="00FD2E8D" w14:paraId="33818A1A"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38816A05"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1</w:t>
            </w:r>
          </w:p>
        </w:tc>
        <w:tc>
          <w:tcPr>
            <w:tcW w:w="988" w:type="pct"/>
            <w:hideMark/>
          </w:tcPr>
          <w:p w14:paraId="57CD012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0.0051</w:t>
            </w:r>
          </w:p>
        </w:tc>
        <w:tc>
          <w:tcPr>
            <w:tcW w:w="972" w:type="pct"/>
            <w:hideMark/>
          </w:tcPr>
          <w:p w14:paraId="6EB13B7B"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w:t>
            </w:r>
          </w:p>
        </w:tc>
        <w:tc>
          <w:tcPr>
            <w:tcW w:w="1238" w:type="pct"/>
            <w:hideMark/>
          </w:tcPr>
          <w:p w14:paraId="2043DE7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0.0048</w:t>
            </w:r>
          </w:p>
        </w:tc>
        <w:tc>
          <w:tcPr>
            <w:tcW w:w="1223" w:type="pct"/>
            <w:hideMark/>
          </w:tcPr>
          <w:p w14:paraId="66BB1E2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0.0011</w:t>
            </w:r>
          </w:p>
        </w:tc>
      </w:tr>
      <w:tr w:rsidR="00FD2E8D" w:rsidRPr="00FD2E8D" w14:paraId="19191D63"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B9BD48D" w14:textId="77777777" w:rsidR="00FD2E8D" w:rsidRPr="00FD2E8D" w:rsidRDefault="00FD2E8D" w:rsidP="00374F88">
            <w:pPr>
              <w:widowControl/>
              <w:ind w:firstLineChars="0" w:firstLine="0"/>
              <w:jc w:val="left"/>
              <w:rPr>
                <w:color w:val="000000"/>
                <w:kern w:val="0"/>
                <w:sz w:val="21"/>
                <w:szCs w:val="21"/>
              </w:rPr>
            </w:pPr>
          </w:p>
        </w:tc>
        <w:tc>
          <w:tcPr>
            <w:tcW w:w="988" w:type="pct"/>
            <w:hideMark/>
          </w:tcPr>
          <w:p w14:paraId="7435D52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(5.09)**</w:t>
            </w:r>
          </w:p>
        </w:tc>
        <w:tc>
          <w:tcPr>
            <w:tcW w:w="972" w:type="pct"/>
            <w:hideMark/>
          </w:tcPr>
          <w:p w14:paraId="504002C7"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(2.35)*</w:t>
            </w:r>
          </w:p>
        </w:tc>
        <w:tc>
          <w:tcPr>
            <w:tcW w:w="1238" w:type="pct"/>
            <w:hideMark/>
          </w:tcPr>
          <w:p w14:paraId="42B767A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(8.89)**</w:t>
            </w:r>
          </w:p>
        </w:tc>
        <w:tc>
          <w:tcPr>
            <w:tcW w:w="1223" w:type="pct"/>
            <w:hideMark/>
          </w:tcPr>
          <w:p w14:paraId="110F757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(2.56)*</w:t>
            </w:r>
          </w:p>
        </w:tc>
      </w:tr>
      <w:tr w:rsidR="00FD2E8D" w:rsidRPr="00FD2E8D" w14:paraId="1A355E02"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73890E51"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(2,6)</w:t>
            </w:r>
          </w:p>
        </w:tc>
        <w:tc>
          <w:tcPr>
            <w:tcW w:w="988" w:type="pct"/>
            <w:hideMark/>
          </w:tcPr>
          <w:p w14:paraId="6BF731D5"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-0.0033</w:t>
            </w:r>
          </w:p>
        </w:tc>
        <w:tc>
          <w:tcPr>
            <w:tcW w:w="972" w:type="pct"/>
            <w:hideMark/>
          </w:tcPr>
          <w:p w14:paraId="053FB4B0"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-0.0008</w:t>
            </w:r>
          </w:p>
        </w:tc>
        <w:tc>
          <w:tcPr>
            <w:tcW w:w="1238" w:type="pct"/>
            <w:hideMark/>
          </w:tcPr>
          <w:p w14:paraId="78038499"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-0.0026</w:t>
            </w:r>
          </w:p>
        </w:tc>
        <w:tc>
          <w:tcPr>
            <w:tcW w:w="1223" w:type="pct"/>
            <w:hideMark/>
          </w:tcPr>
          <w:p w14:paraId="3A02D86B"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-0.0027</w:t>
            </w:r>
          </w:p>
        </w:tc>
      </w:tr>
      <w:tr w:rsidR="00FD2E8D" w:rsidRPr="00FD2E8D" w14:paraId="64DBCAD0"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C64441A" w14:textId="77777777" w:rsidR="00FD2E8D" w:rsidRPr="00FD2E8D" w:rsidRDefault="00FD2E8D" w:rsidP="00374F88">
            <w:pPr>
              <w:widowControl/>
              <w:ind w:firstLineChars="0" w:firstLine="0"/>
              <w:jc w:val="left"/>
              <w:rPr>
                <w:color w:val="000000"/>
                <w:kern w:val="0"/>
                <w:sz w:val="21"/>
                <w:szCs w:val="21"/>
              </w:rPr>
            </w:pPr>
          </w:p>
        </w:tc>
        <w:tc>
          <w:tcPr>
            <w:tcW w:w="988" w:type="pct"/>
            <w:hideMark/>
          </w:tcPr>
          <w:p w14:paraId="7D9556F5"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(1.66)</w:t>
            </w:r>
          </w:p>
        </w:tc>
        <w:tc>
          <w:tcPr>
            <w:tcW w:w="972" w:type="pct"/>
            <w:hideMark/>
          </w:tcPr>
          <w:p w14:paraId="6535FA13"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(0.37)</w:t>
            </w:r>
          </w:p>
        </w:tc>
        <w:tc>
          <w:tcPr>
            <w:tcW w:w="1238" w:type="pct"/>
            <w:hideMark/>
          </w:tcPr>
          <w:p w14:paraId="62C79B85"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(2.47)*</w:t>
            </w:r>
          </w:p>
        </w:tc>
        <w:tc>
          <w:tcPr>
            <w:tcW w:w="1223" w:type="pct"/>
            <w:hideMark/>
          </w:tcPr>
          <w:p w14:paraId="1EA61762"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(2.46)*</w:t>
            </w:r>
          </w:p>
        </w:tc>
      </w:tr>
      <w:tr w:rsidR="00FD2E8D" w:rsidRPr="00FD2E8D" w14:paraId="7BE47274"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5F0080F3" w14:textId="77777777" w:rsidR="00FD2E8D" w:rsidRPr="00FD2E8D" w:rsidRDefault="00FD2E8D" w:rsidP="00374F88">
            <w:pPr>
              <w:widowControl/>
              <w:ind w:firstLineChars="0" w:firstLine="0"/>
              <w:jc w:val="center"/>
              <w:rPr>
                <w:color w:val="000000"/>
                <w:kern w:val="0"/>
                <w:sz w:val="21"/>
                <w:szCs w:val="21"/>
              </w:rPr>
            </w:pPr>
            <w:r w:rsidRPr="00FD2E8D">
              <w:rPr>
                <w:color w:val="000000"/>
                <w:kern w:val="0"/>
                <w:sz w:val="21"/>
                <w:szCs w:val="21"/>
              </w:rPr>
              <w:t>(7,11)</w:t>
            </w:r>
          </w:p>
        </w:tc>
        <w:tc>
          <w:tcPr>
            <w:tcW w:w="988" w:type="pct"/>
            <w:hideMark/>
          </w:tcPr>
          <w:p w14:paraId="315FDFFE"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-0.0034</w:t>
            </w:r>
          </w:p>
        </w:tc>
        <w:tc>
          <w:tcPr>
            <w:tcW w:w="972" w:type="pct"/>
            <w:hideMark/>
          </w:tcPr>
          <w:p w14:paraId="4620D476"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-0.0043</w:t>
            </w:r>
          </w:p>
        </w:tc>
        <w:tc>
          <w:tcPr>
            <w:tcW w:w="1238" w:type="pct"/>
            <w:hideMark/>
          </w:tcPr>
          <w:p w14:paraId="74838DC1"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-0.0035</w:t>
            </w:r>
          </w:p>
        </w:tc>
        <w:tc>
          <w:tcPr>
            <w:tcW w:w="1223" w:type="pct"/>
            <w:hideMark/>
          </w:tcPr>
          <w:p w14:paraId="75E20B9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-0.0041</w:t>
            </w:r>
          </w:p>
        </w:tc>
      </w:tr>
      <w:tr w:rsidR="00FD2E8D" w:rsidRPr="00FD2E8D" w14:paraId="0A1479A3"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607C60E" w14:textId="77777777" w:rsidR="00FD2E8D" w:rsidRPr="00FD2E8D" w:rsidRDefault="00FD2E8D" w:rsidP="00374F88">
            <w:pPr>
              <w:widowControl/>
              <w:ind w:firstLineChars="0" w:firstLine="0"/>
              <w:jc w:val="left"/>
              <w:rPr>
                <w:color w:val="000000"/>
                <w:kern w:val="0"/>
                <w:sz w:val="21"/>
                <w:szCs w:val="21"/>
              </w:rPr>
            </w:pPr>
          </w:p>
        </w:tc>
        <w:tc>
          <w:tcPr>
            <w:tcW w:w="988" w:type="pct"/>
            <w:hideMark/>
          </w:tcPr>
          <w:p w14:paraId="7345A893"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(1.78)</w:t>
            </w:r>
          </w:p>
        </w:tc>
        <w:tc>
          <w:tcPr>
            <w:tcW w:w="972" w:type="pct"/>
            <w:hideMark/>
          </w:tcPr>
          <w:p w14:paraId="52611706"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(2.23)*</w:t>
            </w:r>
          </w:p>
        </w:tc>
        <w:tc>
          <w:tcPr>
            <w:tcW w:w="1238" w:type="pct"/>
            <w:hideMark/>
          </w:tcPr>
          <w:p w14:paraId="71BD1253"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(3.53)**</w:t>
            </w:r>
          </w:p>
        </w:tc>
        <w:tc>
          <w:tcPr>
            <w:tcW w:w="1223" w:type="pct"/>
            <w:hideMark/>
          </w:tcPr>
          <w:p w14:paraId="7D74EF7D" w14:textId="77777777" w:rsidR="00FD2E8D" w:rsidRPr="00FD2E8D" w:rsidRDefault="00FD2E8D" w:rsidP="00374F88">
            <w:pPr>
              <w:widowControl/>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(3.90)**</w:t>
            </w:r>
          </w:p>
        </w:tc>
      </w:tr>
      <w:tr w:rsidR="00FD2E8D" w:rsidRPr="00FD2E8D" w14:paraId="38F99D3D" w14:textId="77777777" w:rsidTr="00FD2E8D">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8" w:type="pct"/>
            <w:hideMark/>
          </w:tcPr>
          <w:p w14:paraId="4E8B12FE" w14:textId="77777777" w:rsidR="00FD2E8D" w:rsidRPr="00FD2E8D" w:rsidRDefault="00FD2E8D" w:rsidP="00374F88">
            <w:pPr>
              <w:widowControl/>
              <w:ind w:firstLineChars="0" w:firstLine="0"/>
              <w:jc w:val="center"/>
              <w:rPr>
                <w:i/>
                <w:iCs/>
                <w:color w:val="000000"/>
                <w:kern w:val="0"/>
                <w:sz w:val="21"/>
                <w:szCs w:val="21"/>
              </w:rPr>
            </w:pPr>
            <w:r w:rsidRPr="00FD2E8D">
              <w:rPr>
                <w:i/>
                <w:iCs/>
                <w:color w:val="000000"/>
                <w:kern w:val="0"/>
                <w:sz w:val="21"/>
                <w:szCs w:val="21"/>
              </w:rPr>
              <w:t>N</w:t>
            </w:r>
          </w:p>
        </w:tc>
        <w:tc>
          <w:tcPr>
            <w:tcW w:w="988" w:type="pct"/>
            <w:hideMark/>
          </w:tcPr>
          <w:p w14:paraId="48647DA1" w14:textId="77777777" w:rsidR="00FD2E8D" w:rsidRPr="00FD2E8D" w:rsidRDefault="00FD2E8D"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788</w:t>
            </w:r>
          </w:p>
        </w:tc>
        <w:tc>
          <w:tcPr>
            <w:tcW w:w="972" w:type="pct"/>
            <w:hideMark/>
          </w:tcPr>
          <w:p w14:paraId="52345DC8" w14:textId="77777777" w:rsidR="00FD2E8D" w:rsidRPr="00FD2E8D" w:rsidRDefault="00FD2E8D"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765</w:t>
            </w:r>
          </w:p>
        </w:tc>
        <w:tc>
          <w:tcPr>
            <w:tcW w:w="1238" w:type="pct"/>
            <w:hideMark/>
          </w:tcPr>
          <w:p w14:paraId="3DFEA8C2" w14:textId="77777777" w:rsidR="00FD2E8D" w:rsidRPr="00FD2E8D" w:rsidRDefault="00FD2E8D"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3,002</w:t>
            </w:r>
          </w:p>
        </w:tc>
        <w:tc>
          <w:tcPr>
            <w:tcW w:w="1223" w:type="pct"/>
            <w:hideMark/>
          </w:tcPr>
          <w:p w14:paraId="6D9CF1EA" w14:textId="77777777" w:rsidR="00FD2E8D" w:rsidRPr="00FD2E8D" w:rsidRDefault="00FD2E8D" w:rsidP="00374F88">
            <w:pPr>
              <w:widowControl/>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 w:val="21"/>
                <w:szCs w:val="21"/>
              </w:rPr>
            </w:pPr>
            <w:r w:rsidRPr="00FD2E8D">
              <w:rPr>
                <w:color w:val="000000"/>
                <w:kern w:val="0"/>
                <w:sz w:val="21"/>
                <w:szCs w:val="21"/>
              </w:rPr>
              <w:t>2,861</w:t>
            </w:r>
          </w:p>
        </w:tc>
      </w:tr>
    </w:tbl>
    <w:p w14:paraId="56302027" w14:textId="5D82A7B0" w:rsidR="00B760B4" w:rsidRDefault="00B760B4" w:rsidP="00591EA7"/>
    <w:p w14:paraId="46196872" w14:textId="5E1D2491" w:rsidR="00AE6F69" w:rsidRDefault="00AE6F69" w:rsidP="00AE6F69">
      <w:r>
        <w:rPr>
          <w:rFonts w:hint="eastAsia"/>
        </w:rPr>
        <w:t>不过可能是受到计算方式的影响，使用市场模型法计算出的超额收益率普遍小于使用市场调整模型法计算的结果，导致在报告发布后两周的超额收益率变为</w:t>
      </w:r>
      <w:r>
        <w:rPr>
          <w:rFonts w:hint="eastAsia"/>
        </w:rPr>
        <w:lastRenderedPageBreak/>
        <w:t>负数。这也意味着在关于分析师报告投资价值的相关研究中，使用不同的超额收益率度量方法可能导致研究结果发生质的改变。</w:t>
      </w:r>
    </w:p>
    <w:p w14:paraId="491B6B22" w14:textId="77777777" w:rsidR="00244D8A" w:rsidRPr="00244D8A" w:rsidRDefault="00244D8A" w:rsidP="00244D8A"/>
    <w:p w14:paraId="3BE9CC8C" w14:textId="77777777" w:rsidR="004A3EBF" w:rsidRDefault="004A3EBF" w:rsidP="00244D8A">
      <w:pPr>
        <w:sectPr w:rsidR="004A3EBF">
          <w:headerReference w:type="default" r:id="rId36"/>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1358DE7E" w14:textId="77777777" w:rsidR="00244D8A" w:rsidRDefault="00C51E79" w:rsidP="00C51E79">
      <w:pPr>
        <w:pStyle w:val="1"/>
      </w:pPr>
      <w:bookmarkStart w:id="44" w:name="_Toc509527764"/>
      <w:r>
        <w:rPr>
          <w:rFonts w:hint="eastAsia"/>
        </w:rPr>
        <w:lastRenderedPageBreak/>
        <w:t>结论与建议</w:t>
      </w:r>
      <w:bookmarkEnd w:id="44"/>
    </w:p>
    <w:p w14:paraId="535C5420" w14:textId="77777777" w:rsidR="00C51E79" w:rsidRDefault="00DA7C58" w:rsidP="00DC67E7">
      <w:pPr>
        <w:pStyle w:val="2"/>
        <w:numPr>
          <w:ilvl w:val="0"/>
          <w:numId w:val="16"/>
        </w:numPr>
      </w:pPr>
      <w:bookmarkStart w:id="45" w:name="_Toc509527765"/>
      <w:r>
        <w:rPr>
          <w:rFonts w:hint="eastAsia"/>
        </w:rPr>
        <w:t>主要研究结论</w:t>
      </w:r>
      <w:bookmarkEnd w:id="45"/>
    </w:p>
    <w:p w14:paraId="18142CFD" w14:textId="77777777" w:rsidR="00E20513" w:rsidRDefault="00DA7C58" w:rsidP="00C51E79">
      <w:r>
        <w:rPr>
          <w:rFonts w:hint="eastAsia"/>
        </w:rPr>
        <w:t>经过十几年的发展，我国的证券分析师行业相比其建立之初已经有了极大的</w:t>
      </w:r>
      <w:r w:rsidR="00E20513">
        <w:rPr>
          <w:rFonts w:hint="eastAsia"/>
        </w:rPr>
        <w:t>改变</w:t>
      </w:r>
      <w:r>
        <w:rPr>
          <w:rFonts w:hint="eastAsia"/>
        </w:rPr>
        <w:t>，从早期的关注市场技术面信息</w:t>
      </w:r>
      <w:r w:rsidR="006B6B6B">
        <w:rPr>
          <w:rFonts w:hint="eastAsia"/>
        </w:rPr>
        <w:t>，逐渐演变为</w:t>
      </w:r>
      <w:r>
        <w:rPr>
          <w:rFonts w:hint="eastAsia"/>
        </w:rPr>
        <w:t>立足上市公司基本面</w:t>
      </w:r>
      <w:r w:rsidR="006B6B6B">
        <w:rPr>
          <w:rFonts w:hint="eastAsia"/>
        </w:rPr>
        <w:t>、通过</w:t>
      </w:r>
      <w:r>
        <w:rPr>
          <w:rFonts w:hint="eastAsia"/>
        </w:rPr>
        <w:t>实地调研和走访获取信息</w:t>
      </w:r>
      <w:r w:rsidR="006B6B6B">
        <w:rPr>
          <w:rFonts w:hint="eastAsia"/>
        </w:rPr>
        <w:t>，提供</w:t>
      </w:r>
      <w:r>
        <w:rPr>
          <w:rFonts w:hint="eastAsia"/>
        </w:rPr>
        <w:t>价值型</w:t>
      </w:r>
      <w:r w:rsidR="006B6B6B">
        <w:rPr>
          <w:rFonts w:hint="eastAsia"/>
        </w:rPr>
        <w:t>投资评级报告的市场主体。</w:t>
      </w:r>
    </w:p>
    <w:p w14:paraId="590EA5D3" w14:textId="77777777" w:rsidR="00E7542E" w:rsidRDefault="00E20513" w:rsidP="00C51E79">
      <w:r>
        <w:rPr>
          <w:rFonts w:hint="eastAsia"/>
        </w:rPr>
        <w:t>在此</w:t>
      </w:r>
      <w:r w:rsidR="00E7542E">
        <w:rPr>
          <w:rFonts w:hint="eastAsia"/>
        </w:rPr>
        <w:t>背景下</w:t>
      </w:r>
      <w:r>
        <w:rPr>
          <w:rFonts w:hint="eastAsia"/>
        </w:rPr>
        <w:t>，</w:t>
      </w:r>
      <w:r w:rsidR="006C7E08">
        <w:rPr>
          <w:rFonts w:hint="eastAsia"/>
        </w:rPr>
        <w:t>证券</w:t>
      </w:r>
      <w:r>
        <w:rPr>
          <w:rFonts w:hint="eastAsia"/>
        </w:rPr>
        <w:t>分析师</w:t>
      </w:r>
      <w:r w:rsidR="00F07FB9">
        <w:rPr>
          <w:rFonts w:hint="eastAsia"/>
        </w:rPr>
        <w:t>对资本市场的</w:t>
      </w:r>
      <w:r>
        <w:rPr>
          <w:rFonts w:hint="eastAsia"/>
        </w:rPr>
        <w:t>影响</w:t>
      </w:r>
      <w:r w:rsidR="00F07FB9">
        <w:rPr>
          <w:rFonts w:hint="eastAsia"/>
        </w:rPr>
        <w:t>持续</w:t>
      </w:r>
      <w:r>
        <w:rPr>
          <w:rFonts w:hint="eastAsia"/>
        </w:rPr>
        <w:t>增大，</w:t>
      </w:r>
      <w:r w:rsidR="00E7542E">
        <w:rPr>
          <w:rFonts w:hint="eastAsia"/>
        </w:rPr>
        <w:t>行业自身也</w:t>
      </w:r>
      <w:r>
        <w:rPr>
          <w:rFonts w:hint="eastAsia"/>
        </w:rPr>
        <w:t>建立起了一套相对完善的行业激励机制，</w:t>
      </w:r>
      <w:r w:rsidR="006C7E08">
        <w:rPr>
          <w:rFonts w:hint="eastAsia"/>
        </w:rPr>
        <w:t>但</w:t>
      </w:r>
      <w:r w:rsidR="00E7542E">
        <w:rPr>
          <w:rFonts w:hint="eastAsia"/>
        </w:rPr>
        <w:t>整个行业</w:t>
      </w:r>
      <w:r w:rsidR="006C7E08">
        <w:rPr>
          <w:rFonts w:hint="eastAsia"/>
        </w:rPr>
        <w:t>在</w:t>
      </w:r>
      <w:r w:rsidR="00E7542E">
        <w:rPr>
          <w:rFonts w:hint="eastAsia"/>
        </w:rPr>
        <w:t>蓬勃发展</w:t>
      </w:r>
      <w:r w:rsidR="00835253">
        <w:rPr>
          <w:rFonts w:hint="eastAsia"/>
        </w:rPr>
        <w:t>的</w:t>
      </w:r>
      <w:r w:rsidR="00E7542E">
        <w:rPr>
          <w:rFonts w:hint="eastAsia"/>
        </w:rPr>
        <w:t>同时</w:t>
      </w:r>
      <w:r>
        <w:rPr>
          <w:rFonts w:hint="eastAsia"/>
        </w:rPr>
        <w:t>也出现了一些问题。</w:t>
      </w:r>
      <w:r w:rsidR="00F07FB9">
        <w:rPr>
          <w:rFonts w:hint="eastAsia"/>
        </w:rPr>
        <w:t>随着证券公司业务的不断多元化，证券分析师开始面临更多的</w:t>
      </w:r>
      <w:r>
        <w:rPr>
          <w:rFonts w:hint="eastAsia"/>
        </w:rPr>
        <w:t>利益冲突</w:t>
      </w:r>
      <w:r w:rsidR="006C7E08">
        <w:rPr>
          <w:rFonts w:hint="eastAsia"/>
        </w:rPr>
        <w:t>，</w:t>
      </w:r>
      <w:r w:rsidR="00E7542E">
        <w:rPr>
          <w:rFonts w:hint="eastAsia"/>
        </w:rPr>
        <w:t>分析师</w:t>
      </w:r>
      <w:r w:rsidR="00F07FB9">
        <w:rPr>
          <w:rFonts w:hint="eastAsia"/>
        </w:rPr>
        <w:t>声誉机制</w:t>
      </w:r>
      <w:r w:rsidR="006C7E08">
        <w:rPr>
          <w:rFonts w:hint="eastAsia"/>
        </w:rPr>
        <w:t>不仅</w:t>
      </w:r>
      <w:r w:rsidR="00F07FB9">
        <w:rPr>
          <w:rFonts w:hint="eastAsia"/>
        </w:rPr>
        <w:t>成为识别证券分析师预测能力的重要指标，也开始出现由于证券分析师过度追求良好声誉而扭曲分析师行为，加剧行为偏差</w:t>
      </w:r>
      <w:r w:rsidR="00E7542E">
        <w:rPr>
          <w:rFonts w:hint="eastAsia"/>
        </w:rPr>
        <w:t>的</w:t>
      </w:r>
      <w:r w:rsidR="00F07FB9">
        <w:rPr>
          <w:rFonts w:hint="eastAsia"/>
        </w:rPr>
        <w:t>风险。</w:t>
      </w:r>
    </w:p>
    <w:p w14:paraId="21FC672C" w14:textId="77777777" w:rsidR="00E20513" w:rsidRDefault="00E7542E" w:rsidP="00C51E79">
      <w:r>
        <w:rPr>
          <w:rFonts w:hint="eastAsia"/>
        </w:rPr>
        <w:t>许多研究对这些现象进行了详细的分析和考察，但在众多文献中，还极少有研究对证券分析师行为的时间模式进行考察。</w:t>
      </w:r>
      <w:r w:rsidR="00835253">
        <w:rPr>
          <w:rFonts w:hint="eastAsia"/>
        </w:rPr>
        <w:t>本文就证券分析师的择时行为进行了实证分析和检验，得到了以下结论：</w:t>
      </w:r>
    </w:p>
    <w:p w14:paraId="6B0EBC74" w14:textId="2628147A" w:rsidR="00E7542E" w:rsidRDefault="002E097B" w:rsidP="002E097B">
      <w:r>
        <w:rPr>
          <w:rFonts w:hint="eastAsia"/>
        </w:rPr>
        <w:t>（</w:t>
      </w:r>
      <w:r>
        <w:rPr>
          <w:rFonts w:hint="eastAsia"/>
        </w:rPr>
        <w:t>1</w:t>
      </w:r>
      <w:r>
        <w:rPr>
          <w:rFonts w:hint="eastAsia"/>
        </w:rPr>
        <w:t>）</w:t>
      </w:r>
      <w:r w:rsidR="00835253">
        <w:rPr>
          <w:rFonts w:hint="eastAsia"/>
        </w:rPr>
        <w:t>通过</w:t>
      </w:r>
      <w:r w:rsidR="00374F88">
        <w:rPr>
          <w:rFonts w:hint="eastAsia"/>
        </w:rPr>
        <w:t>从宏观和微观两个层次</w:t>
      </w:r>
      <w:r w:rsidR="00372880">
        <w:rPr>
          <w:rFonts w:hint="eastAsia"/>
        </w:rPr>
        <w:t>的多元回归分析，</w:t>
      </w:r>
      <w:r w:rsidR="00835253">
        <w:rPr>
          <w:rFonts w:hint="eastAsia"/>
        </w:rPr>
        <w:t>本文发现证券分析师在发布</w:t>
      </w:r>
      <w:r>
        <w:rPr>
          <w:rFonts w:hint="eastAsia"/>
        </w:rPr>
        <w:t>研究</w:t>
      </w:r>
      <w:r w:rsidR="00835253">
        <w:rPr>
          <w:rFonts w:hint="eastAsia"/>
        </w:rPr>
        <w:t>报告时，在不同程度上进行了</w:t>
      </w:r>
      <w:r w:rsidR="00372880">
        <w:rPr>
          <w:rFonts w:hint="eastAsia"/>
        </w:rPr>
        <w:t>基于投资者情绪的</w:t>
      </w:r>
      <w:r w:rsidR="00835253">
        <w:rPr>
          <w:rFonts w:hint="eastAsia"/>
        </w:rPr>
        <w:t>市场择时</w:t>
      </w:r>
      <w:r w:rsidR="006C7E08">
        <w:rPr>
          <w:rFonts w:hint="eastAsia"/>
        </w:rPr>
        <w:t>。</w:t>
      </w:r>
      <w:r w:rsidR="00372880">
        <w:rPr>
          <w:rFonts w:hint="eastAsia"/>
        </w:rPr>
        <w:t>从宏观层面来看，在控制了月度市场收益率后，综合投资者情绪指数与标准化后的各月深度报告数量显著正相关</w:t>
      </w:r>
      <w:r w:rsidR="00C23A91" w:rsidRPr="00C23A91">
        <w:rPr>
          <w:rFonts w:hint="eastAsia"/>
        </w:rPr>
        <w:t>。</w:t>
      </w:r>
      <w:r w:rsidR="00372880">
        <w:rPr>
          <w:rFonts w:hint="eastAsia"/>
        </w:rPr>
        <w:t>从微观层面来看，分析师倾向于在研究标的投资者情绪高涨时发布有关的深度研究报告，此外公司的分析师关注度、盈利水平及公司规模也与分析师的深度研究报告发布正相关。</w:t>
      </w:r>
    </w:p>
    <w:p w14:paraId="2F609432" w14:textId="2F30CA14" w:rsidR="00C23A91" w:rsidRDefault="002E097B" w:rsidP="002E097B">
      <w:r>
        <w:rPr>
          <w:rFonts w:hint="eastAsia"/>
        </w:rPr>
        <w:t>（</w:t>
      </w:r>
      <w:r>
        <w:rPr>
          <w:rFonts w:hint="eastAsia"/>
        </w:rPr>
        <w:t>2</w:t>
      </w:r>
      <w:r>
        <w:rPr>
          <w:rFonts w:hint="eastAsia"/>
        </w:rPr>
        <w:t>）</w:t>
      </w:r>
      <w:r w:rsidR="00372880">
        <w:rPr>
          <w:rFonts w:hint="eastAsia"/>
        </w:rPr>
        <w:t>接下来，本文以股价同步性度量股价的信息含量，检验了</w:t>
      </w:r>
      <w:r w:rsidR="00C23A91">
        <w:rPr>
          <w:rFonts w:hint="eastAsia"/>
        </w:rPr>
        <w:t>报告发布前</w:t>
      </w:r>
      <w:r w:rsidR="00372880">
        <w:rPr>
          <w:rFonts w:hint="eastAsia"/>
        </w:rPr>
        <w:t>后的研究标的同步性变化。经过对每份报告涉及公司的滚动回归得到了一个时间窗口内的股价同步性序列，以报告发布时的投资者情绪</w:t>
      </w:r>
      <w:r w:rsidR="00E924BD">
        <w:rPr>
          <w:rFonts w:hint="eastAsia"/>
        </w:rPr>
        <w:t>作为解释变量，并控制了</w:t>
      </w:r>
      <w:r w:rsidR="00B32661">
        <w:rPr>
          <w:rFonts w:hint="eastAsia"/>
        </w:rPr>
        <w:t>明星分析师身份、评级水平</w:t>
      </w:r>
      <w:r w:rsidR="00E924BD">
        <w:rPr>
          <w:rFonts w:hint="eastAsia"/>
        </w:rPr>
        <w:t>、市场周期及公司所在行业，发现在投资者情绪与同步性的变化幅度显著负相关，即投资者情绪越高，则同步性变化幅度越小，同时明星分析师发布的、评级给出投资方向的深度报告有更高的信息含量</w:t>
      </w:r>
      <w:r>
        <w:rPr>
          <w:rFonts w:hint="eastAsia"/>
        </w:rPr>
        <w:t>。</w:t>
      </w:r>
      <w:r w:rsidR="00E924BD">
        <w:rPr>
          <w:rFonts w:hint="eastAsia"/>
        </w:rPr>
        <w:t>而信息含量的变化在不同的市场周期和行业之间不存在差异。</w:t>
      </w:r>
    </w:p>
    <w:p w14:paraId="272204ED" w14:textId="3B30B1C1" w:rsidR="00FE2A36" w:rsidRDefault="002E097B" w:rsidP="002E097B">
      <w:r>
        <w:rPr>
          <w:rFonts w:hint="eastAsia"/>
        </w:rPr>
        <w:t>（</w:t>
      </w:r>
      <w:r>
        <w:rPr>
          <w:rFonts w:hint="eastAsia"/>
        </w:rPr>
        <w:t>3</w:t>
      </w:r>
      <w:r>
        <w:rPr>
          <w:rFonts w:hint="eastAsia"/>
        </w:rPr>
        <w:t>）</w:t>
      </w:r>
      <w:r w:rsidR="00E924BD">
        <w:rPr>
          <w:rFonts w:hint="eastAsia"/>
        </w:rPr>
        <w:t>最后，本文</w:t>
      </w:r>
      <w:r w:rsidR="00AA2476">
        <w:rPr>
          <w:rFonts w:hint="eastAsia"/>
        </w:rPr>
        <w:t>以各分析师发布的报告作为子样本，</w:t>
      </w:r>
      <w:r w:rsidR="00E924BD">
        <w:rPr>
          <w:rFonts w:hint="eastAsia"/>
        </w:rPr>
        <w:t>重新从各分析师的维</w:t>
      </w:r>
      <w:r w:rsidR="00E924BD">
        <w:rPr>
          <w:rFonts w:hint="eastAsia"/>
        </w:rPr>
        <w:lastRenderedPageBreak/>
        <w:t>度</w:t>
      </w:r>
      <w:r w:rsidR="00AA2476">
        <w:rPr>
          <w:rFonts w:hint="eastAsia"/>
        </w:rPr>
        <w:t>进行了信息含量变化与投资者情绪的一元回归</w:t>
      </w:r>
      <w:r w:rsidR="00E924BD">
        <w:rPr>
          <w:rFonts w:hint="eastAsia"/>
        </w:rPr>
        <w:t>，</w:t>
      </w:r>
      <w:r w:rsidR="00AA2476">
        <w:rPr>
          <w:rFonts w:hint="eastAsia"/>
        </w:rPr>
        <w:t>依据投资者情绪的回归系数显著性</w:t>
      </w:r>
      <w:r w:rsidR="00E924BD">
        <w:rPr>
          <w:rFonts w:hint="eastAsia"/>
        </w:rPr>
        <w:t>将分析师分为择时</w:t>
      </w:r>
      <w:r w:rsidR="00AA2476">
        <w:rPr>
          <w:rFonts w:hint="eastAsia"/>
        </w:rPr>
        <w:t>组和非择时组，结合信息含量变化幅度的大小，将分析师分为了四组，考察了其深度报告发布前后是否存在显著的超额收益率</w:t>
      </w:r>
      <w:r w:rsidR="00FE2A36">
        <w:rPr>
          <w:rFonts w:hint="eastAsia"/>
        </w:rPr>
        <w:t>。</w:t>
      </w:r>
      <w:r w:rsidR="00AA2476">
        <w:rPr>
          <w:rFonts w:hint="eastAsia"/>
        </w:rPr>
        <w:t>采用市场调整模型和市场模型两种方式计算的超额收益均发现：</w:t>
      </w:r>
      <w:r w:rsidR="00AA2476">
        <w:rPr>
          <w:rFonts w:hint="eastAsia"/>
        </w:rPr>
        <w:t>1</w:t>
      </w:r>
      <w:r w:rsidR="00AA2476">
        <w:rPr>
          <w:rFonts w:hint="eastAsia"/>
        </w:rPr>
        <w:t>）对于所有类型的分析师在报告发布前一周到报告发布第二天都有显著的超额收益率；</w:t>
      </w:r>
      <w:r w:rsidR="00AA2476">
        <w:rPr>
          <w:rFonts w:hint="eastAsia"/>
        </w:rPr>
        <w:t>2</w:t>
      </w:r>
      <w:r w:rsidR="00AA2476">
        <w:rPr>
          <w:rFonts w:hint="eastAsia"/>
        </w:rPr>
        <w:t>）择时组的分析师发布的深度报告在发布后两周内的超额收益率消失，而非择时组的超额收益率仍然显著；</w:t>
      </w:r>
      <w:r w:rsidR="00AA2476">
        <w:rPr>
          <w:rFonts w:hint="eastAsia"/>
        </w:rPr>
        <w:t>3</w:t>
      </w:r>
      <w:r w:rsidR="00AA2476">
        <w:rPr>
          <w:rFonts w:hint="eastAsia"/>
        </w:rPr>
        <w:t>）对于报告信息含量更高的分析师而言，其产生的超额收益率要大于报告信息含量较低的分析师，但</w:t>
      </w:r>
      <w:r w:rsidR="005579AF">
        <w:rPr>
          <w:rFonts w:hint="eastAsia"/>
        </w:rPr>
        <w:t>在</w:t>
      </w:r>
      <w:r w:rsidR="00AA2476">
        <w:rPr>
          <w:rFonts w:hint="eastAsia"/>
        </w:rPr>
        <w:t>显著性上没有差异。同时本文还发现，使用不同的</w:t>
      </w:r>
      <w:r w:rsidR="005579AF">
        <w:rPr>
          <w:rFonts w:hint="eastAsia"/>
        </w:rPr>
        <w:t>模型计算超额收益率</w:t>
      </w:r>
      <w:r w:rsidR="00AA2476">
        <w:rPr>
          <w:rFonts w:hint="eastAsia"/>
        </w:rPr>
        <w:t>时，</w:t>
      </w:r>
      <w:r w:rsidR="005579AF">
        <w:rPr>
          <w:rFonts w:hint="eastAsia"/>
        </w:rPr>
        <w:t>结果</w:t>
      </w:r>
      <w:r w:rsidR="00AA2476">
        <w:rPr>
          <w:rFonts w:hint="eastAsia"/>
        </w:rPr>
        <w:t>的</w:t>
      </w:r>
      <w:r w:rsidR="005579AF">
        <w:rPr>
          <w:rFonts w:hint="eastAsia"/>
        </w:rPr>
        <w:t>大小存在</w:t>
      </w:r>
      <w:r w:rsidR="00AA2476">
        <w:rPr>
          <w:rFonts w:hint="eastAsia"/>
        </w:rPr>
        <w:t>系统性</w:t>
      </w:r>
      <w:r w:rsidR="005579AF">
        <w:rPr>
          <w:rFonts w:hint="eastAsia"/>
        </w:rPr>
        <w:t>差异</w:t>
      </w:r>
      <w:r w:rsidR="00AA2476">
        <w:rPr>
          <w:rFonts w:hint="eastAsia"/>
        </w:rPr>
        <w:t>，并直接导致了</w:t>
      </w:r>
      <w:r w:rsidR="005579AF">
        <w:rPr>
          <w:rFonts w:hint="eastAsia"/>
        </w:rPr>
        <w:t>两种方法计算出的</w:t>
      </w:r>
      <w:r w:rsidR="00AA2476">
        <w:rPr>
          <w:rFonts w:hint="eastAsia"/>
        </w:rPr>
        <w:t>报告发布后两周内超额收益率符号</w:t>
      </w:r>
      <w:r w:rsidR="005579AF">
        <w:rPr>
          <w:rFonts w:hint="eastAsia"/>
        </w:rPr>
        <w:t>相反</w:t>
      </w:r>
      <w:r w:rsidR="00AA2476">
        <w:rPr>
          <w:rFonts w:hint="eastAsia"/>
        </w:rPr>
        <w:t>，因此在进行事件研究时需要注意计算方法引起的结论的质的变化。</w:t>
      </w:r>
    </w:p>
    <w:p w14:paraId="5F23CBDE" w14:textId="77777777" w:rsidR="00FE3DCC" w:rsidRDefault="00FE2A36" w:rsidP="00FE2A36">
      <w:pPr>
        <w:pStyle w:val="2"/>
      </w:pPr>
      <w:bookmarkStart w:id="46" w:name="_Toc509527766"/>
      <w:r>
        <w:rPr>
          <w:rFonts w:hint="eastAsia"/>
        </w:rPr>
        <w:t>相关启示与建议</w:t>
      </w:r>
      <w:bookmarkEnd w:id="46"/>
    </w:p>
    <w:p w14:paraId="7B50E055" w14:textId="48F3722C" w:rsidR="00FE2A36" w:rsidRDefault="00FE2A36" w:rsidP="00FE2A36">
      <w:r>
        <w:rPr>
          <w:rFonts w:hint="eastAsia"/>
        </w:rPr>
        <w:t>本文的实证研究结果</w:t>
      </w:r>
      <w:r w:rsidR="00F14509">
        <w:rPr>
          <w:rFonts w:hint="eastAsia"/>
        </w:rPr>
        <w:t>表明</w:t>
      </w:r>
      <w:r>
        <w:rPr>
          <w:rFonts w:hint="eastAsia"/>
        </w:rPr>
        <w:t>，证券分析师</w:t>
      </w:r>
      <w:r w:rsidR="00BC0E83">
        <w:rPr>
          <w:rFonts w:hint="eastAsia"/>
        </w:rPr>
        <w:t>在发布报告时</w:t>
      </w:r>
      <w:r>
        <w:rPr>
          <w:rFonts w:hint="eastAsia"/>
        </w:rPr>
        <w:t>普遍存在</w:t>
      </w:r>
      <w:r w:rsidR="00BC0E83">
        <w:rPr>
          <w:rFonts w:hint="eastAsia"/>
        </w:rPr>
        <w:t>针对投资者情绪</w:t>
      </w:r>
      <w:r>
        <w:rPr>
          <w:rFonts w:hint="eastAsia"/>
        </w:rPr>
        <w:t>的择时行为，</w:t>
      </w:r>
      <w:r w:rsidR="004917C4">
        <w:rPr>
          <w:rFonts w:hint="eastAsia"/>
        </w:rPr>
        <w:t>一方面</w:t>
      </w:r>
      <w:r w:rsidR="00F14509">
        <w:rPr>
          <w:rFonts w:hint="eastAsia"/>
        </w:rPr>
        <w:t>这种倾向</w:t>
      </w:r>
      <w:r w:rsidR="004917C4">
        <w:rPr>
          <w:rFonts w:hint="eastAsia"/>
        </w:rPr>
        <w:t>具有普遍性，另</w:t>
      </w:r>
      <w:r w:rsidR="00F14509">
        <w:rPr>
          <w:rFonts w:hint="eastAsia"/>
        </w:rPr>
        <w:t>一方面受到</w:t>
      </w:r>
      <w:r w:rsidR="004917C4">
        <w:rPr>
          <w:rFonts w:hint="eastAsia"/>
        </w:rPr>
        <w:t>分析师自身能力的影响，即是否能通过报告提供新的信息</w:t>
      </w:r>
      <w:r w:rsidR="00F14509">
        <w:rPr>
          <w:rFonts w:hint="eastAsia"/>
        </w:rPr>
        <w:t>。因此，对我国证券分析师行业的发展和监管提出以下的启示和建议：</w:t>
      </w:r>
    </w:p>
    <w:p w14:paraId="68BB112A" w14:textId="77777777" w:rsidR="00EC12D3" w:rsidRDefault="00EC12D3" w:rsidP="00EC12D3">
      <w:r>
        <w:rPr>
          <w:rFonts w:hint="eastAsia"/>
        </w:rPr>
        <w:t>第一，</w:t>
      </w:r>
      <w:r w:rsidR="004F315A">
        <w:rPr>
          <w:rFonts w:hint="eastAsia"/>
        </w:rPr>
        <w:t>从行业自律的角度：</w:t>
      </w:r>
      <w:r w:rsidR="00F14509">
        <w:rPr>
          <w:rFonts w:hint="eastAsia"/>
        </w:rPr>
        <w:t>优化声誉机制的运行方式</w:t>
      </w:r>
      <w:r w:rsidR="00092E76">
        <w:rPr>
          <w:rFonts w:hint="eastAsia"/>
        </w:rPr>
        <w:t>，改变目前的行业激励模式。在当前的证券分析师行业中，一年一度的“新财富”评选拉票已经成为其工作的一个重要组成部分，究其原因，主要是“新财富”分析师的职业发展和薪酬待遇与非“新财富”分析师差距巨大，在这个高度市场化的行业中，</w:t>
      </w:r>
      <w:r w:rsidR="00684E5D">
        <w:rPr>
          <w:rFonts w:hint="eastAsia"/>
        </w:rPr>
        <w:t>分析师倾向于更好地</w:t>
      </w:r>
      <w:r w:rsidR="00092E76">
        <w:rPr>
          <w:rFonts w:hint="eastAsia"/>
        </w:rPr>
        <w:t>迎合机构投资者的需求</w:t>
      </w:r>
      <w:r w:rsidR="00684E5D">
        <w:rPr>
          <w:rFonts w:hint="eastAsia"/>
        </w:rPr>
        <w:t>以获选明星分析师</w:t>
      </w:r>
      <w:r w:rsidR="00092E76">
        <w:rPr>
          <w:rFonts w:hint="eastAsia"/>
        </w:rPr>
        <w:t>，导致了声誉机制对</w:t>
      </w:r>
      <w:r w:rsidR="00684E5D">
        <w:rPr>
          <w:rFonts w:hint="eastAsia"/>
        </w:rPr>
        <w:t>其</w:t>
      </w:r>
      <w:r w:rsidR="00092E76">
        <w:rPr>
          <w:rFonts w:hint="eastAsia"/>
        </w:rPr>
        <w:t>行为的扭曲。因此，</w:t>
      </w:r>
      <w:r w:rsidR="00684E5D">
        <w:rPr>
          <w:rFonts w:hint="eastAsia"/>
        </w:rPr>
        <w:t>尽管</w:t>
      </w:r>
      <w:r w:rsidR="003A3771">
        <w:rPr>
          <w:rFonts w:hint="eastAsia"/>
        </w:rPr>
        <w:t>声誉机制是激励证券分析师提供优质服务的重要手段，</w:t>
      </w:r>
      <w:r w:rsidR="00F93D71">
        <w:rPr>
          <w:rFonts w:hint="eastAsia"/>
        </w:rPr>
        <w:t>对于现有的投票制度仍然应该加以改革。</w:t>
      </w:r>
    </w:p>
    <w:p w14:paraId="6B8E74DC" w14:textId="77777777" w:rsidR="001257BB" w:rsidRDefault="00EC12D3" w:rsidP="001257BB">
      <w:r>
        <w:rPr>
          <w:rFonts w:hint="eastAsia"/>
        </w:rPr>
        <w:t>第二，</w:t>
      </w:r>
      <w:r w:rsidR="00F93D71">
        <w:rPr>
          <w:rFonts w:hint="eastAsia"/>
        </w:rPr>
        <w:t>从证券分析师自身的角度：应当重视提升自身的专业素质和职业素养，尽管择时能力也是其专业能力的体现之一，证券分析师仍应扮演好资本市场信息中介的角色，培养自己的</w:t>
      </w:r>
      <w:r>
        <w:rPr>
          <w:rFonts w:hint="eastAsia"/>
        </w:rPr>
        <w:t>信息收集和信息处理能力，审慎地发布投资评级报告，以避免损害市场效率与公平。</w:t>
      </w:r>
    </w:p>
    <w:p w14:paraId="53261EBF" w14:textId="77777777" w:rsidR="00F14509" w:rsidRDefault="001257BB" w:rsidP="001257BB">
      <w:r>
        <w:rPr>
          <w:rFonts w:hint="eastAsia"/>
        </w:rPr>
        <w:t>第三，</w:t>
      </w:r>
      <w:r w:rsidR="004F315A">
        <w:rPr>
          <w:rFonts w:hint="eastAsia"/>
        </w:rPr>
        <w:t>从投资者的角度</w:t>
      </w:r>
      <w:r>
        <w:rPr>
          <w:rFonts w:hint="eastAsia"/>
        </w:rPr>
        <w:t>，</w:t>
      </w:r>
      <w:r w:rsidR="004F315A">
        <w:rPr>
          <w:rFonts w:hint="eastAsia"/>
        </w:rPr>
        <w:t>对证券分析师</w:t>
      </w:r>
      <w:r>
        <w:rPr>
          <w:rFonts w:hint="eastAsia"/>
        </w:rPr>
        <w:t>发布</w:t>
      </w:r>
      <w:r w:rsidR="004F315A">
        <w:rPr>
          <w:rFonts w:hint="eastAsia"/>
        </w:rPr>
        <w:t>的研究报告结论应当采取辩证的</w:t>
      </w:r>
      <w:r w:rsidR="004F315A">
        <w:rPr>
          <w:rFonts w:hint="eastAsia"/>
        </w:rPr>
        <w:lastRenderedPageBreak/>
        <w:t>态度，加强自身的投资教育，培养价值投资理念，重视投资经验的积累，提高信息甄别与处理能力，正确解读证券分析师的报告，避免</w:t>
      </w:r>
      <w:r w:rsidR="00092E76">
        <w:rPr>
          <w:rFonts w:hint="eastAsia"/>
        </w:rPr>
        <w:t>跟风和羊群行为，理性投资。</w:t>
      </w:r>
    </w:p>
    <w:p w14:paraId="787664EB" w14:textId="77777777" w:rsidR="00A3309D" w:rsidRPr="00FE2A36" w:rsidRDefault="00A3309D" w:rsidP="001257BB"/>
    <w:p w14:paraId="710A7BE9" w14:textId="77777777" w:rsidR="00740898" w:rsidRDefault="00E2603C" w:rsidP="00E2603C">
      <w:pPr>
        <w:pStyle w:val="2"/>
      </w:pPr>
      <w:bookmarkStart w:id="47" w:name="_Toc509527767"/>
      <w:r>
        <w:rPr>
          <w:rFonts w:hint="eastAsia"/>
        </w:rPr>
        <w:t>研究局限</w:t>
      </w:r>
      <w:r w:rsidR="009B5A0E">
        <w:rPr>
          <w:rFonts w:hint="eastAsia"/>
        </w:rPr>
        <w:t>与展望</w:t>
      </w:r>
      <w:bookmarkEnd w:id="47"/>
    </w:p>
    <w:p w14:paraId="3A409341" w14:textId="77777777" w:rsidR="00E2603C" w:rsidRDefault="00E2603C" w:rsidP="00E2603C">
      <w:r>
        <w:rPr>
          <w:rFonts w:hint="eastAsia"/>
        </w:rPr>
        <w:t>本文的主要局限性有以下几点：</w:t>
      </w:r>
    </w:p>
    <w:p w14:paraId="61D806BE" w14:textId="6E23961E" w:rsidR="00EC12D3" w:rsidRDefault="00EC12D3" w:rsidP="00EC12D3">
      <w:r>
        <w:rPr>
          <w:rFonts w:hint="eastAsia"/>
        </w:rPr>
        <w:t>第一，</w:t>
      </w:r>
      <w:r w:rsidR="001257BB">
        <w:rPr>
          <w:rFonts w:hint="eastAsia"/>
        </w:rPr>
        <w:t>受数据来源限制，无法获得更精确的证券分析师报告发布时间。如果证券分析师是在当日股票市场收盘之后发布研究报告，在计量累积超额收益时则应当将当日的收益也视为报告发布前窗口，但由于只能获得报告的发布日期，因此本文对此无法进行进一步的处理。</w:t>
      </w:r>
    </w:p>
    <w:p w14:paraId="37879CE3" w14:textId="1BD18A33" w:rsidR="009B5A0E" w:rsidRDefault="004917C4" w:rsidP="00EC12D3">
      <w:r>
        <w:rPr>
          <w:rFonts w:hint="eastAsia"/>
        </w:rPr>
        <w:t>第二</w:t>
      </w:r>
      <w:r w:rsidR="009B5A0E">
        <w:rPr>
          <w:rFonts w:hint="eastAsia"/>
        </w:rPr>
        <w:t>，本文在考虑事件窗口时，考虑到研究目的与传统事件研究考察事件效应的目的不同，因此并未剔除窗口</w:t>
      </w:r>
      <w:r w:rsidR="006E364A">
        <w:rPr>
          <w:rFonts w:hint="eastAsia"/>
        </w:rPr>
        <w:t>之间</w:t>
      </w:r>
      <w:r w:rsidR="009B5A0E">
        <w:rPr>
          <w:rFonts w:hint="eastAsia"/>
        </w:rPr>
        <w:t>发生重叠的事件，但窗口的重叠情况仍然可能对结论造成了一定程度上的干扰。</w:t>
      </w:r>
    </w:p>
    <w:p w14:paraId="689A7F96" w14:textId="7260EA0D" w:rsidR="001257BB" w:rsidRDefault="00402B6A" w:rsidP="00EC12D3">
      <w:r>
        <w:rPr>
          <w:rFonts w:hint="eastAsia"/>
        </w:rPr>
        <w:t>除了</w:t>
      </w:r>
      <w:r w:rsidR="006E364A">
        <w:rPr>
          <w:rFonts w:hint="eastAsia"/>
        </w:rPr>
        <w:t>可</w:t>
      </w:r>
      <w:r>
        <w:rPr>
          <w:rFonts w:hint="eastAsia"/>
        </w:rPr>
        <w:t>对以上几个问题进行改进之外，目前</w:t>
      </w:r>
      <w:r w:rsidR="001257BB">
        <w:rPr>
          <w:rFonts w:hint="eastAsia"/>
        </w:rPr>
        <w:t>许多关于公司财务和资本市场的文献都</w:t>
      </w:r>
      <w:r w:rsidR="009B5A0E">
        <w:rPr>
          <w:rFonts w:hint="eastAsia"/>
        </w:rPr>
        <w:t>开始</w:t>
      </w:r>
      <w:r w:rsidR="001257BB">
        <w:rPr>
          <w:rFonts w:hint="eastAsia"/>
        </w:rPr>
        <w:t>关注</w:t>
      </w:r>
      <w:r w:rsidR="009B5A0E">
        <w:rPr>
          <w:rFonts w:hint="eastAsia"/>
        </w:rPr>
        <w:t>市场主体的背景信息，</w:t>
      </w:r>
      <w:r w:rsidR="004917C4">
        <w:rPr>
          <w:rFonts w:hint="eastAsia"/>
        </w:rPr>
        <w:t>例如从性别角度出发，通过行为金融理论解释市场主体的行为或认知偏差，</w:t>
      </w:r>
      <w:r>
        <w:rPr>
          <w:rFonts w:hint="eastAsia"/>
        </w:rPr>
        <w:t>而</w:t>
      </w:r>
      <w:r w:rsidR="009B5A0E">
        <w:rPr>
          <w:rFonts w:hint="eastAsia"/>
        </w:rPr>
        <w:t>本文</w:t>
      </w:r>
      <w:r w:rsidR="004917C4">
        <w:rPr>
          <w:rFonts w:hint="eastAsia"/>
        </w:rPr>
        <w:t>对</w:t>
      </w:r>
      <w:r w:rsidR="009B5A0E">
        <w:rPr>
          <w:rFonts w:hint="eastAsia"/>
        </w:rPr>
        <w:t>证券分析师的性别和教育</w:t>
      </w:r>
      <w:r w:rsidR="004917C4">
        <w:rPr>
          <w:rFonts w:hint="eastAsia"/>
        </w:rPr>
        <w:t>等</w:t>
      </w:r>
      <w:r w:rsidR="009B5A0E">
        <w:rPr>
          <w:rFonts w:hint="eastAsia"/>
        </w:rPr>
        <w:t>背景</w:t>
      </w:r>
      <w:r w:rsidR="004917C4">
        <w:rPr>
          <w:rFonts w:hint="eastAsia"/>
        </w:rPr>
        <w:t>尚未纳入考察，这些因素是否对证券分析师的择时行为产生影响</w:t>
      </w:r>
      <w:r w:rsidR="009B5A0E">
        <w:rPr>
          <w:rFonts w:hint="eastAsia"/>
        </w:rPr>
        <w:t>也是一个值得关注的问题</w:t>
      </w:r>
      <w:r>
        <w:rPr>
          <w:rFonts w:hint="eastAsia"/>
        </w:rPr>
        <w:t>，可就证券分析师的其他背景信息进行更深入的研究</w:t>
      </w:r>
      <w:r w:rsidR="009B5A0E">
        <w:rPr>
          <w:rFonts w:hint="eastAsia"/>
        </w:rPr>
        <w:t>。</w:t>
      </w:r>
    </w:p>
    <w:p w14:paraId="0A1D9681" w14:textId="77777777" w:rsidR="00E2603C" w:rsidRDefault="00E2603C" w:rsidP="00C51E79"/>
    <w:p w14:paraId="2C2393C1" w14:textId="77777777" w:rsidR="00C51E79" w:rsidRDefault="00C51E79" w:rsidP="00C51E79">
      <w:pPr>
        <w:sectPr w:rsidR="00C51E79">
          <w:headerReference w:type="default" r:id="rId37"/>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6BE81220" w14:textId="77777777" w:rsidR="00C51E79" w:rsidRDefault="00C51E79" w:rsidP="00740898">
      <w:pPr>
        <w:pStyle w:val="1"/>
        <w:numPr>
          <w:ilvl w:val="0"/>
          <w:numId w:val="0"/>
        </w:numPr>
      </w:pPr>
      <w:bookmarkStart w:id="48" w:name="_Toc509527768"/>
      <w:r>
        <w:rPr>
          <w:rFonts w:hint="eastAsia"/>
        </w:rPr>
        <w:lastRenderedPageBreak/>
        <w:t>参考文献</w:t>
      </w:r>
      <w:bookmarkEnd w:id="48"/>
    </w:p>
    <w:sectPr w:rsidR="00C51E79">
      <w:headerReference w:type="even" r:id="rId38"/>
      <w:headerReference w:type="default" r:id="rId39"/>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4424" w14:textId="77777777" w:rsidR="00952AE5" w:rsidRDefault="00952AE5" w:rsidP="00EE2202"/>
  </w:endnote>
  <w:endnote w:type="continuationSeparator" w:id="0">
    <w:p w14:paraId="031EB1B2" w14:textId="77777777" w:rsidR="00952AE5" w:rsidRDefault="00952AE5" w:rsidP="00EE2202"/>
  </w:endnote>
  <w:endnote w:type="continuationNotice" w:id="1">
    <w:p w14:paraId="7DF85222" w14:textId="77777777" w:rsidR="00952AE5" w:rsidRDefault="00952AE5">
      <w:pPr>
        <w:spacing w:line="240" w:lineRule="auto"/>
      </w:pPr>
    </w:p>
  </w:endnote>
  <w:endnote w:id="2">
    <w:p w14:paraId="05EA0ACF" w14:textId="140A2F8D"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Basi B A, Carey K J, Twark R D. A Comparison of the Accuracy of Corporate and Security Analysts’ Forecasts of Earnings.[J]. Accounting Review, 1976, 51(2): 244.</w:t>
      </w:r>
    </w:p>
  </w:endnote>
  <w:endnote w:id="3">
    <w:p w14:paraId="0A02CF5C" w14:textId="413D9107"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O’Brien P C. Analysts' Forecasts as Earnings Expectations[J]. Journal of Accounting and Economics, 1988, 10(1): 53-83.</w:t>
      </w:r>
    </w:p>
  </w:endnote>
  <w:endnote w:id="4">
    <w:p w14:paraId="4A55B8D3" w14:textId="3B5CDB04"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Butler K C, Lang L H P. The Forecast Accuracy of Individual Analysts: Evidence of Systematic Optimism and Pessimism[J]. Journal of Accounting Research, 1991, 29(1): 150.</w:t>
      </w:r>
    </w:p>
  </w:endnote>
  <w:endnote w:id="5">
    <w:p w14:paraId="74A3B528" w14:textId="2225D54D"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Lang M H, Lundholm R J. Corporate disclosure policy and analyst behavior[J]. Accounting Review, 1996, 71(4): 467-492.</w:t>
      </w:r>
    </w:p>
  </w:endnote>
  <w:endnote w:id="6">
    <w:p w14:paraId="1DE729B7" w14:textId="543C41D5"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Higgins H N. Analyst Forecasting Performance in Seven Countries[J]. Financial Analysts Journal, 1998, 54(3): 58-62.</w:t>
      </w:r>
    </w:p>
  </w:endnote>
  <w:endnote w:id="7">
    <w:p w14:paraId="50608CE5" w14:textId="09FAA9C2"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Barron O E, Kile C O, O’Keefe T B. MD&amp;A Quality as Measured by the SEC and Analysts’ Earnings Forecasts[J]. Contemporary Accounting Research, 1999, 16(1): 75-109.</w:t>
      </w:r>
    </w:p>
  </w:endnote>
  <w:endnote w:id="8">
    <w:p w14:paraId="409D184F" w14:textId="5A68FAC4"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Bowen R M, Davis A K, Matsumoto D A, et al. Do Conference Calls Affect Analysts' Forecasts?[J]. The Accounting Review, 2002, 77(2): 285-316.</w:t>
      </w:r>
    </w:p>
  </w:endnote>
  <w:endnote w:id="9">
    <w:p w14:paraId="7EE7D878" w14:textId="57DFF582"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Byard D, Shaw K W. Corporate Disclosure Quality and Properties of Analysts' Information Environment[J]. Journal of Accounting, Auditing &amp; Finance, 2003, 18(3): 355-378.</w:t>
      </w:r>
    </w:p>
  </w:endnote>
  <w:endnote w:id="10">
    <w:p w14:paraId="6234AF3F" w14:textId="5C58873A"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方军雄</w:t>
      </w:r>
      <w:r w:rsidRPr="00EE48D6">
        <w:rPr>
          <w:rFonts w:hint="eastAsia"/>
        </w:rPr>
        <w:t>.</w:t>
      </w:r>
      <w:r w:rsidRPr="00EE48D6">
        <w:rPr>
          <w:rFonts w:hint="eastAsia"/>
        </w:rPr>
        <w:t>我国上市公司信息披露透明度与证券分析师预测</w:t>
      </w:r>
      <w:r w:rsidRPr="00EE48D6">
        <w:rPr>
          <w:rFonts w:hint="eastAsia"/>
        </w:rPr>
        <w:t>[J].</w:t>
      </w:r>
      <w:r w:rsidRPr="00EE48D6">
        <w:rPr>
          <w:rFonts w:hint="eastAsia"/>
        </w:rPr>
        <w:t>金融研究</w:t>
      </w:r>
      <w:r w:rsidRPr="00EE48D6">
        <w:rPr>
          <w:rFonts w:hint="eastAsia"/>
        </w:rPr>
        <w:t>,2007(06):136-148.</w:t>
      </w:r>
    </w:p>
  </w:endnote>
  <w:endnote w:id="11">
    <w:p w14:paraId="0D16E03C" w14:textId="20624CC6"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谭跃</w:t>
      </w:r>
      <w:r w:rsidRPr="00EE48D6">
        <w:rPr>
          <w:rFonts w:hint="eastAsia"/>
        </w:rPr>
        <w:t>,</w:t>
      </w:r>
      <w:r w:rsidRPr="00EE48D6">
        <w:rPr>
          <w:rFonts w:hint="eastAsia"/>
        </w:rPr>
        <w:t>钟子英</w:t>
      </w:r>
      <w:r w:rsidRPr="00EE48D6">
        <w:rPr>
          <w:rFonts w:hint="eastAsia"/>
        </w:rPr>
        <w:t>,</w:t>
      </w:r>
      <w:r w:rsidRPr="00EE48D6">
        <w:rPr>
          <w:rFonts w:hint="eastAsia"/>
        </w:rPr>
        <w:t>管总平</w:t>
      </w:r>
      <w:r w:rsidRPr="00EE48D6">
        <w:rPr>
          <w:rFonts w:hint="eastAsia"/>
        </w:rPr>
        <w:t>.</w:t>
      </w:r>
      <w:r w:rsidRPr="00EE48D6">
        <w:rPr>
          <w:rFonts w:hint="eastAsia"/>
        </w:rPr>
        <w:t>公平信息披露规则能缓解证券分析师的利益冲突吗</w:t>
      </w:r>
      <w:r w:rsidRPr="00EE48D6">
        <w:rPr>
          <w:rFonts w:hint="eastAsia"/>
        </w:rPr>
        <w:t>[J].</w:t>
      </w:r>
      <w:r w:rsidRPr="00EE48D6">
        <w:rPr>
          <w:rFonts w:hint="eastAsia"/>
        </w:rPr>
        <w:t>南开管理评论</w:t>
      </w:r>
      <w:r w:rsidRPr="00EE48D6">
        <w:rPr>
          <w:rFonts w:hint="eastAsia"/>
        </w:rPr>
        <w:t>,2013,16(04):43-54.</w:t>
      </w:r>
    </w:p>
  </w:endnote>
  <w:endnote w:id="12">
    <w:p w14:paraId="61EAE945" w14:textId="59586C8D"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蒋德权</w:t>
      </w:r>
      <w:r w:rsidRPr="00EE48D6">
        <w:rPr>
          <w:rFonts w:hint="eastAsia"/>
        </w:rPr>
        <w:t>,</w:t>
      </w:r>
      <w:r w:rsidRPr="00EE48D6">
        <w:rPr>
          <w:rFonts w:hint="eastAsia"/>
        </w:rPr>
        <w:t>徐巍</w:t>
      </w:r>
      <w:r w:rsidRPr="00EE48D6">
        <w:rPr>
          <w:rFonts w:hint="eastAsia"/>
        </w:rPr>
        <w:t>.</w:t>
      </w:r>
      <w:r w:rsidRPr="00EE48D6">
        <w:rPr>
          <w:rFonts w:hint="eastAsia"/>
        </w:rPr>
        <w:t>内部资本市场影响证券分析师预测吗</w:t>
      </w:r>
      <w:r w:rsidRPr="00EE48D6">
        <w:rPr>
          <w:rFonts w:hint="eastAsia"/>
        </w:rPr>
        <w:t>?</w:t>
      </w:r>
      <w:r w:rsidRPr="00EE48D6">
        <w:rPr>
          <w:rFonts w:hint="eastAsia"/>
        </w:rPr>
        <w:t>——基于我国企业集团的经验证据</w:t>
      </w:r>
      <w:r w:rsidRPr="00EE48D6">
        <w:rPr>
          <w:rFonts w:hint="eastAsia"/>
        </w:rPr>
        <w:t>[J].</w:t>
      </w:r>
      <w:r w:rsidRPr="00EE48D6">
        <w:rPr>
          <w:rFonts w:hint="eastAsia"/>
        </w:rPr>
        <w:t>财经论丛</w:t>
      </w:r>
      <w:r w:rsidRPr="00EE48D6">
        <w:rPr>
          <w:rFonts w:hint="eastAsia"/>
        </w:rPr>
        <w:t>,2016,09:53-62.</w:t>
      </w:r>
    </w:p>
  </w:endnote>
  <w:endnote w:id="13">
    <w:p w14:paraId="06EE438A" w14:textId="24D94118"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高瑜彬</w:t>
      </w:r>
      <w:r w:rsidRPr="00EE48D6">
        <w:rPr>
          <w:rFonts w:hint="eastAsia"/>
        </w:rPr>
        <w:t>,</w:t>
      </w:r>
      <w:r w:rsidRPr="00EE48D6">
        <w:rPr>
          <w:rFonts w:hint="eastAsia"/>
        </w:rPr>
        <w:t>廖芬</w:t>
      </w:r>
      <w:r w:rsidRPr="00EE48D6">
        <w:rPr>
          <w:rFonts w:hint="eastAsia"/>
        </w:rPr>
        <w:t>,</w:t>
      </w:r>
      <w:r w:rsidRPr="00EE48D6">
        <w:rPr>
          <w:rFonts w:hint="eastAsia"/>
        </w:rPr>
        <w:t>刘志洋</w:t>
      </w:r>
      <w:r w:rsidRPr="00EE48D6">
        <w:rPr>
          <w:rFonts w:hint="eastAsia"/>
        </w:rPr>
        <w:t>.</w:t>
      </w:r>
      <w:r w:rsidRPr="00EE48D6">
        <w:rPr>
          <w:rFonts w:hint="eastAsia"/>
        </w:rPr>
        <w:t>异常审计费用与证券分析师盈余预测有效性——基于我国</w:t>
      </w:r>
      <w:r w:rsidRPr="00EE48D6">
        <w:rPr>
          <w:rFonts w:hint="eastAsia"/>
        </w:rPr>
        <w:t>A</w:t>
      </w:r>
      <w:r w:rsidRPr="00EE48D6">
        <w:rPr>
          <w:rFonts w:hint="eastAsia"/>
        </w:rPr>
        <w:t>股上市公司的证据</w:t>
      </w:r>
      <w:r w:rsidRPr="00EE48D6">
        <w:rPr>
          <w:rFonts w:hint="eastAsia"/>
        </w:rPr>
        <w:t>[J].</w:t>
      </w:r>
      <w:r w:rsidRPr="00EE48D6">
        <w:rPr>
          <w:rFonts w:hint="eastAsia"/>
        </w:rPr>
        <w:t>审计研究</w:t>
      </w:r>
      <w:r w:rsidRPr="00EE48D6">
        <w:rPr>
          <w:rFonts w:hint="eastAsia"/>
        </w:rPr>
        <w:t>,2017(04):81-88.</w:t>
      </w:r>
    </w:p>
  </w:endnote>
  <w:endnote w:id="14">
    <w:p w14:paraId="229532C1" w14:textId="26EB3AFF"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Francis J, Philbrick D. Analysts’ Decisions as Products of a Multi-Task Environment[J]. Journal of Accounting Research, 1993, 31(2): 216-230.</w:t>
      </w:r>
    </w:p>
  </w:endnote>
  <w:endnote w:id="15">
    <w:p w14:paraId="74667A86" w14:textId="3237E484"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McNichols M F, Obrien P C. Self-selection and Analyst Coverage[J]. Journal of Accounting Research, 1997: 167-199.</w:t>
      </w:r>
    </w:p>
  </w:endnote>
  <w:endnote w:id="16">
    <w:p w14:paraId="79170393" w14:textId="49278029"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吴超鹏</w:t>
      </w:r>
      <w:r w:rsidRPr="00EE48D6">
        <w:rPr>
          <w:rFonts w:hint="eastAsia"/>
        </w:rPr>
        <w:t>,</w:t>
      </w:r>
      <w:r w:rsidRPr="00EE48D6">
        <w:rPr>
          <w:rFonts w:hint="eastAsia"/>
        </w:rPr>
        <w:t>郑方镳</w:t>
      </w:r>
      <w:r w:rsidRPr="00EE48D6">
        <w:rPr>
          <w:rFonts w:hint="eastAsia"/>
        </w:rPr>
        <w:t>,</w:t>
      </w:r>
      <w:r w:rsidRPr="00EE48D6">
        <w:rPr>
          <w:rFonts w:hint="eastAsia"/>
        </w:rPr>
        <w:t>杨世杰</w:t>
      </w:r>
      <w:r w:rsidRPr="00EE48D6">
        <w:rPr>
          <w:rFonts w:hint="eastAsia"/>
        </w:rPr>
        <w:t>.</w:t>
      </w:r>
      <w:r w:rsidRPr="00EE48D6">
        <w:rPr>
          <w:rFonts w:hint="eastAsia"/>
        </w:rPr>
        <w:t>证券分析师的盈余预测和股票评级是否具有独立性</w:t>
      </w:r>
      <w:r w:rsidRPr="00EE48D6">
        <w:rPr>
          <w:rFonts w:hint="eastAsia"/>
        </w:rPr>
        <w:t>?[J].</w:t>
      </w:r>
      <w:r w:rsidRPr="00EE48D6">
        <w:rPr>
          <w:rFonts w:hint="eastAsia"/>
        </w:rPr>
        <w:t>经济学</w:t>
      </w:r>
      <w:r w:rsidRPr="00EE48D6">
        <w:rPr>
          <w:rFonts w:hint="eastAsia"/>
        </w:rPr>
        <w:t>(</w:t>
      </w:r>
      <w:r w:rsidRPr="00EE48D6">
        <w:rPr>
          <w:rFonts w:hint="eastAsia"/>
        </w:rPr>
        <w:t>季刊</w:t>
      </w:r>
      <w:r w:rsidRPr="00EE48D6">
        <w:rPr>
          <w:rFonts w:hint="eastAsia"/>
        </w:rPr>
        <w:t>),2013,1203:935-958.</w:t>
      </w:r>
    </w:p>
  </w:endnote>
  <w:endnote w:id="17">
    <w:p w14:paraId="396A9916" w14:textId="0E524239"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Das S, Levine C B, Sivaramakrishnan K. Earnings Predictability and Bias in Analysts’ Earnings Forecasts[J]. Accounting Review, 1998, 73(2): 277-294.</w:t>
      </w:r>
    </w:p>
  </w:endnote>
  <w:endnote w:id="18">
    <w:p w14:paraId="45E1A413" w14:textId="1C09BF58"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Chen S, Matsumoto D A. Favorable versus Unfavorable Recommendations: The Impact on Analyst Access to Management</w:t>
      </w:r>
      <w:r w:rsidRPr="00EE48D6">
        <w:rPr>
          <w:rFonts w:hint="eastAsia"/>
        </w:rPr>
        <w:t>‐</w:t>
      </w:r>
      <w:r w:rsidRPr="00EE48D6">
        <w:rPr>
          <w:rFonts w:hint="eastAsia"/>
        </w:rPr>
        <w:t>Provided Information[J]. Journal of Accounting Research, 2006, 44(4): 657-689.</w:t>
      </w:r>
    </w:p>
  </w:endnote>
  <w:endnote w:id="19">
    <w:p w14:paraId="12D8BFB4" w14:textId="21ACC0F6"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Lin H, McNichols M F. Underwriting Relationships, Analysts' Earnings Forecasts and Investment Recommendations[J]. Journal of Accounting and Economics, 1998, 25(1): 101-127.</w:t>
      </w:r>
    </w:p>
  </w:endnote>
  <w:endnote w:id="20">
    <w:p w14:paraId="7EE32EAA" w14:textId="28B44FF7"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Michaely R, Womack K L. Conflict of Interest and the Credibility of Underwriter Analyst Recommendations[J]. Review of Financial Studies, 1999, 12(4): 653-686.</w:t>
      </w:r>
    </w:p>
  </w:endnote>
  <w:endnote w:id="21">
    <w:p w14:paraId="622F23AB" w14:textId="0F5256A1"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Cowen A, Groysberg B, Healy P M, et al. Which Types of Analyst Firms Are More Optimistic[J]. Journal of Accounting and Economics, 2006, 41(1): 119-146.</w:t>
      </w:r>
    </w:p>
  </w:endnote>
  <w:endnote w:id="22">
    <w:p w14:paraId="16150FA3" w14:textId="5F3E0CA1"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Firth M, Lin C, Liu P</w:t>
      </w:r>
      <w:r w:rsidRPr="00EE48D6">
        <w:rPr>
          <w:rFonts w:hint="eastAsia"/>
          <w:lang w:val="da-DK"/>
        </w:rPr>
        <w:t xml:space="preserve"> et al. </w:t>
      </w:r>
      <w:r w:rsidRPr="00EE48D6">
        <w:rPr>
          <w:rFonts w:hint="eastAsia"/>
        </w:rPr>
        <w:t>The Client Is King: Do Mutual Fund Relationships Bias Analyst Recommendations?</w:t>
      </w:r>
      <w:r w:rsidRPr="00EE48D6">
        <w:t xml:space="preserve"> </w:t>
      </w:r>
      <w:r w:rsidRPr="00EE48D6">
        <w:rPr>
          <w:rFonts w:hint="eastAsia"/>
        </w:rPr>
        <w:t>[J]. Journal of Accounting Research, 2013, 51(1): 165</w:t>
      </w:r>
      <w:r w:rsidRPr="00EE48D6">
        <w:t>-</w:t>
      </w:r>
      <w:r w:rsidRPr="00EE48D6">
        <w:rPr>
          <w:rFonts w:hint="eastAsia"/>
        </w:rPr>
        <w:t>200.</w:t>
      </w:r>
    </w:p>
  </w:endnote>
  <w:endnote w:id="23">
    <w:p w14:paraId="4F681026" w14:textId="10E8354B"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Gu Z, Li Z, Yang Y G, et al. </w:t>
      </w:r>
      <w:r w:rsidRPr="00EE48D6">
        <w:t>Monitors or Predators: The Influence of Institutional Investors on Sell-side Analysts[J]. The Accounting Review, 2013, 88(1): 137-169.</w:t>
      </w:r>
    </w:p>
  </w:endnote>
  <w:endnote w:id="24">
    <w:p w14:paraId="24515AA7" w14:textId="3AAE4287"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孔东民</w:t>
      </w:r>
      <w:r w:rsidRPr="00EE48D6">
        <w:rPr>
          <w:rFonts w:hint="eastAsia"/>
        </w:rPr>
        <w:t>,</w:t>
      </w:r>
      <w:r w:rsidRPr="00EE48D6">
        <w:rPr>
          <w:rFonts w:hint="eastAsia"/>
        </w:rPr>
        <w:t>王琪瑶</w:t>
      </w:r>
      <w:r w:rsidRPr="00EE48D6">
        <w:rPr>
          <w:rFonts w:hint="eastAsia"/>
        </w:rPr>
        <w:t>.</w:t>
      </w:r>
      <w:r w:rsidRPr="00EE48D6">
        <w:rPr>
          <w:rFonts w:hint="eastAsia"/>
        </w:rPr>
        <w:t>买方压力、机构持股与分析师预测偏差</w:t>
      </w:r>
      <w:r w:rsidRPr="00EE48D6">
        <w:rPr>
          <w:rFonts w:hint="eastAsia"/>
        </w:rPr>
        <w:t>[J].</w:t>
      </w:r>
      <w:r w:rsidRPr="00EE48D6">
        <w:rPr>
          <w:rFonts w:hint="eastAsia"/>
        </w:rPr>
        <w:t>证券市场导报</w:t>
      </w:r>
      <w:r w:rsidRPr="00EE48D6">
        <w:rPr>
          <w:rFonts w:hint="eastAsia"/>
        </w:rPr>
        <w:t>,2017,10:4-11+18.</w:t>
      </w:r>
    </w:p>
  </w:endnote>
  <w:endnote w:id="25">
    <w:p w14:paraId="19EDC939" w14:textId="6BCB4E19"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Mikhail M B, Walther B R, Willis R H, et al. Does Forecast Accuracy Matter to Security Analysts[J]. The Accounting Review, 1999, 74(2): 185-200.</w:t>
      </w:r>
    </w:p>
  </w:endnote>
  <w:endnote w:id="26">
    <w:p w14:paraId="3527CB21" w14:textId="4F0C340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Hong H, Kubik J D. Analyzing the Analysts: Career Concerns and Biased Earnings Forecasts[J]. The journal of finance, 2003, Vol. LVIII(1): 313-351.</w:t>
      </w:r>
    </w:p>
  </w:endnote>
  <w:endnote w:id="27">
    <w:p w14:paraId="6A18615A" w14:textId="77900EF7"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Mikhail M B, Walther B R, Willis R H, et al. Do Security Analysts Improve Their Performance with Experience[J]. Journal of Accounting Research, 1997: 131-157.</w:t>
      </w:r>
    </w:p>
  </w:endnote>
  <w:endnote w:id="28">
    <w:p w14:paraId="4E2A4AD1" w14:textId="1F03BBE2"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Mikhail M B, Walther B R, Willis R H, et al. Do Security Analysts Exhibit Persistent Differences in Stock Picking Ability[J]. Journal of Financial Economics, 2004, 74(1): 67-91.</w:t>
      </w:r>
    </w:p>
  </w:endnote>
  <w:endnote w:id="29">
    <w:p w14:paraId="0270CD14" w14:textId="1C15B8CB"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Kadan O, Madureira L</w:t>
      </w:r>
      <w:r w:rsidRPr="00EE48D6">
        <w:rPr>
          <w:rFonts w:hint="eastAsia"/>
          <w:lang w:val="da-DK"/>
        </w:rPr>
        <w:t xml:space="preserve">, </w:t>
      </w:r>
      <w:r w:rsidRPr="00EE48D6">
        <w:rPr>
          <w:lang w:val="da-DK"/>
        </w:rPr>
        <w:t xml:space="preserve">Wang R </w:t>
      </w:r>
      <w:r w:rsidRPr="00EE48D6">
        <w:rPr>
          <w:rFonts w:hint="eastAsia"/>
          <w:lang w:val="da-DK"/>
        </w:rPr>
        <w:t>e</w:t>
      </w:r>
      <w:r w:rsidRPr="00EE48D6">
        <w:rPr>
          <w:lang w:val="da-DK"/>
        </w:rPr>
        <w:t>t al</w:t>
      </w:r>
      <w:r w:rsidRPr="00EE48D6">
        <w:rPr>
          <w:rFonts w:hint="eastAsia"/>
          <w:lang w:val="da-DK"/>
        </w:rPr>
        <w:t xml:space="preserve">. </w:t>
      </w:r>
      <w:r w:rsidRPr="00EE48D6">
        <w:rPr>
          <w:rFonts w:hint="eastAsia"/>
        </w:rPr>
        <w:t>Analysts</w:t>
      </w:r>
      <w:r w:rsidRPr="00EE48D6">
        <w:t>’</w:t>
      </w:r>
      <w:r w:rsidRPr="00EE48D6">
        <w:rPr>
          <w:rFonts w:hint="eastAsia"/>
        </w:rPr>
        <w:t xml:space="preserve"> </w:t>
      </w:r>
      <w:r w:rsidRPr="00EE48D6">
        <w:t>Industry Expertise</w:t>
      </w:r>
      <w:r w:rsidRPr="00EE48D6">
        <w:rPr>
          <w:rFonts w:hint="eastAsia"/>
        </w:rPr>
        <w:t>[J]. Journal of Accounting and Economics, 2012, 54(2-3): 95-120.</w:t>
      </w:r>
    </w:p>
  </w:endnote>
  <w:endnote w:id="30">
    <w:p w14:paraId="6B5FE475" w14:textId="1BB83025"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刘永泽</w:t>
      </w:r>
      <w:r w:rsidRPr="00EE48D6">
        <w:rPr>
          <w:rFonts w:hint="eastAsia"/>
        </w:rPr>
        <w:t>,</w:t>
      </w:r>
      <w:r w:rsidRPr="00EE48D6">
        <w:rPr>
          <w:rFonts w:hint="eastAsia"/>
        </w:rPr>
        <w:t>高嵩</w:t>
      </w:r>
      <w:r w:rsidRPr="00EE48D6">
        <w:rPr>
          <w:rFonts w:hint="eastAsia"/>
        </w:rPr>
        <w:t>.</w:t>
      </w:r>
      <w:r w:rsidRPr="00EE48D6">
        <w:rPr>
          <w:rFonts w:hint="eastAsia"/>
        </w:rPr>
        <w:t>证券分析师行业专长、预测准确性与市场反应</w:t>
      </w:r>
      <w:r w:rsidRPr="00EE48D6">
        <w:rPr>
          <w:rFonts w:hint="eastAsia"/>
        </w:rPr>
        <w:t>[J].</w:t>
      </w:r>
      <w:r w:rsidRPr="00EE48D6">
        <w:rPr>
          <w:rFonts w:hint="eastAsia"/>
        </w:rPr>
        <w:t>经济管理</w:t>
      </w:r>
      <w:r w:rsidRPr="00EE48D6">
        <w:rPr>
          <w:rFonts w:hint="eastAsia"/>
        </w:rPr>
        <w:t>,2015,06:87-97.</w:t>
      </w:r>
    </w:p>
  </w:endnote>
  <w:endnote w:id="31">
    <w:p w14:paraId="4A89D41A" w14:textId="4F2FC1A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Jacob J, Lys T Z, Neale M A. Expertise in Forecasting Performance of Security Analysts[J]. Journal of Accounting and Economics, 1999, 28(1): 51-82.</w:t>
      </w:r>
    </w:p>
  </w:endnote>
  <w:endnote w:id="32">
    <w:p w14:paraId="2CB3CCAD" w14:textId="11F50A61"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张宗新</w:t>
      </w:r>
      <w:r w:rsidRPr="00EE48D6">
        <w:rPr>
          <w:rFonts w:hint="eastAsia"/>
        </w:rPr>
        <w:t>,</w:t>
      </w:r>
      <w:r w:rsidRPr="00EE48D6">
        <w:rPr>
          <w:rFonts w:hint="eastAsia"/>
        </w:rPr>
        <w:t>姚佩怡</w:t>
      </w:r>
      <w:r w:rsidRPr="00EE48D6">
        <w:rPr>
          <w:rFonts w:hint="eastAsia"/>
        </w:rPr>
        <w:t>.</w:t>
      </w:r>
      <w:r w:rsidRPr="00EE48D6">
        <w:rPr>
          <w:rFonts w:hint="eastAsia"/>
        </w:rPr>
        <w:t>“天赋异禀”、“熟能生巧”还是“日久生情”——基于中国证券分析师预测能力的经验证据</w:t>
      </w:r>
      <w:r w:rsidRPr="00EE48D6">
        <w:rPr>
          <w:rFonts w:hint="eastAsia"/>
        </w:rPr>
        <w:t>[J].</w:t>
      </w:r>
      <w:r w:rsidRPr="00EE48D6">
        <w:rPr>
          <w:rFonts w:hint="eastAsia"/>
        </w:rPr>
        <w:t>经济理论与经济管理</w:t>
      </w:r>
      <w:r w:rsidRPr="00EE48D6">
        <w:rPr>
          <w:rFonts w:hint="eastAsia"/>
        </w:rPr>
        <w:t>,2017(07):64-76.</w:t>
      </w:r>
    </w:p>
  </w:endnote>
  <w:endnote w:id="33">
    <w:p w14:paraId="0C3DD696" w14:textId="265F0286"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Trueman B. Analyst Forecasts and Herding Behavior[J]. Review of Financial Studies, 1994, 7(1): 97–124.</w:t>
      </w:r>
    </w:p>
  </w:endnote>
  <w:endnote w:id="34">
    <w:p w14:paraId="306E85E0" w14:textId="0384BA3C"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Welch I. Herding Among Security Analysts[J]. Journal of Financial Economics, 2000, 58(3): 369-396.</w:t>
      </w:r>
    </w:p>
  </w:endnote>
  <w:endnote w:id="35">
    <w:p w14:paraId="70620859" w14:textId="41B5406D"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Hong H G, Kubik J D, Solomon A, et al. </w:t>
      </w:r>
      <w:r w:rsidRPr="00EE48D6">
        <w:t>Security Analysts' Career Concerns and Herding of Earnings Forecasts[J]. The RAND Journal of Economics, 2000, 31(1): 121-144.</w:t>
      </w:r>
    </w:p>
  </w:endnote>
  <w:endnote w:id="36">
    <w:p w14:paraId="3F18464A" w14:textId="090850BD"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Clement M B, Tse S Y. Financial Analyst Characteristics and Herding Behavior in Forecasting[J]. The Journal of Finance, 2005, 60(1): 307–341.</w:t>
      </w:r>
    </w:p>
  </w:endnote>
  <w:endnote w:id="37">
    <w:p w14:paraId="08716341" w14:textId="1D94EC2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Jegadeesh N, Kim W. Do Analysts Herd? An Analysis of Recommendations and Market Reactions[J]. Review of Financial Studies, 2010, 23(2): 901–937.</w:t>
      </w:r>
    </w:p>
  </w:endnote>
  <w:endnote w:id="38">
    <w:p w14:paraId="48717DFC" w14:textId="68D67586"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张玮倩</w:t>
      </w:r>
      <w:r w:rsidRPr="00EE48D6">
        <w:rPr>
          <w:rFonts w:hint="eastAsia"/>
        </w:rPr>
        <w:t>,</w:t>
      </w:r>
      <w:r w:rsidRPr="00EE48D6">
        <w:rPr>
          <w:rFonts w:hint="eastAsia"/>
        </w:rPr>
        <w:t>方军雄</w:t>
      </w:r>
      <w:r w:rsidRPr="00EE48D6">
        <w:rPr>
          <w:rFonts w:hint="eastAsia"/>
        </w:rPr>
        <w:t>.</w:t>
      </w:r>
      <w:r w:rsidRPr="00EE48D6">
        <w:rPr>
          <w:rFonts w:hint="eastAsia"/>
        </w:rPr>
        <w:t>证券分析师超乐观盈利预测的溢出效应研究</w:t>
      </w:r>
      <w:r w:rsidRPr="00EE48D6">
        <w:rPr>
          <w:rFonts w:hint="eastAsia"/>
        </w:rPr>
        <w:t>[J].</w:t>
      </w:r>
      <w:r w:rsidRPr="00EE48D6">
        <w:rPr>
          <w:rFonts w:hint="eastAsia"/>
        </w:rPr>
        <w:t>证券市场导报</w:t>
      </w:r>
      <w:r w:rsidRPr="00EE48D6">
        <w:rPr>
          <w:rFonts w:hint="eastAsia"/>
        </w:rPr>
        <w:t>,2017(09):42-49+76.</w:t>
      </w:r>
    </w:p>
  </w:endnote>
  <w:endnote w:id="39">
    <w:p w14:paraId="3D18928B" w14:textId="1661EB8A"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Bergman N K, Roychowdhury S. Investor Sentiment and Corporate Disclosure[J]. Journal of Accounting Research, 2008, 46(5): 1057-1083.</w:t>
      </w:r>
    </w:p>
  </w:endnote>
  <w:endnote w:id="40">
    <w:p w14:paraId="72D9DF8D" w14:textId="3C2ECED1"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Qian H. Time Variation in Analyst Optimism: An Investor Sentiment Explanation[J]. Journal of Behavioral Finance, 2009, 10(3): 182-193.</w:t>
      </w:r>
    </w:p>
  </w:endnote>
  <w:endnote w:id="41">
    <w:p w14:paraId="0B78E79B" w14:textId="3B92C31D"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伍燕然</w:t>
      </w:r>
      <w:r w:rsidRPr="00EE48D6">
        <w:rPr>
          <w:rFonts w:hint="eastAsia"/>
        </w:rPr>
        <w:t>,</w:t>
      </w:r>
      <w:r w:rsidRPr="00EE48D6">
        <w:rPr>
          <w:rFonts w:hint="eastAsia"/>
        </w:rPr>
        <w:t>潘可</w:t>
      </w:r>
      <w:r w:rsidRPr="00EE48D6">
        <w:rPr>
          <w:rFonts w:hint="eastAsia"/>
        </w:rPr>
        <w:t>,</w:t>
      </w:r>
      <w:r w:rsidRPr="00EE48D6">
        <w:rPr>
          <w:rFonts w:hint="eastAsia"/>
        </w:rPr>
        <w:t>胡松明</w:t>
      </w:r>
      <w:r w:rsidRPr="00EE48D6">
        <w:rPr>
          <w:rFonts w:hint="eastAsia"/>
        </w:rPr>
        <w:t>,</w:t>
      </w:r>
      <w:r w:rsidRPr="00EE48D6">
        <w:rPr>
          <w:rFonts w:hint="eastAsia"/>
        </w:rPr>
        <w:t>江婕</w:t>
      </w:r>
      <w:r w:rsidRPr="00EE48D6">
        <w:rPr>
          <w:rFonts w:hint="eastAsia"/>
        </w:rPr>
        <w:t>.</w:t>
      </w:r>
      <w:r w:rsidRPr="00EE48D6">
        <w:rPr>
          <w:rFonts w:hint="eastAsia"/>
        </w:rPr>
        <w:t>行业分析师盈利预测偏差的新解释</w:t>
      </w:r>
      <w:r w:rsidRPr="00EE48D6">
        <w:rPr>
          <w:rFonts w:hint="eastAsia"/>
        </w:rPr>
        <w:t>[J].</w:t>
      </w:r>
      <w:r w:rsidRPr="00EE48D6">
        <w:rPr>
          <w:rFonts w:hint="eastAsia"/>
        </w:rPr>
        <w:t>经济研究</w:t>
      </w:r>
      <w:r w:rsidRPr="00EE48D6">
        <w:rPr>
          <w:rFonts w:hint="eastAsia"/>
        </w:rPr>
        <w:t>,2012,47(04):149-160.</w:t>
      </w:r>
    </w:p>
  </w:endnote>
  <w:endnote w:id="42">
    <w:p w14:paraId="1D1B689A" w14:textId="2E842B27"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游家兴</w:t>
      </w:r>
      <w:r w:rsidRPr="00EE48D6">
        <w:rPr>
          <w:rFonts w:hint="eastAsia"/>
        </w:rPr>
        <w:t>,</w:t>
      </w:r>
      <w:r w:rsidRPr="00EE48D6">
        <w:rPr>
          <w:rFonts w:hint="eastAsia"/>
        </w:rPr>
        <w:t>邱世远</w:t>
      </w:r>
      <w:r w:rsidRPr="00EE48D6">
        <w:rPr>
          <w:rFonts w:hint="eastAsia"/>
        </w:rPr>
        <w:t>,</w:t>
      </w:r>
      <w:r w:rsidRPr="00EE48D6">
        <w:rPr>
          <w:rFonts w:hint="eastAsia"/>
        </w:rPr>
        <w:t>刘淳</w:t>
      </w:r>
      <w:r w:rsidRPr="00EE48D6">
        <w:rPr>
          <w:rFonts w:hint="eastAsia"/>
        </w:rPr>
        <w:t>.</w:t>
      </w:r>
      <w:r w:rsidRPr="00EE48D6">
        <w:rPr>
          <w:rFonts w:hint="eastAsia"/>
        </w:rPr>
        <w:t>证券分析师预测“变脸”行为研究——基于分析师声誉的博弈模型与实证检验</w:t>
      </w:r>
      <w:r w:rsidRPr="00EE48D6">
        <w:rPr>
          <w:rFonts w:hint="eastAsia"/>
        </w:rPr>
        <w:t>[J].</w:t>
      </w:r>
      <w:r w:rsidRPr="00EE48D6">
        <w:rPr>
          <w:rFonts w:hint="eastAsia"/>
        </w:rPr>
        <w:t>管理科学学报</w:t>
      </w:r>
      <w:r w:rsidRPr="00EE48D6">
        <w:rPr>
          <w:rFonts w:hint="eastAsia"/>
        </w:rPr>
        <w:t>,2013,1606:67-84.</w:t>
      </w:r>
    </w:p>
  </w:endnote>
  <w:endnote w:id="43">
    <w:p w14:paraId="6CEF11AB" w14:textId="6DCD520A"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Corredor P, Ferrer E, Santamaria R. Is cognitive bias really present in analyst forecasts? The role of investor sentiment[J]. International Business Review, Elsevier Ltd, 2014, 23(4): 824-837.</w:t>
      </w:r>
    </w:p>
  </w:endnote>
  <w:endnote w:id="44">
    <w:p w14:paraId="038A9D03" w14:textId="2ACE01A0"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孔令飞</w:t>
      </w:r>
      <w:r w:rsidRPr="00EE48D6">
        <w:rPr>
          <w:rFonts w:hint="eastAsia"/>
        </w:rPr>
        <w:t>,</w:t>
      </w:r>
      <w:r w:rsidRPr="00EE48D6">
        <w:rPr>
          <w:rFonts w:hint="eastAsia"/>
        </w:rPr>
        <w:t>刘轶</w:t>
      </w:r>
      <w:r w:rsidRPr="00EE48D6">
        <w:rPr>
          <w:rFonts w:hint="eastAsia"/>
        </w:rPr>
        <w:t>.</w:t>
      </w:r>
      <w:r w:rsidRPr="00EE48D6">
        <w:rPr>
          <w:rFonts w:hint="eastAsia"/>
        </w:rPr>
        <w:t>个人、机构投资者情绪与证券分析师的乐观偏差——来自中国</w:t>
      </w:r>
      <w:r w:rsidRPr="00EE48D6">
        <w:rPr>
          <w:rFonts w:hint="eastAsia"/>
        </w:rPr>
        <w:t>A</w:t>
      </w:r>
      <w:r w:rsidRPr="00EE48D6">
        <w:rPr>
          <w:rFonts w:hint="eastAsia"/>
        </w:rPr>
        <w:t>股市场的证据</w:t>
      </w:r>
      <w:r w:rsidRPr="00EE48D6">
        <w:rPr>
          <w:rFonts w:hint="eastAsia"/>
        </w:rPr>
        <w:t>[J].</w:t>
      </w:r>
      <w:r w:rsidRPr="00EE48D6">
        <w:rPr>
          <w:rFonts w:hint="eastAsia"/>
        </w:rPr>
        <w:t>南方经济</w:t>
      </w:r>
      <w:r w:rsidRPr="00EE48D6">
        <w:rPr>
          <w:rFonts w:hint="eastAsia"/>
        </w:rPr>
        <w:t>,2016,06:66-81.</w:t>
      </w:r>
    </w:p>
  </w:endnote>
  <w:endnote w:id="45">
    <w:p w14:paraId="553C21E8" w14:textId="6C83376F"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廖明情</w:t>
      </w:r>
      <w:r w:rsidRPr="00EE48D6">
        <w:rPr>
          <w:rFonts w:hint="eastAsia"/>
        </w:rPr>
        <w:t>,</w:t>
      </w:r>
      <w:r w:rsidRPr="00EE48D6">
        <w:rPr>
          <w:rFonts w:hint="eastAsia"/>
        </w:rPr>
        <w:t>邓路</w:t>
      </w:r>
      <w:r w:rsidRPr="00EE48D6">
        <w:rPr>
          <w:rFonts w:hint="eastAsia"/>
        </w:rPr>
        <w:t>,</w:t>
      </w:r>
      <w:r w:rsidRPr="00EE48D6">
        <w:rPr>
          <w:rFonts w:hint="eastAsia"/>
        </w:rPr>
        <w:t>宋顺林</w:t>
      </w:r>
      <w:r w:rsidRPr="00EE48D6">
        <w:rPr>
          <w:rFonts w:hint="eastAsia"/>
        </w:rPr>
        <w:t>.</w:t>
      </w:r>
      <w:r w:rsidRPr="00EE48D6">
        <w:rPr>
          <w:rFonts w:hint="eastAsia"/>
        </w:rPr>
        <w:t>证券分析师角色</w:t>
      </w:r>
      <w:r w:rsidRPr="00EE48D6">
        <w:rPr>
          <w:rFonts w:hint="eastAsia"/>
        </w:rPr>
        <w:t>:</w:t>
      </w:r>
      <w:r w:rsidRPr="00EE48D6">
        <w:rPr>
          <w:rFonts w:hint="eastAsia"/>
        </w:rPr>
        <w:t>平抑情绪还是随波逐流</w:t>
      </w:r>
      <w:r w:rsidRPr="00EE48D6">
        <w:rPr>
          <w:rFonts w:hint="eastAsia"/>
        </w:rPr>
        <w:t>?[J].</w:t>
      </w:r>
      <w:r w:rsidRPr="00EE48D6">
        <w:rPr>
          <w:rFonts w:hint="eastAsia"/>
        </w:rPr>
        <w:t>系统工程理论与实践</w:t>
      </w:r>
      <w:r w:rsidRPr="00EE48D6">
        <w:rPr>
          <w:rFonts w:hint="eastAsia"/>
        </w:rPr>
        <w:t>,2016,3606:1399-1414.</w:t>
      </w:r>
    </w:p>
  </w:endnote>
  <w:endnote w:id="46">
    <w:p w14:paraId="200B3869" w14:textId="5BA660EF"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Lys T Z, Sohn S. The Association Between Revisions of Financial Analysts' Earnings Forecasts and Security-Price Changes[J]. Journal of Accounting and Economics, 1990, 13(4): 341-363.</w:t>
      </w:r>
    </w:p>
  </w:endnote>
  <w:endnote w:id="47">
    <w:p w14:paraId="6A8B0019" w14:textId="76BCDC42"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Elton E J, Gruber M J, Grossman S, et al. </w:t>
      </w:r>
      <w:r w:rsidRPr="00EE48D6">
        <w:t>Discrete Expectational Data and Portfolio Performance[J]. Journal of Finance, 1986, 41(3): 699-713.</w:t>
      </w:r>
    </w:p>
  </w:endnote>
  <w:endnote w:id="48">
    <w:p w14:paraId="43318254" w14:textId="6CC43F3B"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Womack K L. Do Brokerage Analysts' Recommendations Have Investment Value? [J]. Journal of Finance, 1996, 51(1): 137-167.</w:t>
      </w:r>
    </w:p>
  </w:endnote>
  <w:endnote w:id="49">
    <w:p w14:paraId="2E02D38D" w14:textId="5706A08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朱红军</w:t>
      </w:r>
      <w:r w:rsidRPr="00EE48D6">
        <w:rPr>
          <w:rFonts w:hint="eastAsia"/>
        </w:rPr>
        <w:t>,</w:t>
      </w:r>
      <w:r w:rsidRPr="00EE48D6">
        <w:rPr>
          <w:rFonts w:hint="eastAsia"/>
        </w:rPr>
        <w:t>何贤杰</w:t>
      </w:r>
      <w:r w:rsidRPr="00EE48D6">
        <w:rPr>
          <w:rFonts w:hint="eastAsia"/>
        </w:rPr>
        <w:t>,</w:t>
      </w:r>
      <w:r w:rsidRPr="00EE48D6">
        <w:rPr>
          <w:rFonts w:hint="eastAsia"/>
        </w:rPr>
        <w:t>陶林</w:t>
      </w:r>
      <w:r w:rsidRPr="00EE48D6">
        <w:rPr>
          <w:rFonts w:hint="eastAsia"/>
        </w:rPr>
        <w:t>.</w:t>
      </w:r>
      <w:r w:rsidRPr="00EE48D6">
        <w:rPr>
          <w:rFonts w:hint="eastAsia"/>
        </w:rPr>
        <w:t>信息源、信息搜寻与市场吸收效率——基于证券分析师盈利预测修正的经验证据</w:t>
      </w:r>
      <w:r w:rsidRPr="00EE48D6">
        <w:rPr>
          <w:rFonts w:hint="eastAsia"/>
        </w:rPr>
        <w:t>[J].</w:t>
      </w:r>
      <w:r w:rsidRPr="00EE48D6">
        <w:rPr>
          <w:rFonts w:hint="eastAsia"/>
        </w:rPr>
        <w:t>财经研究</w:t>
      </w:r>
      <w:r w:rsidRPr="00EE48D6">
        <w:rPr>
          <w:rFonts w:hint="eastAsia"/>
        </w:rPr>
        <w:t>,2008,05:63-74.</w:t>
      </w:r>
    </w:p>
  </w:endnote>
  <w:endnote w:id="50">
    <w:p w14:paraId="5AD88708" w14:textId="57D504D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肖萌</w:t>
      </w:r>
      <w:r w:rsidRPr="00EE48D6">
        <w:rPr>
          <w:rFonts w:hint="eastAsia"/>
        </w:rPr>
        <w:t>,</w:t>
      </w:r>
      <w:r w:rsidRPr="00EE48D6">
        <w:rPr>
          <w:rFonts w:hint="eastAsia"/>
        </w:rPr>
        <w:t>朱宏泉</w:t>
      </w:r>
      <w:r w:rsidRPr="00EE48D6">
        <w:rPr>
          <w:rFonts w:hint="eastAsia"/>
        </w:rPr>
        <w:t>.</w:t>
      </w:r>
      <w:r w:rsidRPr="00EE48D6">
        <w:rPr>
          <w:rFonts w:hint="eastAsia"/>
        </w:rPr>
        <w:t>分析师一致评级变化在市场和行业层面的信息含量</w:t>
      </w:r>
      <w:r w:rsidRPr="00EE48D6">
        <w:rPr>
          <w:rFonts w:hint="eastAsia"/>
        </w:rPr>
        <w:t>[J].</w:t>
      </w:r>
      <w:r w:rsidRPr="00EE48D6">
        <w:rPr>
          <w:rFonts w:hint="eastAsia"/>
        </w:rPr>
        <w:t>证券市场导报</w:t>
      </w:r>
      <w:r w:rsidRPr="00EE48D6">
        <w:rPr>
          <w:rFonts w:hint="eastAsia"/>
        </w:rPr>
        <w:t>,2011(04):67-72.</w:t>
      </w:r>
    </w:p>
  </w:endnote>
  <w:endnote w:id="51">
    <w:p w14:paraId="44788A1A" w14:textId="1810E86E"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Barber B M, Lehavy R, Mcnichols M F, et al. </w:t>
      </w:r>
      <w:r w:rsidRPr="00EE48D6">
        <w:t>Can Investors Profit from the Prophets? Security Analyst Recommendations and Stock Returns[J]. Journal of Finance, 2001, 56(2): 531-563.</w:t>
      </w:r>
    </w:p>
  </w:endnote>
  <w:endnote w:id="52">
    <w:p w14:paraId="2279CD90" w14:textId="11686AF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Loh R K, Stulz R M. When Are Analyst Recommendation Changes Influential? [J]. Review of Financial Studies, 2011, 24(2): 593-627.</w:t>
      </w:r>
    </w:p>
  </w:endnote>
  <w:endnote w:id="53">
    <w:p w14:paraId="671C0ADE" w14:textId="15F9A284"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鞠娟</w:t>
      </w:r>
      <w:r w:rsidRPr="00EE48D6">
        <w:rPr>
          <w:rFonts w:hint="eastAsia"/>
        </w:rPr>
        <w:t>,</w:t>
      </w:r>
      <w:r w:rsidRPr="00EE48D6">
        <w:rPr>
          <w:rFonts w:hint="eastAsia"/>
        </w:rPr>
        <w:t>田昕明</w:t>
      </w:r>
      <w:r w:rsidRPr="00EE48D6">
        <w:rPr>
          <w:rFonts w:hint="eastAsia"/>
        </w:rPr>
        <w:t>,</w:t>
      </w:r>
      <w:r w:rsidRPr="00EE48D6">
        <w:rPr>
          <w:rFonts w:hint="eastAsia"/>
        </w:rPr>
        <w:t>王欣然</w:t>
      </w:r>
      <w:r w:rsidRPr="00EE48D6">
        <w:rPr>
          <w:rFonts w:hint="eastAsia"/>
        </w:rPr>
        <w:t>.</w:t>
      </w:r>
      <w:r w:rsidRPr="00EE48D6">
        <w:rPr>
          <w:rFonts w:hint="eastAsia"/>
        </w:rPr>
        <w:t>分析师研究报告与信息释放——我们的起点正确吗</w:t>
      </w:r>
      <w:r w:rsidRPr="00EE48D6">
        <w:rPr>
          <w:rFonts w:hint="eastAsia"/>
        </w:rPr>
        <w:t>?[J].</w:t>
      </w:r>
      <w:r w:rsidRPr="00EE48D6">
        <w:rPr>
          <w:rFonts w:hint="eastAsia"/>
        </w:rPr>
        <w:t>投资研究</w:t>
      </w:r>
      <w:r w:rsidRPr="00EE48D6">
        <w:rPr>
          <w:rFonts w:hint="eastAsia"/>
        </w:rPr>
        <w:t>,2014,33(09):91-102.</w:t>
      </w:r>
    </w:p>
  </w:endnote>
  <w:endnote w:id="54">
    <w:p w14:paraId="71DAEC8D" w14:textId="714F83DA" w:rsidR="0020321F" w:rsidRPr="00EE48D6" w:rsidRDefault="0020321F" w:rsidP="00D33E3B">
      <w:pPr>
        <w:pStyle w:val="af9"/>
        <w:ind w:left="480" w:hangingChars="200" w:hanging="480"/>
        <w:jc w:val="both"/>
        <w:rPr>
          <w:rFonts w:hint="eastAsia"/>
        </w:rPr>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Stickel S E. Reputation and Performance among Security Analysts[J]. Journal of Finance, 1992, 47(5): 1811-1836.</w:t>
      </w:r>
    </w:p>
  </w:endnote>
  <w:endnote w:id="55">
    <w:p w14:paraId="40163BED" w14:textId="4D100610"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王宇熹</w:t>
      </w:r>
      <w:r w:rsidRPr="00EE48D6">
        <w:rPr>
          <w:rFonts w:hint="eastAsia"/>
        </w:rPr>
        <w:t>,</w:t>
      </w:r>
      <w:r w:rsidRPr="00EE48D6">
        <w:rPr>
          <w:rFonts w:hint="eastAsia"/>
        </w:rPr>
        <w:t>洪剑峭</w:t>
      </w:r>
      <w:r w:rsidRPr="00EE48D6">
        <w:rPr>
          <w:rFonts w:hint="eastAsia"/>
        </w:rPr>
        <w:t>,</w:t>
      </w:r>
      <w:r w:rsidRPr="00EE48D6">
        <w:rPr>
          <w:rFonts w:hint="eastAsia"/>
        </w:rPr>
        <w:t>肖峻</w:t>
      </w:r>
      <w:r w:rsidRPr="00EE48D6">
        <w:rPr>
          <w:rFonts w:hint="eastAsia"/>
        </w:rPr>
        <w:t>.</w:t>
      </w:r>
      <w:r w:rsidRPr="00EE48D6">
        <w:rPr>
          <w:rFonts w:hint="eastAsia"/>
        </w:rPr>
        <w:t>顶级券商的明星分析师荐股评级更有价值么</w:t>
      </w:r>
      <w:r w:rsidRPr="00EE48D6">
        <w:rPr>
          <w:rFonts w:hint="eastAsia"/>
        </w:rPr>
        <w:t>?</w:t>
      </w:r>
      <w:r w:rsidRPr="00EE48D6">
        <w:rPr>
          <w:rFonts w:hint="eastAsia"/>
        </w:rPr>
        <w:t>——基于券商声誉、分析师声誉的实证研究</w:t>
      </w:r>
      <w:r w:rsidRPr="00EE48D6">
        <w:rPr>
          <w:rFonts w:hint="eastAsia"/>
        </w:rPr>
        <w:t>[J].</w:t>
      </w:r>
      <w:r w:rsidRPr="00EE48D6">
        <w:rPr>
          <w:rFonts w:hint="eastAsia"/>
        </w:rPr>
        <w:t>管理工程学报</w:t>
      </w:r>
      <w:r w:rsidRPr="00EE48D6">
        <w:rPr>
          <w:rFonts w:hint="eastAsia"/>
        </w:rPr>
        <w:t>,2012,26(03):197-206.</w:t>
      </w:r>
    </w:p>
  </w:endnote>
  <w:endnote w:id="56">
    <w:p w14:paraId="0A7BE143" w14:textId="5110F678"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p>
  </w:endnote>
  <w:endnote w:id="57">
    <w:p w14:paraId="0B5752A5" w14:textId="369E637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冯体一</w:t>
      </w:r>
      <w:r w:rsidRPr="00EE48D6">
        <w:rPr>
          <w:rFonts w:hint="eastAsia"/>
        </w:rPr>
        <w:t>,</w:t>
      </w:r>
      <w:r w:rsidRPr="00EE48D6">
        <w:rPr>
          <w:rFonts w:hint="eastAsia"/>
        </w:rPr>
        <w:t>杨大楷</w:t>
      </w:r>
      <w:r w:rsidRPr="00EE48D6">
        <w:rPr>
          <w:rFonts w:hint="eastAsia"/>
        </w:rPr>
        <w:t>,</w:t>
      </w:r>
      <w:r w:rsidRPr="00EE48D6">
        <w:rPr>
          <w:rFonts w:hint="eastAsia"/>
        </w:rPr>
        <w:t>沈秋实</w:t>
      </w:r>
      <w:r w:rsidRPr="00EE48D6">
        <w:rPr>
          <w:rFonts w:hint="eastAsia"/>
        </w:rPr>
        <w:t>.</w:t>
      </w:r>
      <w:r w:rsidRPr="00EE48D6">
        <w:rPr>
          <w:rFonts w:hint="eastAsia"/>
        </w:rPr>
        <w:t>分析师预测及评级的影响因素研究——基于券商利益和信息优势的视角</w:t>
      </w:r>
      <w:r w:rsidRPr="00EE48D6">
        <w:rPr>
          <w:rFonts w:hint="eastAsia"/>
        </w:rPr>
        <w:t>[J].</w:t>
      </w:r>
      <w:r w:rsidRPr="00EE48D6">
        <w:rPr>
          <w:rFonts w:hint="eastAsia"/>
        </w:rPr>
        <w:t>投资研究</w:t>
      </w:r>
      <w:r w:rsidRPr="00EE48D6">
        <w:rPr>
          <w:rFonts w:hint="eastAsia"/>
        </w:rPr>
        <w:t>,2013,32(12):136-151.</w:t>
      </w:r>
    </w:p>
  </w:endnote>
  <w:endnote w:id="58">
    <w:p w14:paraId="380251C8" w14:textId="2ACFB83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Brennan M J, Subrahmanyam A. Investment Analysis and Price Formation in Securities Markets[J]. Journal of Financial Economics, 1995, 38(3): 361–381.</w:t>
      </w:r>
    </w:p>
  </w:endnote>
  <w:endnote w:id="59">
    <w:p w14:paraId="52C6124B" w14:textId="02E0FAC4"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Roulstone D T. Analyst Following and Market Liquidity[J]. Contemporary Accounting Research, 2003, 20(3): 552-578.</w:t>
      </w:r>
    </w:p>
  </w:endnote>
  <w:endnote w:id="60">
    <w:p w14:paraId="50528BB5" w14:textId="2809720D"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陈辉</w:t>
      </w:r>
      <w:r w:rsidRPr="00EE48D6">
        <w:rPr>
          <w:rFonts w:hint="eastAsia"/>
        </w:rPr>
        <w:t>,</w:t>
      </w:r>
      <w:r w:rsidRPr="00EE48D6">
        <w:rPr>
          <w:rFonts w:hint="eastAsia"/>
        </w:rPr>
        <w:t>汪前元</w:t>
      </w:r>
      <w:r w:rsidRPr="00EE48D6">
        <w:rPr>
          <w:rFonts w:hint="eastAsia"/>
        </w:rPr>
        <w:t>.</w:t>
      </w:r>
      <w:r w:rsidRPr="00EE48D6">
        <w:rPr>
          <w:rFonts w:hint="eastAsia"/>
        </w:rPr>
        <w:t>信息传递、逆向选择与信息效率——对我国证券分析师作用的实证考察</w:t>
      </w:r>
      <w:r w:rsidRPr="00EE48D6">
        <w:rPr>
          <w:rFonts w:hint="eastAsia"/>
        </w:rPr>
        <w:t>[J].</w:t>
      </w:r>
      <w:r w:rsidRPr="00EE48D6">
        <w:rPr>
          <w:rFonts w:hint="eastAsia"/>
        </w:rPr>
        <w:t>中南财经政法大学学报</w:t>
      </w:r>
      <w:r w:rsidRPr="00EE48D6">
        <w:rPr>
          <w:rFonts w:hint="eastAsia"/>
        </w:rPr>
        <w:t>,2013(03):107-114.</w:t>
      </w:r>
    </w:p>
  </w:endnote>
  <w:endnote w:id="61">
    <w:p w14:paraId="1BCC43C3" w14:textId="4580AC1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罗衎</w:t>
      </w:r>
      <w:r w:rsidRPr="00EE48D6">
        <w:rPr>
          <w:rFonts w:hint="eastAsia"/>
        </w:rPr>
        <w:t>,</w:t>
      </w:r>
      <w:r w:rsidRPr="00EE48D6">
        <w:rPr>
          <w:rFonts w:hint="eastAsia"/>
        </w:rPr>
        <w:t>王春峰</w:t>
      </w:r>
      <w:r w:rsidRPr="00EE48D6">
        <w:rPr>
          <w:rFonts w:hint="eastAsia"/>
        </w:rPr>
        <w:t>,</w:t>
      </w:r>
      <w:r w:rsidRPr="00EE48D6">
        <w:rPr>
          <w:rFonts w:hint="eastAsia"/>
        </w:rPr>
        <w:t>房振明</w:t>
      </w:r>
      <w:r w:rsidRPr="00EE48D6">
        <w:rPr>
          <w:rFonts w:hint="eastAsia"/>
        </w:rPr>
        <w:t>.</w:t>
      </w:r>
      <w:r w:rsidRPr="00EE48D6">
        <w:rPr>
          <w:rFonts w:hint="eastAsia"/>
        </w:rPr>
        <w:t>股票卖方分析师报告是信息还是噱头</w:t>
      </w:r>
      <w:r w:rsidRPr="00EE48D6">
        <w:rPr>
          <w:rFonts w:hint="eastAsia"/>
        </w:rPr>
        <w:t>?</w:t>
      </w:r>
      <w:r w:rsidRPr="00EE48D6">
        <w:rPr>
          <w:rFonts w:hint="eastAsia"/>
        </w:rPr>
        <w:t>基于市场微观结构理论视角</w:t>
      </w:r>
      <w:r w:rsidRPr="00EE48D6">
        <w:rPr>
          <w:rFonts w:hint="eastAsia"/>
        </w:rPr>
        <w:t>[J].</w:t>
      </w:r>
      <w:r w:rsidRPr="00EE48D6">
        <w:rPr>
          <w:rFonts w:hint="eastAsia"/>
        </w:rPr>
        <w:t>预测</w:t>
      </w:r>
      <w:r w:rsidRPr="00EE48D6">
        <w:rPr>
          <w:rFonts w:hint="eastAsia"/>
        </w:rPr>
        <w:t>,2017,36(04):56-62.</w:t>
      </w:r>
    </w:p>
  </w:endnote>
  <w:endnote w:id="62">
    <w:p w14:paraId="19DE06A7" w14:textId="4313AA2E"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Chan K, Hameed A. Stock Price Synchronicity and Analyst Coverage in Emerging Markets[J]. Journal of Financial Economics, 2006, 80(1): 115-147.</w:t>
      </w:r>
    </w:p>
  </w:endnote>
  <w:endnote w:id="63">
    <w:p w14:paraId="3C64E833" w14:textId="455F1CF8"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朱红军</w:t>
      </w:r>
      <w:r w:rsidRPr="00EE48D6">
        <w:rPr>
          <w:rFonts w:hint="eastAsia"/>
        </w:rPr>
        <w:t>,</w:t>
      </w:r>
      <w:r w:rsidRPr="00EE48D6">
        <w:rPr>
          <w:rFonts w:hint="eastAsia"/>
        </w:rPr>
        <w:t>何贤杰</w:t>
      </w:r>
      <w:r w:rsidRPr="00EE48D6">
        <w:rPr>
          <w:rFonts w:hint="eastAsia"/>
        </w:rPr>
        <w:t>,</w:t>
      </w:r>
      <w:r w:rsidRPr="00EE48D6">
        <w:rPr>
          <w:rFonts w:hint="eastAsia"/>
        </w:rPr>
        <w:t>陶林</w:t>
      </w:r>
      <w:r w:rsidRPr="00EE48D6">
        <w:rPr>
          <w:rFonts w:hint="eastAsia"/>
        </w:rPr>
        <w:t>.</w:t>
      </w:r>
      <w:r w:rsidRPr="00EE48D6">
        <w:rPr>
          <w:rFonts w:hint="eastAsia"/>
        </w:rPr>
        <w:t>中国的证券分析师能够提高资本市场的效率吗——基于股价同步性和股价信息含量的经验证据</w:t>
      </w:r>
      <w:r w:rsidRPr="00EE48D6">
        <w:rPr>
          <w:rFonts w:hint="eastAsia"/>
        </w:rPr>
        <w:t>[J].</w:t>
      </w:r>
      <w:r w:rsidRPr="00EE48D6">
        <w:rPr>
          <w:rFonts w:hint="eastAsia"/>
        </w:rPr>
        <w:t>金融研究</w:t>
      </w:r>
      <w:r w:rsidRPr="00EE48D6">
        <w:rPr>
          <w:rFonts w:hint="eastAsia"/>
        </w:rPr>
        <w:t>,2007,02:110-121.</w:t>
      </w:r>
    </w:p>
  </w:endnote>
  <w:endnote w:id="64">
    <w:p w14:paraId="2243E725" w14:textId="44BC9B15"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冯旭南</w:t>
      </w:r>
      <w:r w:rsidRPr="00EE48D6">
        <w:rPr>
          <w:rFonts w:hint="eastAsia"/>
        </w:rPr>
        <w:t>,</w:t>
      </w:r>
      <w:r w:rsidRPr="00EE48D6">
        <w:rPr>
          <w:rFonts w:hint="eastAsia"/>
        </w:rPr>
        <w:t>李心愉</w:t>
      </w:r>
      <w:r w:rsidRPr="00EE48D6">
        <w:rPr>
          <w:rFonts w:hint="eastAsia"/>
        </w:rPr>
        <w:t>.</w:t>
      </w:r>
      <w:r w:rsidRPr="00EE48D6">
        <w:rPr>
          <w:rFonts w:hint="eastAsia"/>
        </w:rPr>
        <w:t>中国证券分析师能反映公司特质信息吗</w:t>
      </w:r>
      <w:r w:rsidRPr="00EE48D6">
        <w:rPr>
          <w:rFonts w:hint="eastAsia"/>
        </w:rPr>
        <w:t>?</w:t>
      </w:r>
      <w:r w:rsidRPr="00EE48D6">
        <w:rPr>
          <w:rFonts w:hint="eastAsia"/>
        </w:rPr>
        <w:t>——基于股价波动同步性和分析师跟进的证据</w:t>
      </w:r>
      <w:r w:rsidRPr="00EE48D6">
        <w:rPr>
          <w:rFonts w:hint="eastAsia"/>
        </w:rPr>
        <w:t>[J].</w:t>
      </w:r>
      <w:r w:rsidRPr="00EE48D6">
        <w:rPr>
          <w:rFonts w:hint="eastAsia"/>
        </w:rPr>
        <w:t>经济科学</w:t>
      </w:r>
      <w:r w:rsidRPr="00EE48D6">
        <w:rPr>
          <w:rFonts w:hint="eastAsia"/>
        </w:rPr>
        <w:t>,2011,04:99-106.</w:t>
      </w:r>
    </w:p>
  </w:endnote>
  <w:endnote w:id="65">
    <w:p w14:paraId="186B4EBF" w14:textId="29CEB1C2"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Xu N, Chan K C, Jiang X, et al. </w:t>
      </w:r>
      <w:r w:rsidRPr="00EE48D6">
        <w:t>Do Star Analysts Know More Firm-Specific Information? Evidence from China.[J]. Journal of Banking and Finance, 2013, 37(1): 89-102.</w:t>
      </w:r>
    </w:p>
  </w:endnote>
  <w:endnote w:id="66">
    <w:p w14:paraId="5ADD94B1" w14:textId="4ECB007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伊志宏</w:t>
      </w:r>
      <w:r w:rsidRPr="00EE48D6">
        <w:rPr>
          <w:rFonts w:hint="eastAsia"/>
        </w:rPr>
        <w:t>,</w:t>
      </w:r>
      <w:r w:rsidRPr="00EE48D6">
        <w:rPr>
          <w:rFonts w:hint="eastAsia"/>
        </w:rPr>
        <w:t>江轩宇</w:t>
      </w:r>
      <w:r w:rsidRPr="00EE48D6">
        <w:rPr>
          <w:rFonts w:hint="eastAsia"/>
        </w:rPr>
        <w:t>.</w:t>
      </w:r>
      <w:r w:rsidRPr="00EE48D6">
        <w:rPr>
          <w:rFonts w:hint="eastAsia"/>
        </w:rPr>
        <w:t>明星</w:t>
      </w:r>
      <w:r w:rsidRPr="00EE48D6">
        <w:rPr>
          <w:rFonts w:hint="eastAsia"/>
        </w:rPr>
        <w:t>VS</w:t>
      </w:r>
      <w:r w:rsidRPr="00EE48D6">
        <w:rPr>
          <w:rFonts w:hint="eastAsia"/>
        </w:rPr>
        <w:t>非明星</w:t>
      </w:r>
      <w:r w:rsidRPr="00EE48D6">
        <w:rPr>
          <w:rFonts w:hint="eastAsia"/>
        </w:rPr>
        <w:t>:</w:t>
      </w:r>
      <w:r w:rsidRPr="00EE48D6">
        <w:rPr>
          <w:rFonts w:hint="eastAsia"/>
        </w:rPr>
        <w:t>分析师评级调整与信息属性</w:t>
      </w:r>
      <w:r w:rsidRPr="00EE48D6">
        <w:rPr>
          <w:rFonts w:hint="eastAsia"/>
        </w:rPr>
        <w:t>[J].</w:t>
      </w:r>
      <w:r w:rsidRPr="00EE48D6">
        <w:rPr>
          <w:rFonts w:hint="eastAsia"/>
        </w:rPr>
        <w:t>经济理论与经济管理</w:t>
      </w:r>
      <w:r w:rsidRPr="00EE48D6">
        <w:rPr>
          <w:rFonts w:hint="eastAsia"/>
        </w:rPr>
        <w:t>,2013(10):93-108.</w:t>
      </w:r>
    </w:p>
  </w:endnote>
  <w:endnote w:id="67">
    <w:p w14:paraId="78DE5B25" w14:textId="1912ECA4"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Bhushan R. Firm Characteristics and Analyst Following[J]. Journal of Accounting and Economics, 1989: 255-274.</w:t>
      </w:r>
    </w:p>
  </w:endnote>
  <w:endnote w:id="68">
    <w:p w14:paraId="4298C5F9" w14:textId="002F2E91"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Brennan M J, Hughes P J. Stock Prices and the Supply of Information[J]. Journal of Finance, 1991, 46(5): 1665-1691.</w:t>
      </w:r>
    </w:p>
  </w:endnote>
  <w:endnote w:id="69">
    <w:p w14:paraId="798BED10" w14:textId="36EF6831"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白晓宇</w:t>
      </w:r>
      <w:r w:rsidRPr="00EE48D6">
        <w:rPr>
          <w:rFonts w:hint="eastAsia"/>
        </w:rPr>
        <w:t>.</w:t>
      </w:r>
      <w:r w:rsidRPr="00EE48D6">
        <w:rPr>
          <w:rFonts w:hint="eastAsia"/>
        </w:rPr>
        <w:t>上市公司信息披露政策对分析师预测的多重影响研究</w:t>
      </w:r>
      <w:r w:rsidRPr="00EE48D6">
        <w:rPr>
          <w:rFonts w:hint="eastAsia"/>
        </w:rPr>
        <w:t>[J].</w:t>
      </w:r>
      <w:r w:rsidRPr="00EE48D6">
        <w:rPr>
          <w:rFonts w:hint="eastAsia"/>
        </w:rPr>
        <w:t>金融研究</w:t>
      </w:r>
      <w:r w:rsidRPr="00EE48D6">
        <w:rPr>
          <w:rFonts w:hint="eastAsia"/>
        </w:rPr>
        <w:t>,2009(04):92-112.</w:t>
      </w:r>
    </w:p>
  </w:endnote>
  <w:endnote w:id="70">
    <w:p w14:paraId="654802CC" w14:textId="26FDF4F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蔡卫星</w:t>
      </w:r>
      <w:r w:rsidRPr="00EE48D6">
        <w:rPr>
          <w:rFonts w:hint="eastAsia"/>
        </w:rPr>
        <w:t>,</w:t>
      </w:r>
      <w:r w:rsidRPr="00EE48D6">
        <w:rPr>
          <w:rFonts w:hint="eastAsia"/>
        </w:rPr>
        <w:t>曾诚</w:t>
      </w:r>
      <w:r w:rsidRPr="00EE48D6">
        <w:rPr>
          <w:rFonts w:hint="eastAsia"/>
        </w:rPr>
        <w:t>.</w:t>
      </w:r>
      <w:r w:rsidRPr="00EE48D6">
        <w:rPr>
          <w:rFonts w:hint="eastAsia"/>
        </w:rPr>
        <w:t>公司多元化对证券分析师关注度的影响——基于证券分析师决策行为视角的经验分析</w:t>
      </w:r>
      <w:r w:rsidRPr="00EE48D6">
        <w:rPr>
          <w:rFonts w:hint="eastAsia"/>
        </w:rPr>
        <w:t>[J].</w:t>
      </w:r>
      <w:r w:rsidRPr="00EE48D6">
        <w:rPr>
          <w:rFonts w:hint="eastAsia"/>
        </w:rPr>
        <w:t>南开管理评论</w:t>
      </w:r>
      <w:r w:rsidRPr="00EE48D6">
        <w:rPr>
          <w:rFonts w:hint="eastAsia"/>
        </w:rPr>
        <w:t>,2010,1304:125-133.</w:t>
      </w:r>
    </w:p>
  </w:endnote>
  <w:endnote w:id="71">
    <w:p w14:paraId="4CBCA46F" w14:textId="363E82F5"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Brown L D, Hagerman R L, Griffin P A, et al. </w:t>
      </w:r>
      <w:r w:rsidRPr="00EE48D6">
        <w:t>Security Analyst Superiority Relative to Univariate Time-Series Models in Forecasting Quarterly Earnings[J]. Journal of Accounting and Economics, 1987, 9(1): 61-87.</w:t>
      </w:r>
    </w:p>
  </w:endnote>
  <w:endnote w:id="72">
    <w:p w14:paraId="767451C0" w14:textId="5E3142F0"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Cooper R A, Day T E, Lewis C M. Following the leader: A study Of Individual Analysts’ Earnings Forecasts[J]. Journal of Financial Economics, 2001, 61(3): 383-416.</w:t>
      </w:r>
    </w:p>
  </w:endnote>
  <w:endnote w:id="73">
    <w:p w14:paraId="26F96CD3" w14:textId="67FF5F42"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Ivković Z, Jegadeesh N. The Timing and Value of Forecast and Recommendation Revisions[J]. Journal of Financial Economics, 2004, 73(3): 433–463.</w:t>
      </w:r>
    </w:p>
  </w:endnote>
  <w:endnote w:id="74">
    <w:p w14:paraId="339853BA" w14:textId="0B2C81B6"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薛祖云</w:t>
      </w:r>
      <w:r w:rsidRPr="00EE48D6">
        <w:rPr>
          <w:rFonts w:hint="eastAsia"/>
        </w:rPr>
        <w:t>,</w:t>
      </w:r>
      <w:r w:rsidRPr="00EE48D6">
        <w:rPr>
          <w:rFonts w:hint="eastAsia"/>
        </w:rPr>
        <w:t>王冲</w:t>
      </w:r>
      <w:r w:rsidRPr="00EE48D6">
        <w:rPr>
          <w:rFonts w:hint="eastAsia"/>
        </w:rPr>
        <w:t>.</w:t>
      </w:r>
      <w:r w:rsidRPr="00EE48D6">
        <w:rPr>
          <w:rFonts w:hint="eastAsia"/>
        </w:rPr>
        <w:t>信息竞争抑或信息补充</w:t>
      </w:r>
      <w:r w:rsidRPr="00EE48D6">
        <w:rPr>
          <w:rFonts w:hint="eastAsia"/>
        </w:rPr>
        <w:t>:</w:t>
      </w:r>
      <w:r w:rsidRPr="00EE48D6">
        <w:rPr>
          <w:rFonts w:hint="eastAsia"/>
        </w:rPr>
        <w:t>证券分析师的角色扮演——基于我国证券市场的实证分析</w:t>
      </w:r>
      <w:r w:rsidRPr="00EE48D6">
        <w:rPr>
          <w:rFonts w:hint="eastAsia"/>
        </w:rPr>
        <w:t>[J].</w:t>
      </w:r>
      <w:r w:rsidRPr="00EE48D6">
        <w:rPr>
          <w:rFonts w:hint="eastAsia"/>
        </w:rPr>
        <w:t>金融研究</w:t>
      </w:r>
      <w:r w:rsidRPr="00EE48D6">
        <w:rPr>
          <w:rFonts w:hint="eastAsia"/>
        </w:rPr>
        <w:t>,2011(11):167-182.</w:t>
      </w:r>
    </w:p>
  </w:endnote>
  <w:endnote w:id="75">
    <w:p w14:paraId="508DE443" w14:textId="28FCC959"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Guttman I. The Timing of Analysts' Earnings Forecasts[J]. The Accounting Review, 2010, 85(2): 513-545.</w:t>
      </w:r>
    </w:p>
  </w:endnote>
  <w:endnote w:id="76">
    <w:p w14:paraId="3076E757" w14:textId="488B1E59"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董大勇</w:t>
      </w:r>
      <w:r w:rsidRPr="00EE48D6">
        <w:rPr>
          <w:rFonts w:hint="eastAsia"/>
        </w:rPr>
        <w:t>,</w:t>
      </w:r>
      <w:r w:rsidRPr="00EE48D6">
        <w:rPr>
          <w:rFonts w:hint="eastAsia"/>
        </w:rPr>
        <w:t>张尉</w:t>
      </w:r>
      <w:r w:rsidRPr="00EE48D6">
        <w:rPr>
          <w:rFonts w:hint="eastAsia"/>
        </w:rPr>
        <w:t>,</w:t>
      </w:r>
      <w:r w:rsidRPr="00EE48D6">
        <w:rPr>
          <w:rFonts w:hint="eastAsia"/>
        </w:rPr>
        <w:t>赖晓东</w:t>
      </w:r>
      <w:r w:rsidRPr="00EE48D6">
        <w:rPr>
          <w:rFonts w:hint="eastAsia"/>
        </w:rPr>
        <w:t>,</w:t>
      </w:r>
      <w:r w:rsidRPr="00EE48D6">
        <w:rPr>
          <w:rFonts w:hint="eastAsia"/>
        </w:rPr>
        <w:t>刘海斌</w:t>
      </w:r>
      <w:r w:rsidRPr="00EE48D6">
        <w:rPr>
          <w:rFonts w:hint="eastAsia"/>
        </w:rPr>
        <w:t>.</w:t>
      </w:r>
      <w:r w:rsidRPr="00EE48D6">
        <w:rPr>
          <w:rFonts w:hint="eastAsia"/>
        </w:rPr>
        <w:t>谁领先发布</w:t>
      </w:r>
      <w:r w:rsidRPr="00EE48D6">
        <w:rPr>
          <w:rFonts w:hint="eastAsia"/>
        </w:rPr>
        <w:t>:</w:t>
      </w:r>
      <w:r w:rsidRPr="00EE48D6">
        <w:rPr>
          <w:rFonts w:hint="eastAsia"/>
        </w:rPr>
        <w:t>中国证券分析师领先—跟随影响因素的实证研究</w:t>
      </w:r>
      <w:r w:rsidRPr="00EE48D6">
        <w:rPr>
          <w:rFonts w:hint="eastAsia"/>
        </w:rPr>
        <w:t>[J].</w:t>
      </w:r>
      <w:r w:rsidRPr="00EE48D6">
        <w:rPr>
          <w:rFonts w:hint="eastAsia"/>
        </w:rPr>
        <w:t>南开管理评论</w:t>
      </w:r>
      <w:r w:rsidRPr="00EE48D6">
        <w:rPr>
          <w:rFonts w:hint="eastAsia"/>
        </w:rPr>
        <w:t>,2012,15(05):56-63+104.</w:t>
      </w:r>
    </w:p>
  </w:endnote>
  <w:endnote w:id="77">
    <w:p w14:paraId="6CFC9A7A" w14:textId="4A1CF81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Barron O E, Byard D, Liang L. Analyst Pessimism and Forecast Timing[J]. Journal of Business Finance and Accounting, 2013, 40(5–6): 719–739.</w:t>
      </w:r>
    </w:p>
  </w:endnote>
  <w:endnote w:id="78">
    <w:p w14:paraId="3EFC3C4A" w14:textId="7AE571F3"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Baker M P, Wurgler J. Investor Sentiment and the Cross-Section of Stock Returns[J]. Journal of Finance, 2006, 61(4): 1645-1680.</w:t>
      </w:r>
    </w:p>
  </w:endnote>
  <w:endnote w:id="79">
    <w:p w14:paraId="0B831BD1" w14:textId="68198210"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林虎</w:t>
      </w:r>
      <w:r w:rsidRPr="00EE48D6">
        <w:t>,</w:t>
      </w:r>
      <w:r w:rsidRPr="00EE48D6">
        <w:t>刘冲</w:t>
      </w:r>
      <w:r w:rsidRPr="00EE48D6">
        <w:t>.</w:t>
      </w:r>
      <w:r w:rsidRPr="00EE48D6">
        <w:t>投资者分歧、异常交易量和股票横截面收益率预测</w:t>
      </w:r>
      <w:r w:rsidRPr="00EE48D6">
        <w:t>——</w:t>
      </w:r>
      <w:r w:rsidRPr="00EE48D6">
        <w:t>基于中国股票市场的经验证据</w:t>
      </w:r>
      <w:r w:rsidRPr="00EE48D6">
        <w:t>[J].</w:t>
      </w:r>
      <w:r w:rsidRPr="00EE48D6">
        <w:t>投资研究</w:t>
      </w:r>
      <w:r w:rsidRPr="00EE48D6">
        <w:t>,2011,30(10):42-55.</w:t>
      </w:r>
    </w:p>
  </w:endnote>
  <w:endnote w:id="80">
    <w:p w14:paraId="79EDAB4B" w14:textId="6D710ED8" w:rsidR="0020321F" w:rsidRPr="00EE48D6" w:rsidRDefault="0020321F" w:rsidP="00D33E3B">
      <w:pPr>
        <w:pStyle w:val="af9"/>
        <w:ind w:left="480" w:hangingChars="200" w:hanging="480"/>
        <w:jc w:val="both"/>
      </w:pPr>
      <w:r w:rsidRPr="00EE48D6">
        <w:rPr>
          <w:rStyle w:val="afb"/>
          <w:vertAlign w:val="baseline"/>
          <w:lang w:val="da-DK"/>
        </w:rPr>
        <w:t>[</w:t>
      </w:r>
      <w:r w:rsidRPr="00EE48D6">
        <w:rPr>
          <w:rStyle w:val="afb"/>
          <w:vertAlign w:val="baseline"/>
        </w:rPr>
        <w:endnoteRef/>
      </w:r>
      <w:r w:rsidRPr="00EE48D6">
        <w:rPr>
          <w:rStyle w:val="afb"/>
          <w:vertAlign w:val="baseline"/>
          <w:lang w:val="da-DK"/>
        </w:rPr>
        <w:t>]</w:t>
      </w:r>
      <w:r w:rsidRPr="00EE48D6">
        <w:rPr>
          <w:lang w:val="da-DK"/>
        </w:rPr>
        <w:t xml:space="preserve"> Morck R, Yeung B Y, Yu W, et al. </w:t>
      </w:r>
      <w:r w:rsidRPr="00EE48D6">
        <w:t>The Information Content of Stock Markets: Why Do Emerging Markets Have Synchronous Stock Price Movements?[J]. Journal of Financial Economics, 2000: 215-260.</w:t>
      </w:r>
    </w:p>
  </w:endnote>
  <w:endnote w:id="81">
    <w:p w14:paraId="7779315C" w14:textId="45CC8AD6"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Roll R. R2[J]. Journal of Finance, 1988, 43(3): 541–566.</w:t>
      </w:r>
    </w:p>
  </w:endnote>
  <w:endnote w:id="82">
    <w:p w14:paraId="3075454D" w14:textId="4250ABEB" w:rsidR="0020321F" w:rsidRPr="00EE48D6" w:rsidRDefault="0020321F" w:rsidP="00D33E3B">
      <w:pPr>
        <w:pStyle w:val="af9"/>
        <w:ind w:left="480" w:hangingChars="200" w:hanging="480"/>
        <w:jc w:val="both"/>
      </w:pPr>
      <w:r w:rsidRPr="00EE48D6">
        <w:rPr>
          <w:rStyle w:val="afb"/>
          <w:vertAlign w:val="baseline"/>
        </w:rPr>
        <w:t>[</w:t>
      </w:r>
      <w:r w:rsidRPr="00EE48D6">
        <w:rPr>
          <w:rStyle w:val="afb"/>
          <w:vertAlign w:val="baseline"/>
        </w:rPr>
        <w:endnoteRef/>
      </w:r>
      <w:r w:rsidRPr="00EE48D6">
        <w:rPr>
          <w:rStyle w:val="afb"/>
          <w:vertAlign w:val="baseline"/>
        </w:rPr>
        <w:t>]</w:t>
      </w:r>
      <w:r w:rsidRPr="00EE48D6">
        <w:t xml:space="preserve"> </w:t>
      </w:r>
      <w:r w:rsidRPr="00EE48D6">
        <w:rPr>
          <w:rFonts w:hint="eastAsia"/>
        </w:rPr>
        <w:t>许年行</w:t>
      </w:r>
      <w:r w:rsidRPr="00EE48D6">
        <w:rPr>
          <w:rFonts w:hint="eastAsia"/>
        </w:rPr>
        <w:t>,</w:t>
      </w:r>
      <w:r w:rsidRPr="00EE48D6">
        <w:rPr>
          <w:rFonts w:hint="eastAsia"/>
        </w:rPr>
        <w:t>江轩宇</w:t>
      </w:r>
      <w:r w:rsidRPr="00EE48D6">
        <w:rPr>
          <w:rFonts w:hint="eastAsia"/>
        </w:rPr>
        <w:t>,</w:t>
      </w:r>
      <w:r w:rsidRPr="00EE48D6">
        <w:rPr>
          <w:rFonts w:hint="eastAsia"/>
        </w:rPr>
        <w:t>伊志宏</w:t>
      </w:r>
      <w:r w:rsidRPr="00EE48D6">
        <w:rPr>
          <w:rFonts w:hint="eastAsia"/>
        </w:rPr>
        <w:t>,</w:t>
      </w:r>
      <w:r w:rsidRPr="00EE48D6">
        <w:rPr>
          <w:rFonts w:hint="eastAsia"/>
        </w:rPr>
        <w:t>徐信忠</w:t>
      </w:r>
      <w:r w:rsidRPr="00EE48D6">
        <w:rPr>
          <w:rFonts w:hint="eastAsia"/>
        </w:rPr>
        <w:t>.</w:t>
      </w:r>
      <w:r w:rsidRPr="00EE48D6">
        <w:rPr>
          <w:rFonts w:hint="eastAsia"/>
        </w:rPr>
        <w:t>分析师利益冲突、乐观偏差与股价崩盘风险</w:t>
      </w:r>
      <w:r w:rsidRPr="00EE48D6">
        <w:rPr>
          <w:rFonts w:hint="eastAsia"/>
        </w:rPr>
        <w:t>[J].</w:t>
      </w:r>
      <w:r w:rsidRPr="00EE48D6">
        <w:rPr>
          <w:rFonts w:hint="eastAsia"/>
        </w:rPr>
        <w:t>经济研究</w:t>
      </w:r>
      <w:r w:rsidRPr="00EE48D6">
        <w:rPr>
          <w:rFonts w:hint="eastAsia"/>
        </w:rPr>
        <w:t>,2012,47(07):127-140.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A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10609030101010101"/>
    <w:charset w:val="86"/>
    <w:family w:val="modern"/>
    <w:pitch w:val="fixed"/>
    <w:sig w:usb0="00000000" w:usb1="080E0000" w:usb2="00000010" w:usb3="00000000" w:csb0="00040000" w:csb1="00000000"/>
  </w:font>
  <w:font w:name="KaiTi">
    <w:altName w:val="KaiT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3" w:usb1="080E0000" w:usb2="00000010"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B4296" w14:textId="77777777" w:rsidR="0020321F" w:rsidRDefault="0020321F" w:rsidP="003E273A">
    <w:pPr>
      <w:pStyle w:val="a9"/>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0EF7" w14:textId="77777777" w:rsidR="0020321F" w:rsidRDefault="0020321F" w:rsidP="00C258E1">
    <w:pPr>
      <w:pStyle w:val="a9"/>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9647" w14:textId="77777777" w:rsidR="0020321F" w:rsidRDefault="0020321F" w:rsidP="00EE2202">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746930"/>
      <w:docPartObj>
        <w:docPartGallery w:val="Page Numbers (Bottom of Page)"/>
        <w:docPartUnique/>
      </w:docPartObj>
    </w:sdtPr>
    <w:sdtContent>
      <w:p w14:paraId="5222D066" w14:textId="5D5D286B" w:rsidR="0020321F" w:rsidRPr="004A7F0D" w:rsidRDefault="0020321F" w:rsidP="004A7F0D">
        <w:pPr>
          <w:pStyle w:val="a9"/>
          <w:ind w:firstLineChars="0" w:firstLine="0"/>
          <w:jc w:val="center"/>
        </w:pPr>
        <w:r w:rsidRPr="004A7F0D">
          <w:fldChar w:fldCharType="begin"/>
        </w:r>
        <w:r w:rsidRPr="004A7F0D">
          <w:instrText>PAGE   \* MERGEFORMAT</w:instrText>
        </w:r>
        <w:r w:rsidRPr="004A7F0D">
          <w:fldChar w:fldCharType="separate"/>
        </w:r>
        <w:r w:rsidRPr="00516F82">
          <w:rPr>
            <w:noProof/>
            <w:lang w:val="zh-CN"/>
          </w:rPr>
          <w:t>III</w:t>
        </w:r>
        <w:r w:rsidRPr="004A7F0D">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582307"/>
      <w:docPartObj>
        <w:docPartGallery w:val="Page Numbers (Bottom of Page)"/>
        <w:docPartUnique/>
      </w:docPartObj>
    </w:sdtPr>
    <w:sdtContent>
      <w:p w14:paraId="4C341EA1" w14:textId="2F98C358" w:rsidR="0020321F" w:rsidRDefault="0020321F" w:rsidP="003E273A">
        <w:pPr>
          <w:pStyle w:val="a9"/>
          <w:ind w:firstLineChars="0" w:firstLine="0"/>
          <w:jc w:val="center"/>
        </w:pPr>
        <w:r>
          <w:fldChar w:fldCharType="begin"/>
        </w:r>
        <w:r>
          <w:instrText>PAGE   \* MERGEFORMAT</w:instrText>
        </w:r>
        <w:r>
          <w:fldChar w:fldCharType="separate"/>
        </w:r>
        <w:r w:rsidRPr="00516F82">
          <w:rPr>
            <w:noProof/>
            <w:lang w:val="zh-CN"/>
          </w:rPr>
          <w:t>IV</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045880"/>
      <w:docPartObj>
        <w:docPartGallery w:val="Page Numbers (Bottom of Page)"/>
        <w:docPartUnique/>
      </w:docPartObj>
    </w:sdtPr>
    <w:sdtContent>
      <w:p w14:paraId="0A3FA21B" w14:textId="356EAF36" w:rsidR="0020321F" w:rsidRDefault="0020321F" w:rsidP="003E273A">
        <w:pPr>
          <w:pStyle w:val="a9"/>
          <w:ind w:firstLineChars="0" w:firstLine="0"/>
          <w:jc w:val="center"/>
        </w:pPr>
        <w:r>
          <w:fldChar w:fldCharType="begin"/>
        </w:r>
        <w:r>
          <w:instrText>PAGE   \* MERGEFORMAT</w:instrText>
        </w:r>
        <w:r>
          <w:fldChar w:fldCharType="separate"/>
        </w:r>
        <w:r w:rsidRPr="00516F82">
          <w:rPr>
            <w:noProof/>
            <w:lang w:val="zh-CN"/>
          </w:rPr>
          <w:t>10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330813"/>
      <w:docPartObj>
        <w:docPartGallery w:val="Page Numbers (Bottom of Page)"/>
        <w:docPartUnique/>
      </w:docPartObj>
    </w:sdtPr>
    <w:sdtContent>
      <w:p w14:paraId="50BB5B54" w14:textId="4A5805A4" w:rsidR="0020321F" w:rsidRPr="004A7F0D" w:rsidRDefault="0020321F" w:rsidP="004A7F0D">
        <w:pPr>
          <w:pStyle w:val="a9"/>
          <w:ind w:firstLineChars="0" w:firstLine="0"/>
          <w:jc w:val="center"/>
        </w:pPr>
        <w:r w:rsidRPr="004A7F0D">
          <w:fldChar w:fldCharType="begin"/>
        </w:r>
        <w:r w:rsidRPr="004A7F0D">
          <w:instrText>PAGE   \* MERGEFORMAT</w:instrText>
        </w:r>
        <w:r w:rsidRPr="004A7F0D">
          <w:fldChar w:fldCharType="separate"/>
        </w:r>
        <w:r w:rsidRPr="00516F82">
          <w:rPr>
            <w:noProof/>
            <w:lang w:val="zh-CN"/>
          </w:rPr>
          <w:t>11</w:t>
        </w:r>
        <w:r w:rsidRPr="004A7F0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7447F" w14:textId="77777777" w:rsidR="00952AE5" w:rsidRDefault="00952AE5" w:rsidP="00EE2202">
      <w:r>
        <w:separator/>
      </w:r>
    </w:p>
  </w:footnote>
  <w:footnote w:type="continuationSeparator" w:id="0">
    <w:p w14:paraId="6DB10E55" w14:textId="77777777" w:rsidR="00952AE5" w:rsidRDefault="00952AE5" w:rsidP="00EE2202">
      <w:r>
        <w:continuationSeparator/>
      </w:r>
    </w:p>
  </w:footnote>
  <w:footnote w:id="1">
    <w:p w14:paraId="408E9524" w14:textId="63763BE9" w:rsidR="0020321F" w:rsidRDefault="0020321F">
      <w:pPr>
        <w:pStyle w:val="afc"/>
        <w:ind w:firstLine="360"/>
      </w:pPr>
      <w:r>
        <w:rPr>
          <w:rStyle w:val="afe"/>
        </w:rPr>
        <w:footnoteRef/>
      </w:r>
      <w:r>
        <w:t xml:space="preserve"> </w:t>
      </w:r>
      <w:r>
        <w:rPr>
          <w:rFonts w:hint="eastAsia"/>
        </w:rPr>
        <w:t>在</w:t>
      </w:r>
      <w:r>
        <w:rPr>
          <w:rFonts w:hint="eastAsia"/>
        </w:rPr>
        <w:t>FAF</w:t>
      </w:r>
      <w:r>
        <w:rPr>
          <w:rFonts w:hint="eastAsia"/>
        </w:rPr>
        <w:t>报告中，分析师从年度报告、其他公开披露信息（包括季度报告、新闻发布和代理人声明等）和投资者关系三个角度对上市公司信息披露进行评估并打分。</w:t>
      </w:r>
    </w:p>
  </w:footnote>
  <w:footnote w:id="2">
    <w:p w14:paraId="0B5DEE17" w14:textId="1FE4322F" w:rsidR="0020321F" w:rsidRDefault="0020321F">
      <w:pPr>
        <w:pStyle w:val="afc"/>
        <w:ind w:firstLine="360"/>
      </w:pPr>
      <w:r>
        <w:rPr>
          <w:rStyle w:val="afe"/>
        </w:rPr>
        <w:footnoteRef/>
      </w:r>
      <w:r>
        <w:t xml:space="preserve"> </w:t>
      </w:r>
      <w:r>
        <w:rPr>
          <w:rFonts w:hint="eastAsia"/>
        </w:rPr>
        <w:t>即多因子模型中的</w:t>
      </w:r>
      <w:r>
        <w:rPr>
          <w:rFonts w:hint="eastAsia"/>
        </w:rPr>
        <w:t>R2</w:t>
      </w:r>
      <w:r>
        <w:rPr>
          <w:rFonts w:hint="eastAsia"/>
        </w:rPr>
        <w:t>统计量，</w:t>
      </w:r>
      <w:r>
        <w:t>R</w:t>
      </w:r>
      <w:r>
        <w:rPr>
          <w:rFonts w:hint="eastAsia"/>
        </w:rPr>
        <w:t>2</w:t>
      </w:r>
      <w:r>
        <w:rPr>
          <w:rFonts w:hint="eastAsia"/>
        </w:rPr>
        <w:t>越大意味着股价同步性越高，相应其反映的公司特质信息越少（</w:t>
      </w:r>
      <w:r>
        <w:rPr>
          <w:rFonts w:hint="eastAsia"/>
        </w:rPr>
        <w:t>Roll</w:t>
      </w:r>
      <w:r>
        <w:rPr>
          <w:rFonts w:hint="eastAsia"/>
        </w:rPr>
        <w:t>，</w:t>
      </w:r>
      <w:r>
        <w:rPr>
          <w:rFonts w:hint="eastAsia"/>
        </w:rPr>
        <w:t>1988</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01446" w14:textId="77777777" w:rsidR="0020321F" w:rsidRPr="00BD7889" w:rsidRDefault="0020321F" w:rsidP="00BD7889">
    <w:pPr>
      <w:pStyle w:val="a7"/>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EAC2" w14:textId="77777777" w:rsidR="0020321F" w:rsidRDefault="0020321F" w:rsidP="004A7F0D">
    <w:pPr>
      <w:pStyle w:val="a7"/>
      <w:ind w:firstLineChars="0" w:firstLine="0"/>
    </w:pPr>
    <w:r>
      <w:rPr>
        <w:rFonts w:hint="eastAsia"/>
      </w:rPr>
      <w:t>第一章　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3B89" w14:textId="77777777" w:rsidR="0020321F" w:rsidRDefault="0020321F" w:rsidP="004A7F0D">
    <w:pPr>
      <w:pStyle w:val="a7"/>
      <w:ind w:firstLineChars="0" w:firstLine="0"/>
    </w:pPr>
    <w:r>
      <w:rPr>
        <w:rFonts w:hint="eastAsia"/>
      </w:rPr>
      <w:t>第二章　相关理论研究综述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31C95" w14:textId="77777777" w:rsidR="0020321F" w:rsidRDefault="0020321F" w:rsidP="004A7F0D">
    <w:pPr>
      <w:pStyle w:val="a7"/>
      <w:ind w:firstLineChars="0" w:firstLine="0"/>
    </w:pPr>
    <w:r>
      <w:rPr>
        <w:rFonts w:hint="eastAsia"/>
      </w:rPr>
      <w:t>第三章　证券分析师择时行为的实证研究</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6A9DB" w14:textId="77777777" w:rsidR="0020321F" w:rsidRDefault="0020321F" w:rsidP="004A7F0D">
    <w:pPr>
      <w:pStyle w:val="a7"/>
      <w:ind w:firstLineChars="0" w:firstLine="0"/>
    </w:pPr>
    <w:r>
      <w:rPr>
        <w:rFonts w:hint="eastAsia"/>
      </w:rPr>
      <w:t>第四章　结论与建议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7F61C" w14:textId="77777777" w:rsidR="0020321F" w:rsidRPr="00BD7889" w:rsidRDefault="0020321F" w:rsidP="00BD7889">
    <w:pPr>
      <w:pStyle w:val="a7"/>
      <w:ind w:firstLineChars="0" w:firstLine="0"/>
    </w:pPr>
    <w:r>
      <w:rPr>
        <w:rFonts w:hint="eastAsia"/>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ABBF" w14:textId="77777777" w:rsidR="0020321F" w:rsidRDefault="0020321F" w:rsidP="004A7F0D">
    <w:pPr>
      <w:pStyle w:val="a7"/>
      <w:ind w:firstLineChars="0" w:firstLine="0"/>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5121F" w14:textId="77777777" w:rsidR="0020321F" w:rsidRDefault="0020321F" w:rsidP="00DA7E34">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768D3" w14:textId="77777777" w:rsidR="0020321F" w:rsidRDefault="0020321F" w:rsidP="00EE2202">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1DF8" w14:textId="77777777" w:rsidR="0020321F" w:rsidRDefault="0020321F" w:rsidP="00DA7E34">
    <w:pPr>
      <w:pStyle w:val="a7"/>
      <w:ind w:firstLineChars="0" w:firstLine="0"/>
    </w:pPr>
    <w:r>
      <w:rPr>
        <w:rFonts w:hint="eastAsia"/>
      </w:rPr>
      <w:t>摘　　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3DA60" w14:textId="77777777" w:rsidR="0020321F" w:rsidRDefault="0020321F" w:rsidP="00BD7889">
    <w:pPr>
      <w:pStyle w:val="a7"/>
      <w:pBdr>
        <w:bottom w:val="single" w:sz="4" w:space="1" w:color="auto"/>
      </w:pBdr>
      <w:ind w:firstLineChars="0" w:firstLine="0"/>
    </w:pPr>
    <w:r>
      <w:rPr>
        <w:rFonts w:hint="eastAsia"/>
      </w:rPr>
      <w:t>Abs</w:t>
    </w:r>
    <w:r>
      <w:t>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86F12" w14:textId="77777777" w:rsidR="0020321F" w:rsidRDefault="0020321F" w:rsidP="003A6455">
    <w:pPr>
      <w:pStyle w:val="a7"/>
      <w:ind w:firstLineChars="0" w:firstLine="0"/>
    </w:pP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A1D32" w14:textId="77777777" w:rsidR="0020321F" w:rsidRDefault="0020321F" w:rsidP="00BD7889">
    <w:pPr>
      <w:pStyle w:val="a7"/>
      <w:pBdr>
        <w:bottom w:val="single" w:sz="4" w:space="1" w:color="auto"/>
      </w:pBdr>
      <w:ind w:firstLineChars="0" w:firstLine="0"/>
    </w:pPr>
    <w:r>
      <w:rPr>
        <w:rFonts w:hint="eastAsia"/>
      </w:rPr>
      <w:t>目　　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DE7B" w14:textId="77777777" w:rsidR="0020321F" w:rsidRDefault="0020321F" w:rsidP="003A6455">
    <w:pPr>
      <w:pStyle w:val="a7"/>
      <w:ind w:firstLineChars="0" w:firstLine="0"/>
    </w:pPr>
    <w:r>
      <w:rPr>
        <w:rFonts w:hint="eastAsia"/>
      </w:rPr>
      <w:t>目　　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089D2" w14:textId="77777777" w:rsidR="0020321F" w:rsidRPr="00BD7889" w:rsidRDefault="0020321F" w:rsidP="00BD7889">
    <w:pPr>
      <w:pStyle w:val="a7"/>
      <w:ind w:firstLineChars="0" w:firstLine="0"/>
    </w:pPr>
    <w:r w:rsidRPr="00BD7889">
      <w:rPr>
        <w:rFonts w:hint="eastAsia"/>
      </w:rPr>
      <w:t>证券分析师的市场择时行为研究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19D8"/>
    <w:multiLevelType w:val="hybridMultilevel"/>
    <w:tmpl w:val="623C3592"/>
    <w:lvl w:ilvl="0" w:tplc="6BE6C328">
      <w:start w:val="1"/>
      <w:numFmt w:val="decimal"/>
      <w:pStyle w:val="3"/>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DEA7E2C"/>
    <w:multiLevelType w:val="hybridMultilevel"/>
    <w:tmpl w:val="AC6AE892"/>
    <w:lvl w:ilvl="0" w:tplc="C6CAAD56">
      <w:start w:val="1"/>
      <w:numFmt w:val="decimal"/>
      <w:pStyle w:val="a"/>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C814953"/>
    <w:multiLevelType w:val="hybridMultilevel"/>
    <w:tmpl w:val="18B4152E"/>
    <w:lvl w:ilvl="0" w:tplc="D9AA043E">
      <w:start w:val="1"/>
      <w:numFmt w:val="chineseCountingThousand"/>
      <w:pStyle w:val="2"/>
      <w:lvlText w:val="第%1节"/>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323A97"/>
    <w:multiLevelType w:val="hybridMultilevel"/>
    <w:tmpl w:val="E4DC47F6"/>
    <w:lvl w:ilvl="0" w:tplc="FFF867A2">
      <w:start w:val="1"/>
      <w:numFmt w:val="decimal"/>
      <w:lvlText w:val="[%1]"/>
      <w:lvlJc w:val="left"/>
      <w:pPr>
        <w:ind w:left="420" w:hanging="420"/>
      </w:pPr>
      <w:rPr>
        <w:rFonts w:hint="eastAsia"/>
      </w:rPr>
    </w:lvl>
    <w:lvl w:ilvl="1" w:tplc="FFF867A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969D5"/>
    <w:multiLevelType w:val="hybridMultilevel"/>
    <w:tmpl w:val="277C1010"/>
    <w:lvl w:ilvl="0" w:tplc="F26A6FE4">
      <w:start w:val="1"/>
      <w:numFmt w:val="chineseCountingThousand"/>
      <w:pStyle w:val="1"/>
      <w:lvlText w:val="第%1章"/>
      <w:lvlJc w:val="left"/>
      <w:pPr>
        <w:ind w:left="1022" w:hanging="420"/>
      </w:pPr>
      <w:rPr>
        <w:rFonts w:hint="eastAsia"/>
      </w:rPr>
    </w:lvl>
    <w:lvl w:ilvl="1" w:tplc="83167F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2822F1"/>
    <w:multiLevelType w:val="hybridMultilevel"/>
    <w:tmpl w:val="7562C7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D1B42FF"/>
    <w:multiLevelType w:val="hybridMultilevel"/>
    <w:tmpl w:val="41FA91AE"/>
    <w:lvl w:ilvl="0" w:tplc="4392A038">
      <w:start w:val="1"/>
      <w:numFmt w:val="decimal"/>
      <w:pStyle w:val="4"/>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lvlOverride w:ilvl="0">
      <w:startOverride w:val="1"/>
    </w:lvlOverride>
  </w:num>
  <w:num w:numId="3">
    <w:abstractNumId w:val="0"/>
    <w:lvlOverride w:ilvl="0">
      <w:startOverride w:val="1"/>
    </w:lvlOverride>
  </w:num>
  <w:num w:numId="4">
    <w:abstractNumId w:val="2"/>
  </w:num>
  <w:num w:numId="5">
    <w:abstractNumId w:val="2"/>
    <w:lvlOverride w:ilvl="0">
      <w:startOverride w:val="1"/>
    </w:lvlOverride>
  </w:num>
  <w:num w:numId="6">
    <w:abstractNumId w:val="2"/>
    <w:lvlOverride w:ilvl="0">
      <w:startOverride w:val="1"/>
    </w:lvlOverride>
  </w:num>
  <w:num w:numId="7">
    <w:abstractNumId w:val="6"/>
  </w:num>
  <w:num w:numId="8">
    <w:abstractNumId w:val="6"/>
    <w:lvlOverride w:ilvl="0">
      <w:startOverride w:val="1"/>
    </w:lvlOverride>
  </w:num>
  <w:num w:numId="9">
    <w:abstractNumId w:val="6"/>
    <w:lvlOverride w:ilvl="0">
      <w:startOverride w:val="1"/>
    </w:lvlOverride>
  </w:num>
  <w:num w:numId="10">
    <w:abstractNumId w:val="0"/>
  </w:num>
  <w:num w:numId="11">
    <w:abstractNumId w:val="0"/>
    <w:lvlOverride w:ilvl="0">
      <w:startOverride w:val="1"/>
    </w:lvlOverride>
  </w:num>
  <w:num w:numId="12">
    <w:abstractNumId w:val="0"/>
    <w:lvlOverride w:ilvl="0">
      <w:startOverride w:val="1"/>
    </w:lvlOverride>
  </w:num>
  <w:num w:numId="13">
    <w:abstractNumId w:val="1"/>
  </w:num>
  <w:num w:numId="14">
    <w:abstractNumId w:val="0"/>
    <w:lvlOverride w:ilvl="0">
      <w:startOverride w:val="1"/>
    </w:lvlOverride>
  </w:num>
  <w:num w:numId="15">
    <w:abstractNumId w:val="3"/>
  </w:num>
  <w:num w:numId="16">
    <w:abstractNumId w:val="2"/>
    <w:lvlOverride w:ilvl="0">
      <w:startOverride w:val="1"/>
    </w:lvlOverride>
  </w:num>
  <w:num w:numId="17">
    <w:abstractNumId w:val="6"/>
    <w:lvlOverride w:ilvl="0">
      <w:startOverride w:val="1"/>
    </w:lvlOverride>
  </w:num>
  <w:num w:numId="18">
    <w:abstractNumId w:val="0"/>
    <w:lvlOverride w:ilvl="0">
      <w:startOverride w:val="1"/>
    </w:lvlOverride>
  </w:num>
  <w:num w:numId="19">
    <w:abstractNumId w:val="5"/>
  </w:num>
  <w:num w:numId="20">
    <w:abstractNumId w:val="6"/>
    <w:lvlOverride w:ilvl="0">
      <w:startOverride w:val="1"/>
    </w:lvlOverride>
  </w:num>
  <w:num w:numId="21">
    <w:abstractNumId w:val="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activeWritingStyle w:appName="MSWord" w:lang="zh-CN" w:vendorID="64" w:dllVersion="0" w:nlCheck="1" w:checkStyle="1"/>
  <w:activeWritingStyle w:appName="MSWord" w:lang="en-US" w:vendorID="64" w:dllVersion="4096" w:nlCheck="1" w:checkStyle="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21"/>
    <w:rsid w:val="0001010D"/>
    <w:rsid w:val="00010BC9"/>
    <w:rsid w:val="00011564"/>
    <w:rsid w:val="00011CD6"/>
    <w:rsid w:val="000149F8"/>
    <w:rsid w:val="00016560"/>
    <w:rsid w:val="0001668E"/>
    <w:rsid w:val="000166BD"/>
    <w:rsid w:val="0002579D"/>
    <w:rsid w:val="00025FC1"/>
    <w:rsid w:val="000272B0"/>
    <w:rsid w:val="0003193D"/>
    <w:rsid w:val="00032C9B"/>
    <w:rsid w:val="0003597A"/>
    <w:rsid w:val="000378AF"/>
    <w:rsid w:val="00042F8B"/>
    <w:rsid w:val="000456CE"/>
    <w:rsid w:val="00047898"/>
    <w:rsid w:val="0005666F"/>
    <w:rsid w:val="00056749"/>
    <w:rsid w:val="00061260"/>
    <w:rsid w:val="00061A37"/>
    <w:rsid w:val="00062A9A"/>
    <w:rsid w:val="0006587F"/>
    <w:rsid w:val="00066EAA"/>
    <w:rsid w:val="00071888"/>
    <w:rsid w:val="00071BDA"/>
    <w:rsid w:val="00081A16"/>
    <w:rsid w:val="00082282"/>
    <w:rsid w:val="00083794"/>
    <w:rsid w:val="00083FD4"/>
    <w:rsid w:val="00085911"/>
    <w:rsid w:val="00091511"/>
    <w:rsid w:val="00092E76"/>
    <w:rsid w:val="000934F9"/>
    <w:rsid w:val="00093FB6"/>
    <w:rsid w:val="000977D3"/>
    <w:rsid w:val="000A28DD"/>
    <w:rsid w:val="000A5C65"/>
    <w:rsid w:val="000A68CB"/>
    <w:rsid w:val="000A6FF9"/>
    <w:rsid w:val="000A7FBF"/>
    <w:rsid w:val="000B2247"/>
    <w:rsid w:val="000B32B4"/>
    <w:rsid w:val="000B358D"/>
    <w:rsid w:val="000B552B"/>
    <w:rsid w:val="000C0856"/>
    <w:rsid w:val="000C0A42"/>
    <w:rsid w:val="000C2F74"/>
    <w:rsid w:val="000C7406"/>
    <w:rsid w:val="000D2CB7"/>
    <w:rsid w:val="000D30FC"/>
    <w:rsid w:val="000D3579"/>
    <w:rsid w:val="000D3997"/>
    <w:rsid w:val="000D5D49"/>
    <w:rsid w:val="000D5FD2"/>
    <w:rsid w:val="000D6891"/>
    <w:rsid w:val="000E35FC"/>
    <w:rsid w:val="000E66C0"/>
    <w:rsid w:val="000F19BA"/>
    <w:rsid w:val="000F4EB8"/>
    <w:rsid w:val="000F72BF"/>
    <w:rsid w:val="00100633"/>
    <w:rsid w:val="00101238"/>
    <w:rsid w:val="00101A78"/>
    <w:rsid w:val="001060C1"/>
    <w:rsid w:val="00107D4D"/>
    <w:rsid w:val="00110820"/>
    <w:rsid w:val="00110BE0"/>
    <w:rsid w:val="00111B3F"/>
    <w:rsid w:val="00112A9B"/>
    <w:rsid w:val="0011544E"/>
    <w:rsid w:val="00116193"/>
    <w:rsid w:val="0011644B"/>
    <w:rsid w:val="00117878"/>
    <w:rsid w:val="001204D5"/>
    <w:rsid w:val="00122DD9"/>
    <w:rsid w:val="00123168"/>
    <w:rsid w:val="001257BB"/>
    <w:rsid w:val="001263CA"/>
    <w:rsid w:val="00127A17"/>
    <w:rsid w:val="00127C52"/>
    <w:rsid w:val="00127E62"/>
    <w:rsid w:val="00127F48"/>
    <w:rsid w:val="00130E4E"/>
    <w:rsid w:val="00136737"/>
    <w:rsid w:val="001439E5"/>
    <w:rsid w:val="00143DFD"/>
    <w:rsid w:val="00152370"/>
    <w:rsid w:val="00152434"/>
    <w:rsid w:val="00153B9B"/>
    <w:rsid w:val="0015641E"/>
    <w:rsid w:val="00160715"/>
    <w:rsid w:val="0016173A"/>
    <w:rsid w:val="00164428"/>
    <w:rsid w:val="00164B60"/>
    <w:rsid w:val="001653EE"/>
    <w:rsid w:val="0017220C"/>
    <w:rsid w:val="00173356"/>
    <w:rsid w:val="00173B9E"/>
    <w:rsid w:val="00174584"/>
    <w:rsid w:val="00174E22"/>
    <w:rsid w:val="00180129"/>
    <w:rsid w:val="00182C60"/>
    <w:rsid w:val="0018392B"/>
    <w:rsid w:val="00187338"/>
    <w:rsid w:val="001904B1"/>
    <w:rsid w:val="00191AD9"/>
    <w:rsid w:val="0019283B"/>
    <w:rsid w:val="00193EF7"/>
    <w:rsid w:val="00194A65"/>
    <w:rsid w:val="00196F8D"/>
    <w:rsid w:val="001A2B49"/>
    <w:rsid w:val="001A4D69"/>
    <w:rsid w:val="001B22E0"/>
    <w:rsid w:val="001B30C9"/>
    <w:rsid w:val="001B7887"/>
    <w:rsid w:val="001C00D8"/>
    <w:rsid w:val="001C115E"/>
    <w:rsid w:val="001C4DCB"/>
    <w:rsid w:val="001D1916"/>
    <w:rsid w:val="001D36F5"/>
    <w:rsid w:val="001D5442"/>
    <w:rsid w:val="001D6060"/>
    <w:rsid w:val="001E166E"/>
    <w:rsid w:val="001E195A"/>
    <w:rsid w:val="001E3BD9"/>
    <w:rsid w:val="001E4F23"/>
    <w:rsid w:val="001F2B31"/>
    <w:rsid w:val="001F79CA"/>
    <w:rsid w:val="0020321F"/>
    <w:rsid w:val="00204501"/>
    <w:rsid w:val="0020470E"/>
    <w:rsid w:val="00206AFB"/>
    <w:rsid w:val="00211741"/>
    <w:rsid w:val="00211ECF"/>
    <w:rsid w:val="00212F5B"/>
    <w:rsid w:val="00214CF5"/>
    <w:rsid w:val="00216184"/>
    <w:rsid w:val="00216DB3"/>
    <w:rsid w:val="00217D7B"/>
    <w:rsid w:val="00222A5B"/>
    <w:rsid w:val="00223A4A"/>
    <w:rsid w:val="002241C9"/>
    <w:rsid w:val="00224405"/>
    <w:rsid w:val="00226260"/>
    <w:rsid w:val="00230A39"/>
    <w:rsid w:val="00230D02"/>
    <w:rsid w:val="002324FD"/>
    <w:rsid w:val="0023674A"/>
    <w:rsid w:val="00241C98"/>
    <w:rsid w:val="00244D8A"/>
    <w:rsid w:val="00247D14"/>
    <w:rsid w:val="00250D99"/>
    <w:rsid w:val="00251082"/>
    <w:rsid w:val="0025265E"/>
    <w:rsid w:val="00253814"/>
    <w:rsid w:val="002672D3"/>
    <w:rsid w:val="00271171"/>
    <w:rsid w:val="00274797"/>
    <w:rsid w:val="00282D15"/>
    <w:rsid w:val="0028566D"/>
    <w:rsid w:val="002913DA"/>
    <w:rsid w:val="0029229E"/>
    <w:rsid w:val="00294C25"/>
    <w:rsid w:val="00295273"/>
    <w:rsid w:val="002A01C0"/>
    <w:rsid w:val="002A7397"/>
    <w:rsid w:val="002B1AA2"/>
    <w:rsid w:val="002B7056"/>
    <w:rsid w:val="002C074A"/>
    <w:rsid w:val="002C1666"/>
    <w:rsid w:val="002C1AA6"/>
    <w:rsid w:val="002C259D"/>
    <w:rsid w:val="002C7ED3"/>
    <w:rsid w:val="002D00F6"/>
    <w:rsid w:val="002D4999"/>
    <w:rsid w:val="002D4AB6"/>
    <w:rsid w:val="002E07D0"/>
    <w:rsid w:val="002E097B"/>
    <w:rsid w:val="002E0FCD"/>
    <w:rsid w:val="002E10FD"/>
    <w:rsid w:val="002E15F7"/>
    <w:rsid w:val="002E1C62"/>
    <w:rsid w:val="002E3E1D"/>
    <w:rsid w:val="002E3FD2"/>
    <w:rsid w:val="002E49CF"/>
    <w:rsid w:val="002E4AEE"/>
    <w:rsid w:val="002F0FC2"/>
    <w:rsid w:val="002F12A1"/>
    <w:rsid w:val="002F5797"/>
    <w:rsid w:val="002F6189"/>
    <w:rsid w:val="002F68ED"/>
    <w:rsid w:val="00300AD9"/>
    <w:rsid w:val="00303356"/>
    <w:rsid w:val="003054FD"/>
    <w:rsid w:val="00306F88"/>
    <w:rsid w:val="00321B1D"/>
    <w:rsid w:val="00323D59"/>
    <w:rsid w:val="00324A3A"/>
    <w:rsid w:val="00325A36"/>
    <w:rsid w:val="003337E4"/>
    <w:rsid w:val="00335006"/>
    <w:rsid w:val="003366AF"/>
    <w:rsid w:val="003368BC"/>
    <w:rsid w:val="00341193"/>
    <w:rsid w:val="003449BF"/>
    <w:rsid w:val="00344A56"/>
    <w:rsid w:val="0034587D"/>
    <w:rsid w:val="0034763B"/>
    <w:rsid w:val="00347DAD"/>
    <w:rsid w:val="0035255C"/>
    <w:rsid w:val="00357DD7"/>
    <w:rsid w:val="00360417"/>
    <w:rsid w:val="00363B0A"/>
    <w:rsid w:val="00365A63"/>
    <w:rsid w:val="00366EA5"/>
    <w:rsid w:val="00367A54"/>
    <w:rsid w:val="00371795"/>
    <w:rsid w:val="00371896"/>
    <w:rsid w:val="00372624"/>
    <w:rsid w:val="00372880"/>
    <w:rsid w:val="00373414"/>
    <w:rsid w:val="00374F88"/>
    <w:rsid w:val="003770C1"/>
    <w:rsid w:val="003772BD"/>
    <w:rsid w:val="00377467"/>
    <w:rsid w:val="00382BD0"/>
    <w:rsid w:val="00382CC3"/>
    <w:rsid w:val="00383E3A"/>
    <w:rsid w:val="00385AB5"/>
    <w:rsid w:val="003906E7"/>
    <w:rsid w:val="003947DF"/>
    <w:rsid w:val="00394C9A"/>
    <w:rsid w:val="00395397"/>
    <w:rsid w:val="003A3771"/>
    <w:rsid w:val="003A6455"/>
    <w:rsid w:val="003A76C3"/>
    <w:rsid w:val="003B1286"/>
    <w:rsid w:val="003B4392"/>
    <w:rsid w:val="003B5548"/>
    <w:rsid w:val="003B748F"/>
    <w:rsid w:val="003C13D6"/>
    <w:rsid w:val="003C249F"/>
    <w:rsid w:val="003C37D0"/>
    <w:rsid w:val="003C6103"/>
    <w:rsid w:val="003C6933"/>
    <w:rsid w:val="003C7D82"/>
    <w:rsid w:val="003D5037"/>
    <w:rsid w:val="003D668B"/>
    <w:rsid w:val="003D6AFC"/>
    <w:rsid w:val="003E0048"/>
    <w:rsid w:val="003E23E6"/>
    <w:rsid w:val="003E273A"/>
    <w:rsid w:val="003E4FEE"/>
    <w:rsid w:val="003E502C"/>
    <w:rsid w:val="003F6153"/>
    <w:rsid w:val="003F640D"/>
    <w:rsid w:val="003F66DB"/>
    <w:rsid w:val="003F7B52"/>
    <w:rsid w:val="0040036C"/>
    <w:rsid w:val="0040216D"/>
    <w:rsid w:val="00402B6A"/>
    <w:rsid w:val="00403165"/>
    <w:rsid w:val="004038F3"/>
    <w:rsid w:val="0040432C"/>
    <w:rsid w:val="00404910"/>
    <w:rsid w:val="00405D23"/>
    <w:rsid w:val="004061B6"/>
    <w:rsid w:val="004061E0"/>
    <w:rsid w:val="004067DD"/>
    <w:rsid w:val="00412C97"/>
    <w:rsid w:val="0041470B"/>
    <w:rsid w:val="00417ACE"/>
    <w:rsid w:val="00423815"/>
    <w:rsid w:val="00424E0A"/>
    <w:rsid w:val="004267C6"/>
    <w:rsid w:val="004321A9"/>
    <w:rsid w:val="004324E4"/>
    <w:rsid w:val="004335D5"/>
    <w:rsid w:val="004344CF"/>
    <w:rsid w:val="00435C9E"/>
    <w:rsid w:val="0043656D"/>
    <w:rsid w:val="00437521"/>
    <w:rsid w:val="004404B7"/>
    <w:rsid w:val="0044059A"/>
    <w:rsid w:val="00442551"/>
    <w:rsid w:val="004448F7"/>
    <w:rsid w:val="00444A0B"/>
    <w:rsid w:val="00444F03"/>
    <w:rsid w:val="004471AB"/>
    <w:rsid w:val="00447DB7"/>
    <w:rsid w:val="00451C46"/>
    <w:rsid w:val="004526C3"/>
    <w:rsid w:val="00452E91"/>
    <w:rsid w:val="00452FF0"/>
    <w:rsid w:val="00452FF9"/>
    <w:rsid w:val="00453555"/>
    <w:rsid w:val="00462722"/>
    <w:rsid w:val="0046487A"/>
    <w:rsid w:val="004757FE"/>
    <w:rsid w:val="00475809"/>
    <w:rsid w:val="00482F4E"/>
    <w:rsid w:val="004840EE"/>
    <w:rsid w:val="00484964"/>
    <w:rsid w:val="0048598B"/>
    <w:rsid w:val="0048690F"/>
    <w:rsid w:val="00490470"/>
    <w:rsid w:val="004917C4"/>
    <w:rsid w:val="0049190D"/>
    <w:rsid w:val="00491D76"/>
    <w:rsid w:val="004940B4"/>
    <w:rsid w:val="0049527A"/>
    <w:rsid w:val="0049576B"/>
    <w:rsid w:val="004A3CBB"/>
    <w:rsid w:val="004A3EBF"/>
    <w:rsid w:val="004A7F0D"/>
    <w:rsid w:val="004B071D"/>
    <w:rsid w:val="004B14D2"/>
    <w:rsid w:val="004B3EA1"/>
    <w:rsid w:val="004B527D"/>
    <w:rsid w:val="004B5661"/>
    <w:rsid w:val="004C21C0"/>
    <w:rsid w:val="004C260E"/>
    <w:rsid w:val="004C7D5D"/>
    <w:rsid w:val="004D0423"/>
    <w:rsid w:val="004D075B"/>
    <w:rsid w:val="004D1C8E"/>
    <w:rsid w:val="004D1FD9"/>
    <w:rsid w:val="004D60F4"/>
    <w:rsid w:val="004E1B55"/>
    <w:rsid w:val="004E2B8E"/>
    <w:rsid w:val="004E63F2"/>
    <w:rsid w:val="004E7243"/>
    <w:rsid w:val="004F1A60"/>
    <w:rsid w:val="004F1CD3"/>
    <w:rsid w:val="004F315A"/>
    <w:rsid w:val="004F342C"/>
    <w:rsid w:val="004F43FD"/>
    <w:rsid w:val="00500431"/>
    <w:rsid w:val="005005F1"/>
    <w:rsid w:val="00503ADA"/>
    <w:rsid w:val="005079DF"/>
    <w:rsid w:val="00510B7C"/>
    <w:rsid w:val="0051119C"/>
    <w:rsid w:val="00512CFC"/>
    <w:rsid w:val="00512F10"/>
    <w:rsid w:val="005156F8"/>
    <w:rsid w:val="00516F82"/>
    <w:rsid w:val="00523AEC"/>
    <w:rsid w:val="00532B38"/>
    <w:rsid w:val="00534A58"/>
    <w:rsid w:val="0054005C"/>
    <w:rsid w:val="00540C95"/>
    <w:rsid w:val="005412B6"/>
    <w:rsid w:val="005442F0"/>
    <w:rsid w:val="005445F9"/>
    <w:rsid w:val="00546E80"/>
    <w:rsid w:val="00552EA2"/>
    <w:rsid w:val="0055369D"/>
    <w:rsid w:val="0055502F"/>
    <w:rsid w:val="00555594"/>
    <w:rsid w:val="005579AF"/>
    <w:rsid w:val="00560679"/>
    <w:rsid w:val="00570E9A"/>
    <w:rsid w:val="00571E1D"/>
    <w:rsid w:val="00573B8F"/>
    <w:rsid w:val="005766E8"/>
    <w:rsid w:val="00576738"/>
    <w:rsid w:val="005837F6"/>
    <w:rsid w:val="00585326"/>
    <w:rsid w:val="00586F79"/>
    <w:rsid w:val="005917B7"/>
    <w:rsid w:val="00591EA7"/>
    <w:rsid w:val="00593AE9"/>
    <w:rsid w:val="00595646"/>
    <w:rsid w:val="00596D67"/>
    <w:rsid w:val="00597CF9"/>
    <w:rsid w:val="005A2767"/>
    <w:rsid w:val="005A2B2E"/>
    <w:rsid w:val="005A2D0F"/>
    <w:rsid w:val="005A5178"/>
    <w:rsid w:val="005B124B"/>
    <w:rsid w:val="005B3B95"/>
    <w:rsid w:val="005C1478"/>
    <w:rsid w:val="005C2638"/>
    <w:rsid w:val="005C38A2"/>
    <w:rsid w:val="005C7449"/>
    <w:rsid w:val="005D4D44"/>
    <w:rsid w:val="005D699F"/>
    <w:rsid w:val="005E14D1"/>
    <w:rsid w:val="005E61DA"/>
    <w:rsid w:val="005E67D7"/>
    <w:rsid w:val="005F59A6"/>
    <w:rsid w:val="005F5D7E"/>
    <w:rsid w:val="005F7048"/>
    <w:rsid w:val="005F7754"/>
    <w:rsid w:val="006004E2"/>
    <w:rsid w:val="0060607D"/>
    <w:rsid w:val="0061123E"/>
    <w:rsid w:val="00611B05"/>
    <w:rsid w:val="00616AAF"/>
    <w:rsid w:val="00622B73"/>
    <w:rsid w:val="00623441"/>
    <w:rsid w:val="00630719"/>
    <w:rsid w:val="00635685"/>
    <w:rsid w:val="006361B9"/>
    <w:rsid w:val="006408EE"/>
    <w:rsid w:val="00645B53"/>
    <w:rsid w:val="0064760A"/>
    <w:rsid w:val="00652C39"/>
    <w:rsid w:val="00652DEB"/>
    <w:rsid w:val="00653EA5"/>
    <w:rsid w:val="006551E8"/>
    <w:rsid w:val="00655A56"/>
    <w:rsid w:val="006567F1"/>
    <w:rsid w:val="006576B3"/>
    <w:rsid w:val="00657F6F"/>
    <w:rsid w:val="00666818"/>
    <w:rsid w:val="00667F6B"/>
    <w:rsid w:val="00673906"/>
    <w:rsid w:val="006744C0"/>
    <w:rsid w:val="006801CC"/>
    <w:rsid w:val="00680F99"/>
    <w:rsid w:val="00681347"/>
    <w:rsid w:val="00683170"/>
    <w:rsid w:val="0068347D"/>
    <w:rsid w:val="006842BF"/>
    <w:rsid w:val="00684E06"/>
    <w:rsid w:val="00684E5D"/>
    <w:rsid w:val="00687263"/>
    <w:rsid w:val="00690EF9"/>
    <w:rsid w:val="006942CC"/>
    <w:rsid w:val="00694504"/>
    <w:rsid w:val="00694FF4"/>
    <w:rsid w:val="006964A0"/>
    <w:rsid w:val="00697001"/>
    <w:rsid w:val="006A0F36"/>
    <w:rsid w:val="006A26B3"/>
    <w:rsid w:val="006A304B"/>
    <w:rsid w:val="006B47FF"/>
    <w:rsid w:val="006B56F7"/>
    <w:rsid w:val="006B6B6B"/>
    <w:rsid w:val="006C15E0"/>
    <w:rsid w:val="006C2FD8"/>
    <w:rsid w:val="006C653E"/>
    <w:rsid w:val="006C6CD2"/>
    <w:rsid w:val="006C7E08"/>
    <w:rsid w:val="006D1172"/>
    <w:rsid w:val="006D4AD1"/>
    <w:rsid w:val="006D7054"/>
    <w:rsid w:val="006E001D"/>
    <w:rsid w:val="006E1D07"/>
    <w:rsid w:val="006E2AC8"/>
    <w:rsid w:val="006E364A"/>
    <w:rsid w:val="006E55AA"/>
    <w:rsid w:val="006E7775"/>
    <w:rsid w:val="006F0601"/>
    <w:rsid w:val="006F11AC"/>
    <w:rsid w:val="006F3E9B"/>
    <w:rsid w:val="006F683A"/>
    <w:rsid w:val="006F6B4D"/>
    <w:rsid w:val="006F7E99"/>
    <w:rsid w:val="007009FF"/>
    <w:rsid w:val="007011CE"/>
    <w:rsid w:val="00701985"/>
    <w:rsid w:val="00711871"/>
    <w:rsid w:val="00717E58"/>
    <w:rsid w:val="007200F1"/>
    <w:rsid w:val="00720BF0"/>
    <w:rsid w:val="00721594"/>
    <w:rsid w:val="00722213"/>
    <w:rsid w:val="007253A0"/>
    <w:rsid w:val="00730ADC"/>
    <w:rsid w:val="00732044"/>
    <w:rsid w:val="00732D74"/>
    <w:rsid w:val="007338F1"/>
    <w:rsid w:val="00737123"/>
    <w:rsid w:val="00740898"/>
    <w:rsid w:val="00743121"/>
    <w:rsid w:val="00744574"/>
    <w:rsid w:val="0074510F"/>
    <w:rsid w:val="007475B2"/>
    <w:rsid w:val="007517B3"/>
    <w:rsid w:val="00752D42"/>
    <w:rsid w:val="00753CD5"/>
    <w:rsid w:val="007549BC"/>
    <w:rsid w:val="007648DD"/>
    <w:rsid w:val="00772D58"/>
    <w:rsid w:val="007741B0"/>
    <w:rsid w:val="00777457"/>
    <w:rsid w:val="00780541"/>
    <w:rsid w:val="007920F2"/>
    <w:rsid w:val="007928F7"/>
    <w:rsid w:val="007A72FB"/>
    <w:rsid w:val="007A7337"/>
    <w:rsid w:val="007B1214"/>
    <w:rsid w:val="007B40B2"/>
    <w:rsid w:val="007B4776"/>
    <w:rsid w:val="007B5B67"/>
    <w:rsid w:val="007B61F2"/>
    <w:rsid w:val="007B76AB"/>
    <w:rsid w:val="007C488E"/>
    <w:rsid w:val="007C5E9F"/>
    <w:rsid w:val="007C635D"/>
    <w:rsid w:val="007C6D27"/>
    <w:rsid w:val="007D4C93"/>
    <w:rsid w:val="007D55E2"/>
    <w:rsid w:val="007D63E4"/>
    <w:rsid w:val="007E39DD"/>
    <w:rsid w:val="007E50E4"/>
    <w:rsid w:val="007E55DC"/>
    <w:rsid w:val="007F0994"/>
    <w:rsid w:val="007F3326"/>
    <w:rsid w:val="007F338C"/>
    <w:rsid w:val="007F3EB0"/>
    <w:rsid w:val="007F4398"/>
    <w:rsid w:val="007F77AB"/>
    <w:rsid w:val="00800A95"/>
    <w:rsid w:val="00801CFB"/>
    <w:rsid w:val="008022F8"/>
    <w:rsid w:val="00802D07"/>
    <w:rsid w:val="00804A8D"/>
    <w:rsid w:val="00805EC7"/>
    <w:rsid w:val="0081115F"/>
    <w:rsid w:val="00812374"/>
    <w:rsid w:val="00812F94"/>
    <w:rsid w:val="00814BE2"/>
    <w:rsid w:val="008205B6"/>
    <w:rsid w:val="00827030"/>
    <w:rsid w:val="00827D5C"/>
    <w:rsid w:val="00827EB1"/>
    <w:rsid w:val="00832EFE"/>
    <w:rsid w:val="008333EF"/>
    <w:rsid w:val="00834096"/>
    <w:rsid w:val="00834275"/>
    <w:rsid w:val="00835253"/>
    <w:rsid w:val="00840249"/>
    <w:rsid w:val="008433A0"/>
    <w:rsid w:val="008509F9"/>
    <w:rsid w:val="00854D5A"/>
    <w:rsid w:val="00855E03"/>
    <w:rsid w:val="008567D1"/>
    <w:rsid w:val="008578CE"/>
    <w:rsid w:val="008657B8"/>
    <w:rsid w:val="00865B7A"/>
    <w:rsid w:val="00866466"/>
    <w:rsid w:val="00866C4F"/>
    <w:rsid w:val="00872CBA"/>
    <w:rsid w:val="00872D63"/>
    <w:rsid w:val="00873756"/>
    <w:rsid w:val="008777F9"/>
    <w:rsid w:val="00877D36"/>
    <w:rsid w:val="00880B29"/>
    <w:rsid w:val="0088413E"/>
    <w:rsid w:val="00887E30"/>
    <w:rsid w:val="0089060A"/>
    <w:rsid w:val="00891B64"/>
    <w:rsid w:val="00895EDA"/>
    <w:rsid w:val="008A21D1"/>
    <w:rsid w:val="008A4104"/>
    <w:rsid w:val="008A50E6"/>
    <w:rsid w:val="008A5B61"/>
    <w:rsid w:val="008A6C61"/>
    <w:rsid w:val="008A792E"/>
    <w:rsid w:val="008B249B"/>
    <w:rsid w:val="008B28C9"/>
    <w:rsid w:val="008B29B6"/>
    <w:rsid w:val="008B3606"/>
    <w:rsid w:val="008B3A9F"/>
    <w:rsid w:val="008B3AFF"/>
    <w:rsid w:val="008B3B3D"/>
    <w:rsid w:val="008B410E"/>
    <w:rsid w:val="008B6DA0"/>
    <w:rsid w:val="008B7006"/>
    <w:rsid w:val="008C0813"/>
    <w:rsid w:val="008C0845"/>
    <w:rsid w:val="008C1785"/>
    <w:rsid w:val="008C5677"/>
    <w:rsid w:val="008C5E58"/>
    <w:rsid w:val="008D2767"/>
    <w:rsid w:val="008D4CD4"/>
    <w:rsid w:val="008D4E7D"/>
    <w:rsid w:val="008E0677"/>
    <w:rsid w:val="008E0C13"/>
    <w:rsid w:val="008E1F27"/>
    <w:rsid w:val="008E4C6B"/>
    <w:rsid w:val="008F5492"/>
    <w:rsid w:val="008F6E02"/>
    <w:rsid w:val="008F7FF1"/>
    <w:rsid w:val="0090036F"/>
    <w:rsid w:val="00903852"/>
    <w:rsid w:val="0090393D"/>
    <w:rsid w:val="009044AB"/>
    <w:rsid w:val="00907A4C"/>
    <w:rsid w:val="00907F15"/>
    <w:rsid w:val="009108EC"/>
    <w:rsid w:val="00917A92"/>
    <w:rsid w:val="009202B9"/>
    <w:rsid w:val="00921FF0"/>
    <w:rsid w:val="00924CEF"/>
    <w:rsid w:val="00924D87"/>
    <w:rsid w:val="00930AA3"/>
    <w:rsid w:val="00932DC6"/>
    <w:rsid w:val="00933AED"/>
    <w:rsid w:val="0094610C"/>
    <w:rsid w:val="00946B60"/>
    <w:rsid w:val="00952AE5"/>
    <w:rsid w:val="00953D1A"/>
    <w:rsid w:val="00955FBA"/>
    <w:rsid w:val="00965BA6"/>
    <w:rsid w:val="00977F82"/>
    <w:rsid w:val="00980F1D"/>
    <w:rsid w:val="00982E2D"/>
    <w:rsid w:val="00985D20"/>
    <w:rsid w:val="00985F13"/>
    <w:rsid w:val="00986A71"/>
    <w:rsid w:val="00987A68"/>
    <w:rsid w:val="00991095"/>
    <w:rsid w:val="00991132"/>
    <w:rsid w:val="0099711D"/>
    <w:rsid w:val="009A0F33"/>
    <w:rsid w:val="009A2669"/>
    <w:rsid w:val="009A295C"/>
    <w:rsid w:val="009B07C2"/>
    <w:rsid w:val="009B192F"/>
    <w:rsid w:val="009B206F"/>
    <w:rsid w:val="009B438C"/>
    <w:rsid w:val="009B520B"/>
    <w:rsid w:val="009B5A0E"/>
    <w:rsid w:val="009B5C6A"/>
    <w:rsid w:val="009C094F"/>
    <w:rsid w:val="009C2F61"/>
    <w:rsid w:val="009C5495"/>
    <w:rsid w:val="009D5050"/>
    <w:rsid w:val="009D5309"/>
    <w:rsid w:val="009E24AF"/>
    <w:rsid w:val="009E3FF5"/>
    <w:rsid w:val="009E6E5E"/>
    <w:rsid w:val="009F3EEC"/>
    <w:rsid w:val="009F63B6"/>
    <w:rsid w:val="009F7F87"/>
    <w:rsid w:val="00A022F8"/>
    <w:rsid w:val="00A03BC1"/>
    <w:rsid w:val="00A042E0"/>
    <w:rsid w:val="00A056CA"/>
    <w:rsid w:val="00A14D04"/>
    <w:rsid w:val="00A1792A"/>
    <w:rsid w:val="00A17E1F"/>
    <w:rsid w:val="00A20E5C"/>
    <w:rsid w:val="00A23A64"/>
    <w:rsid w:val="00A246B3"/>
    <w:rsid w:val="00A26966"/>
    <w:rsid w:val="00A275A7"/>
    <w:rsid w:val="00A309CC"/>
    <w:rsid w:val="00A32D19"/>
    <w:rsid w:val="00A3309D"/>
    <w:rsid w:val="00A34399"/>
    <w:rsid w:val="00A35754"/>
    <w:rsid w:val="00A362F9"/>
    <w:rsid w:val="00A4132F"/>
    <w:rsid w:val="00A434BB"/>
    <w:rsid w:val="00A43636"/>
    <w:rsid w:val="00A449C2"/>
    <w:rsid w:val="00A45FF7"/>
    <w:rsid w:val="00A51AD9"/>
    <w:rsid w:val="00A54734"/>
    <w:rsid w:val="00A54C09"/>
    <w:rsid w:val="00A55810"/>
    <w:rsid w:val="00A635C9"/>
    <w:rsid w:val="00A64302"/>
    <w:rsid w:val="00A67001"/>
    <w:rsid w:val="00A70D8B"/>
    <w:rsid w:val="00A74116"/>
    <w:rsid w:val="00A76ACA"/>
    <w:rsid w:val="00A76C09"/>
    <w:rsid w:val="00A776FC"/>
    <w:rsid w:val="00A8061A"/>
    <w:rsid w:val="00A8116B"/>
    <w:rsid w:val="00A824B7"/>
    <w:rsid w:val="00A830CB"/>
    <w:rsid w:val="00A84559"/>
    <w:rsid w:val="00A84DA3"/>
    <w:rsid w:val="00A853EB"/>
    <w:rsid w:val="00A86C59"/>
    <w:rsid w:val="00A87DFD"/>
    <w:rsid w:val="00A9170D"/>
    <w:rsid w:val="00A94015"/>
    <w:rsid w:val="00AA009D"/>
    <w:rsid w:val="00AA1221"/>
    <w:rsid w:val="00AA2476"/>
    <w:rsid w:val="00AA4847"/>
    <w:rsid w:val="00AA4E46"/>
    <w:rsid w:val="00AA6201"/>
    <w:rsid w:val="00AA6E25"/>
    <w:rsid w:val="00AB1A8C"/>
    <w:rsid w:val="00AB1D75"/>
    <w:rsid w:val="00AB6B10"/>
    <w:rsid w:val="00AB7ED2"/>
    <w:rsid w:val="00AC389E"/>
    <w:rsid w:val="00AC456E"/>
    <w:rsid w:val="00AC47F1"/>
    <w:rsid w:val="00AC5CBE"/>
    <w:rsid w:val="00AD1D88"/>
    <w:rsid w:val="00AD47FD"/>
    <w:rsid w:val="00AE14B2"/>
    <w:rsid w:val="00AE6F69"/>
    <w:rsid w:val="00AE7069"/>
    <w:rsid w:val="00AF1241"/>
    <w:rsid w:val="00AF35CC"/>
    <w:rsid w:val="00AF50D8"/>
    <w:rsid w:val="00AF7EA5"/>
    <w:rsid w:val="00B002AE"/>
    <w:rsid w:val="00B01023"/>
    <w:rsid w:val="00B02102"/>
    <w:rsid w:val="00B053C9"/>
    <w:rsid w:val="00B062DA"/>
    <w:rsid w:val="00B124B8"/>
    <w:rsid w:val="00B147CA"/>
    <w:rsid w:val="00B16BBE"/>
    <w:rsid w:val="00B240F6"/>
    <w:rsid w:val="00B2626D"/>
    <w:rsid w:val="00B320CA"/>
    <w:rsid w:val="00B32661"/>
    <w:rsid w:val="00B3298E"/>
    <w:rsid w:val="00B3677C"/>
    <w:rsid w:val="00B369FF"/>
    <w:rsid w:val="00B36CA1"/>
    <w:rsid w:val="00B4159F"/>
    <w:rsid w:val="00B44BA5"/>
    <w:rsid w:val="00B46351"/>
    <w:rsid w:val="00B4728A"/>
    <w:rsid w:val="00B53E9B"/>
    <w:rsid w:val="00B54999"/>
    <w:rsid w:val="00B5640B"/>
    <w:rsid w:val="00B60BCB"/>
    <w:rsid w:val="00B6274D"/>
    <w:rsid w:val="00B67772"/>
    <w:rsid w:val="00B704F5"/>
    <w:rsid w:val="00B719C8"/>
    <w:rsid w:val="00B72CCA"/>
    <w:rsid w:val="00B760B4"/>
    <w:rsid w:val="00B77CEC"/>
    <w:rsid w:val="00B82AE2"/>
    <w:rsid w:val="00B857A2"/>
    <w:rsid w:val="00B9128F"/>
    <w:rsid w:val="00B95D80"/>
    <w:rsid w:val="00B96965"/>
    <w:rsid w:val="00B96EF8"/>
    <w:rsid w:val="00B96F30"/>
    <w:rsid w:val="00BA011F"/>
    <w:rsid w:val="00BA2AA2"/>
    <w:rsid w:val="00BA70C7"/>
    <w:rsid w:val="00BA74B5"/>
    <w:rsid w:val="00BB1B25"/>
    <w:rsid w:val="00BB603D"/>
    <w:rsid w:val="00BB66D2"/>
    <w:rsid w:val="00BC0E83"/>
    <w:rsid w:val="00BC3153"/>
    <w:rsid w:val="00BD0833"/>
    <w:rsid w:val="00BD0B4F"/>
    <w:rsid w:val="00BD15B6"/>
    <w:rsid w:val="00BD2B21"/>
    <w:rsid w:val="00BD2FEA"/>
    <w:rsid w:val="00BD3EF4"/>
    <w:rsid w:val="00BD4BA6"/>
    <w:rsid w:val="00BD7889"/>
    <w:rsid w:val="00BE1C77"/>
    <w:rsid w:val="00BE1FD5"/>
    <w:rsid w:val="00BE535C"/>
    <w:rsid w:val="00BE5A79"/>
    <w:rsid w:val="00BF0E30"/>
    <w:rsid w:val="00BF1AC3"/>
    <w:rsid w:val="00BF5047"/>
    <w:rsid w:val="00C00923"/>
    <w:rsid w:val="00C017F2"/>
    <w:rsid w:val="00C04DCC"/>
    <w:rsid w:val="00C06A3E"/>
    <w:rsid w:val="00C15018"/>
    <w:rsid w:val="00C166AF"/>
    <w:rsid w:val="00C20034"/>
    <w:rsid w:val="00C219B7"/>
    <w:rsid w:val="00C2274C"/>
    <w:rsid w:val="00C22A04"/>
    <w:rsid w:val="00C22CA4"/>
    <w:rsid w:val="00C23A91"/>
    <w:rsid w:val="00C24985"/>
    <w:rsid w:val="00C258E1"/>
    <w:rsid w:val="00C26E1B"/>
    <w:rsid w:val="00C272DC"/>
    <w:rsid w:val="00C27E83"/>
    <w:rsid w:val="00C308CC"/>
    <w:rsid w:val="00C31353"/>
    <w:rsid w:val="00C346D8"/>
    <w:rsid w:val="00C3489E"/>
    <w:rsid w:val="00C4008C"/>
    <w:rsid w:val="00C403F3"/>
    <w:rsid w:val="00C41234"/>
    <w:rsid w:val="00C41EB3"/>
    <w:rsid w:val="00C4214C"/>
    <w:rsid w:val="00C428E3"/>
    <w:rsid w:val="00C47BEA"/>
    <w:rsid w:val="00C50859"/>
    <w:rsid w:val="00C51E79"/>
    <w:rsid w:val="00C55207"/>
    <w:rsid w:val="00C55AF4"/>
    <w:rsid w:val="00C57637"/>
    <w:rsid w:val="00C62E6F"/>
    <w:rsid w:val="00C649C6"/>
    <w:rsid w:val="00C64C17"/>
    <w:rsid w:val="00C65686"/>
    <w:rsid w:val="00C66212"/>
    <w:rsid w:val="00C73019"/>
    <w:rsid w:val="00C73037"/>
    <w:rsid w:val="00C75F2F"/>
    <w:rsid w:val="00C773C7"/>
    <w:rsid w:val="00C91865"/>
    <w:rsid w:val="00C92EB1"/>
    <w:rsid w:val="00C97D7E"/>
    <w:rsid w:val="00CA145A"/>
    <w:rsid w:val="00CA29B4"/>
    <w:rsid w:val="00CA777A"/>
    <w:rsid w:val="00CB7B0A"/>
    <w:rsid w:val="00CC02B6"/>
    <w:rsid w:val="00CC2489"/>
    <w:rsid w:val="00CD1717"/>
    <w:rsid w:val="00CD1959"/>
    <w:rsid w:val="00CD3122"/>
    <w:rsid w:val="00CD6DC8"/>
    <w:rsid w:val="00CD7268"/>
    <w:rsid w:val="00CE251F"/>
    <w:rsid w:val="00CE58C0"/>
    <w:rsid w:val="00CE5DB0"/>
    <w:rsid w:val="00CF1AFC"/>
    <w:rsid w:val="00D01702"/>
    <w:rsid w:val="00D027CB"/>
    <w:rsid w:val="00D04FA8"/>
    <w:rsid w:val="00D131B8"/>
    <w:rsid w:val="00D14E4F"/>
    <w:rsid w:val="00D27AAA"/>
    <w:rsid w:val="00D27B76"/>
    <w:rsid w:val="00D304A9"/>
    <w:rsid w:val="00D3090A"/>
    <w:rsid w:val="00D3146E"/>
    <w:rsid w:val="00D31E9E"/>
    <w:rsid w:val="00D33E3B"/>
    <w:rsid w:val="00D35A55"/>
    <w:rsid w:val="00D40DAC"/>
    <w:rsid w:val="00D41182"/>
    <w:rsid w:val="00D47925"/>
    <w:rsid w:val="00D53D4F"/>
    <w:rsid w:val="00D555C9"/>
    <w:rsid w:val="00D55F64"/>
    <w:rsid w:val="00D61FCA"/>
    <w:rsid w:val="00D62A2B"/>
    <w:rsid w:val="00D642A7"/>
    <w:rsid w:val="00D654C1"/>
    <w:rsid w:val="00D67940"/>
    <w:rsid w:val="00D67AB3"/>
    <w:rsid w:val="00D722BB"/>
    <w:rsid w:val="00D7237F"/>
    <w:rsid w:val="00D732AA"/>
    <w:rsid w:val="00D74DF6"/>
    <w:rsid w:val="00D7679E"/>
    <w:rsid w:val="00D76CEA"/>
    <w:rsid w:val="00D808D0"/>
    <w:rsid w:val="00D86EFB"/>
    <w:rsid w:val="00D87414"/>
    <w:rsid w:val="00D87470"/>
    <w:rsid w:val="00D92123"/>
    <w:rsid w:val="00D92FFC"/>
    <w:rsid w:val="00D93656"/>
    <w:rsid w:val="00D94047"/>
    <w:rsid w:val="00D94643"/>
    <w:rsid w:val="00D97B4E"/>
    <w:rsid w:val="00DA1D2A"/>
    <w:rsid w:val="00DA6928"/>
    <w:rsid w:val="00DA7C58"/>
    <w:rsid w:val="00DA7E34"/>
    <w:rsid w:val="00DB02EE"/>
    <w:rsid w:val="00DB3523"/>
    <w:rsid w:val="00DB4AA4"/>
    <w:rsid w:val="00DC2295"/>
    <w:rsid w:val="00DC4A4E"/>
    <w:rsid w:val="00DC4C84"/>
    <w:rsid w:val="00DC67E7"/>
    <w:rsid w:val="00DD3994"/>
    <w:rsid w:val="00DD48B5"/>
    <w:rsid w:val="00DD61DB"/>
    <w:rsid w:val="00DD668C"/>
    <w:rsid w:val="00DD7EA5"/>
    <w:rsid w:val="00DE3225"/>
    <w:rsid w:val="00DE50CB"/>
    <w:rsid w:val="00DE6D57"/>
    <w:rsid w:val="00DE7143"/>
    <w:rsid w:val="00DF0153"/>
    <w:rsid w:val="00DF10C0"/>
    <w:rsid w:val="00E02060"/>
    <w:rsid w:val="00E02956"/>
    <w:rsid w:val="00E02D53"/>
    <w:rsid w:val="00E0743C"/>
    <w:rsid w:val="00E0789F"/>
    <w:rsid w:val="00E13672"/>
    <w:rsid w:val="00E1379C"/>
    <w:rsid w:val="00E20513"/>
    <w:rsid w:val="00E2164B"/>
    <w:rsid w:val="00E22A49"/>
    <w:rsid w:val="00E23BBA"/>
    <w:rsid w:val="00E25DDE"/>
    <w:rsid w:val="00E2603C"/>
    <w:rsid w:val="00E26DB8"/>
    <w:rsid w:val="00E27AAE"/>
    <w:rsid w:val="00E31722"/>
    <w:rsid w:val="00E41C7C"/>
    <w:rsid w:val="00E467BB"/>
    <w:rsid w:val="00E51E0C"/>
    <w:rsid w:val="00E54690"/>
    <w:rsid w:val="00E54FCC"/>
    <w:rsid w:val="00E5798C"/>
    <w:rsid w:val="00E621A7"/>
    <w:rsid w:val="00E66DF4"/>
    <w:rsid w:val="00E67E14"/>
    <w:rsid w:val="00E706F0"/>
    <w:rsid w:val="00E70A83"/>
    <w:rsid w:val="00E71A4A"/>
    <w:rsid w:val="00E7542E"/>
    <w:rsid w:val="00E77A16"/>
    <w:rsid w:val="00E817D7"/>
    <w:rsid w:val="00E81A57"/>
    <w:rsid w:val="00E84495"/>
    <w:rsid w:val="00E85D40"/>
    <w:rsid w:val="00E87442"/>
    <w:rsid w:val="00E9016E"/>
    <w:rsid w:val="00E910F5"/>
    <w:rsid w:val="00E924BD"/>
    <w:rsid w:val="00E947B3"/>
    <w:rsid w:val="00E9503A"/>
    <w:rsid w:val="00E97514"/>
    <w:rsid w:val="00EA180B"/>
    <w:rsid w:val="00EA2D13"/>
    <w:rsid w:val="00EA3AC9"/>
    <w:rsid w:val="00EA3BE3"/>
    <w:rsid w:val="00EA4223"/>
    <w:rsid w:val="00EA6ED7"/>
    <w:rsid w:val="00EB17AE"/>
    <w:rsid w:val="00EB264F"/>
    <w:rsid w:val="00EB2E5A"/>
    <w:rsid w:val="00EB3A47"/>
    <w:rsid w:val="00EB3FF6"/>
    <w:rsid w:val="00EB65A3"/>
    <w:rsid w:val="00EB772F"/>
    <w:rsid w:val="00EC0174"/>
    <w:rsid w:val="00EC116C"/>
    <w:rsid w:val="00EC12D3"/>
    <w:rsid w:val="00EC1A7A"/>
    <w:rsid w:val="00EC6F06"/>
    <w:rsid w:val="00EC74E6"/>
    <w:rsid w:val="00EC77E8"/>
    <w:rsid w:val="00ED169B"/>
    <w:rsid w:val="00ED6DFF"/>
    <w:rsid w:val="00ED6E75"/>
    <w:rsid w:val="00EE2202"/>
    <w:rsid w:val="00EE48D6"/>
    <w:rsid w:val="00EE6476"/>
    <w:rsid w:val="00EE6484"/>
    <w:rsid w:val="00EF0B0B"/>
    <w:rsid w:val="00F00407"/>
    <w:rsid w:val="00F07FB9"/>
    <w:rsid w:val="00F130D8"/>
    <w:rsid w:val="00F14509"/>
    <w:rsid w:val="00F15A24"/>
    <w:rsid w:val="00F21600"/>
    <w:rsid w:val="00F307C2"/>
    <w:rsid w:val="00F3086C"/>
    <w:rsid w:val="00F32423"/>
    <w:rsid w:val="00F356D9"/>
    <w:rsid w:val="00F419D5"/>
    <w:rsid w:val="00F41C26"/>
    <w:rsid w:val="00F42138"/>
    <w:rsid w:val="00F44949"/>
    <w:rsid w:val="00F44BD9"/>
    <w:rsid w:val="00F52682"/>
    <w:rsid w:val="00F53B30"/>
    <w:rsid w:val="00F55B5F"/>
    <w:rsid w:val="00F57303"/>
    <w:rsid w:val="00F60E5E"/>
    <w:rsid w:val="00F62E76"/>
    <w:rsid w:val="00F66106"/>
    <w:rsid w:val="00F6765A"/>
    <w:rsid w:val="00F70168"/>
    <w:rsid w:val="00F76849"/>
    <w:rsid w:val="00F83E7F"/>
    <w:rsid w:val="00F86537"/>
    <w:rsid w:val="00F8662F"/>
    <w:rsid w:val="00F86B83"/>
    <w:rsid w:val="00F871EA"/>
    <w:rsid w:val="00F9096F"/>
    <w:rsid w:val="00F93D71"/>
    <w:rsid w:val="00F9582F"/>
    <w:rsid w:val="00F973B7"/>
    <w:rsid w:val="00FA4A03"/>
    <w:rsid w:val="00FA6F2A"/>
    <w:rsid w:val="00FA7210"/>
    <w:rsid w:val="00FA7891"/>
    <w:rsid w:val="00FA7DD7"/>
    <w:rsid w:val="00FB0B3F"/>
    <w:rsid w:val="00FB2E3D"/>
    <w:rsid w:val="00FB4111"/>
    <w:rsid w:val="00FB4F67"/>
    <w:rsid w:val="00FC0198"/>
    <w:rsid w:val="00FC036D"/>
    <w:rsid w:val="00FC2693"/>
    <w:rsid w:val="00FC4D6D"/>
    <w:rsid w:val="00FC6223"/>
    <w:rsid w:val="00FC7704"/>
    <w:rsid w:val="00FC7752"/>
    <w:rsid w:val="00FC7BFA"/>
    <w:rsid w:val="00FD01C3"/>
    <w:rsid w:val="00FD20C5"/>
    <w:rsid w:val="00FD2E8D"/>
    <w:rsid w:val="00FD6138"/>
    <w:rsid w:val="00FD69EE"/>
    <w:rsid w:val="00FE2A36"/>
    <w:rsid w:val="00FE3DCC"/>
    <w:rsid w:val="00FE5B99"/>
    <w:rsid w:val="00FE7EF5"/>
    <w:rsid w:val="00FF1E9A"/>
    <w:rsid w:val="00FF457B"/>
    <w:rsid w:val="00FF6023"/>
    <w:rsid w:val="00FF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88E9D"/>
  <w15:chartTrackingRefBased/>
  <w15:docId w15:val="{308C5016-C7A4-4BF9-BB02-CBADC2E2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E2202"/>
    <w:pPr>
      <w:widowControl w:val="0"/>
      <w:spacing w:line="360" w:lineRule="auto"/>
      <w:ind w:firstLineChars="200" w:firstLine="48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EE2202"/>
    <w:pPr>
      <w:keepNext/>
      <w:keepLines/>
      <w:numPr>
        <w:numId w:val="1"/>
      </w:numPr>
      <w:spacing w:before="360" w:after="360"/>
      <w:ind w:left="0" w:firstLineChars="0" w:firstLine="0"/>
      <w:jc w:val="center"/>
      <w:outlineLvl w:val="0"/>
    </w:pPr>
    <w:rPr>
      <w:rFonts w:ascii="黑体" w:eastAsia="黑体" w:hAnsi="黑体"/>
      <w:b/>
      <w:bCs/>
      <w:kern w:val="44"/>
      <w:sz w:val="30"/>
      <w:szCs w:val="30"/>
    </w:rPr>
  </w:style>
  <w:style w:type="paragraph" w:styleId="2">
    <w:name w:val="heading 2"/>
    <w:basedOn w:val="a0"/>
    <w:next w:val="a0"/>
    <w:link w:val="20"/>
    <w:uiPriority w:val="9"/>
    <w:unhideWhenUsed/>
    <w:qFormat/>
    <w:rsid w:val="002E3E1D"/>
    <w:pPr>
      <w:keepNext/>
      <w:keepLines/>
      <w:numPr>
        <w:numId w:val="4"/>
      </w:numPr>
      <w:spacing w:before="240" w:after="240"/>
      <w:ind w:left="0" w:firstLineChars="0" w:firstLine="0"/>
      <w:jc w:val="center"/>
      <w:outlineLvl w:val="1"/>
    </w:pPr>
    <w:rPr>
      <w:rFonts w:ascii="黑体" w:eastAsia="黑体" w:hAnsi="黑体" w:cstheme="majorBidi"/>
      <w:b/>
      <w:bCs/>
      <w:sz w:val="28"/>
      <w:szCs w:val="28"/>
    </w:rPr>
  </w:style>
  <w:style w:type="paragraph" w:styleId="3">
    <w:name w:val="heading 3"/>
    <w:basedOn w:val="a0"/>
    <w:next w:val="a0"/>
    <w:link w:val="30"/>
    <w:uiPriority w:val="9"/>
    <w:unhideWhenUsed/>
    <w:qFormat/>
    <w:rsid w:val="00447DB7"/>
    <w:pPr>
      <w:keepNext/>
      <w:keepLines/>
      <w:numPr>
        <w:numId w:val="10"/>
      </w:numPr>
      <w:ind w:left="0" w:firstLine="482"/>
      <w:outlineLvl w:val="2"/>
    </w:pPr>
    <w:rPr>
      <w:rFonts w:ascii="黑体" w:eastAsia="黑体" w:hAnsi="黑体"/>
      <w:b/>
      <w:bCs/>
    </w:rPr>
  </w:style>
  <w:style w:type="paragraph" w:styleId="4">
    <w:name w:val="heading 4"/>
    <w:basedOn w:val="a"/>
    <w:next w:val="a0"/>
    <w:link w:val="40"/>
    <w:uiPriority w:val="9"/>
    <w:unhideWhenUsed/>
    <w:qFormat/>
    <w:rsid w:val="005A2D0F"/>
    <w:pPr>
      <w:numPr>
        <w:numId w:val="7"/>
      </w:numPr>
      <w:ind w:left="0" w:firstLine="480"/>
      <w:outlineLvl w:val="3"/>
    </w:pPr>
    <w:rPr>
      <w:rFonts w:ascii="黑体" w:eastAsia="黑体" w:hAnsi="黑体"/>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
    <w:basedOn w:val="3"/>
    <w:next w:val="3"/>
    <w:link w:val="Char"/>
    <w:autoRedefine/>
    <w:qFormat/>
    <w:rsid w:val="00394C9A"/>
    <w:pPr>
      <w:jc w:val="left"/>
    </w:pPr>
    <w:rPr>
      <w:rFonts w:eastAsia="PMingLiU"/>
      <w:b w:val="0"/>
      <w:color w:val="44546A" w:themeColor="text2"/>
      <w:lang w:eastAsia="zh-TW"/>
    </w:rPr>
  </w:style>
  <w:style w:type="character" w:customStyle="1" w:styleId="Char">
    <w:name w:val=". Char"/>
    <w:basedOn w:val="30"/>
    <w:link w:val="a4"/>
    <w:rsid w:val="00394C9A"/>
    <w:rPr>
      <w:rFonts w:ascii="黑体" w:eastAsia="PMingLiU" w:hAnsi="黑体" w:cs="Times New Roman"/>
      <w:b w:val="0"/>
      <w:bCs/>
      <w:color w:val="44546A" w:themeColor="text2"/>
      <w:sz w:val="24"/>
      <w:szCs w:val="24"/>
      <w:lang w:eastAsia="zh-TW"/>
    </w:rPr>
  </w:style>
  <w:style w:type="character" w:customStyle="1" w:styleId="30">
    <w:name w:val="标题 3 字符"/>
    <w:basedOn w:val="a1"/>
    <w:link w:val="3"/>
    <w:uiPriority w:val="9"/>
    <w:rsid w:val="00447DB7"/>
    <w:rPr>
      <w:rFonts w:ascii="黑体" w:eastAsia="黑体" w:hAnsi="黑体" w:cs="Times New Roman"/>
      <w:b/>
      <w:bCs/>
      <w:sz w:val="24"/>
      <w:szCs w:val="24"/>
    </w:rPr>
  </w:style>
  <w:style w:type="paragraph" w:styleId="a5">
    <w:name w:val="Plain Text"/>
    <w:basedOn w:val="a0"/>
    <w:link w:val="a6"/>
    <w:uiPriority w:val="99"/>
    <w:unhideWhenUsed/>
    <w:rsid w:val="00743121"/>
    <w:rPr>
      <w:rFonts w:asciiTheme="minorEastAsia" w:hAnsi="Courier New" w:cs="Courier New"/>
    </w:rPr>
  </w:style>
  <w:style w:type="character" w:customStyle="1" w:styleId="a6">
    <w:name w:val="纯文本 字符"/>
    <w:basedOn w:val="a1"/>
    <w:link w:val="a5"/>
    <w:uiPriority w:val="99"/>
    <w:rsid w:val="00743121"/>
    <w:rPr>
      <w:rFonts w:asciiTheme="minorEastAsia" w:hAnsi="Courier New" w:cs="Courier New"/>
    </w:rPr>
  </w:style>
  <w:style w:type="paragraph" w:styleId="a7">
    <w:name w:val="header"/>
    <w:basedOn w:val="a0"/>
    <w:link w:val="a8"/>
    <w:uiPriority w:val="99"/>
    <w:unhideWhenUsed/>
    <w:rsid w:val="00880B29"/>
    <w:pPr>
      <w:pBdr>
        <w:bottom w:val="single" w:sz="6" w:space="1" w:color="auto"/>
      </w:pBdr>
      <w:tabs>
        <w:tab w:val="center" w:pos="4513"/>
        <w:tab w:val="right" w:pos="9026"/>
      </w:tabs>
      <w:snapToGrid w:val="0"/>
      <w:jc w:val="center"/>
    </w:pPr>
    <w:rPr>
      <w:sz w:val="18"/>
      <w:szCs w:val="18"/>
    </w:rPr>
  </w:style>
  <w:style w:type="character" w:customStyle="1" w:styleId="a8">
    <w:name w:val="页眉 字符"/>
    <w:basedOn w:val="a1"/>
    <w:link w:val="a7"/>
    <w:uiPriority w:val="99"/>
    <w:rsid w:val="00880B29"/>
    <w:rPr>
      <w:sz w:val="18"/>
      <w:szCs w:val="18"/>
    </w:rPr>
  </w:style>
  <w:style w:type="paragraph" w:styleId="a9">
    <w:name w:val="footer"/>
    <w:basedOn w:val="a0"/>
    <w:link w:val="aa"/>
    <w:uiPriority w:val="99"/>
    <w:unhideWhenUsed/>
    <w:rsid w:val="00880B29"/>
    <w:pPr>
      <w:tabs>
        <w:tab w:val="center" w:pos="4513"/>
        <w:tab w:val="right" w:pos="9026"/>
      </w:tabs>
      <w:snapToGrid w:val="0"/>
      <w:jc w:val="left"/>
    </w:pPr>
    <w:rPr>
      <w:sz w:val="18"/>
      <w:szCs w:val="18"/>
    </w:rPr>
  </w:style>
  <w:style w:type="character" w:customStyle="1" w:styleId="aa">
    <w:name w:val="页脚 字符"/>
    <w:basedOn w:val="a1"/>
    <w:link w:val="a9"/>
    <w:uiPriority w:val="99"/>
    <w:rsid w:val="00880B29"/>
    <w:rPr>
      <w:sz w:val="18"/>
      <w:szCs w:val="18"/>
    </w:rPr>
  </w:style>
  <w:style w:type="character" w:customStyle="1" w:styleId="10">
    <w:name w:val="标题 1 字符"/>
    <w:basedOn w:val="a1"/>
    <w:link w:val="1"/>
    <w:uiPriority w:val="9"/>
    <w:rsid w:val="00EE2202"/>
    <w:rPr>
      <w:rFonts w:ascii="黑体" w:eastAsia="黑体" w:hAnsi="黑体" w:cs="Times New Roman"/>
      <w:b/>
      <w:bCs/>
      <w:kern w:val="44"/>
      <w:sz w:val="30"/>
      <w:szCs w:val="30"/>
    </w:rPr>
  </w:style>
  <w:style w:type="character" w:customStyle="1" w:styleId="20">
    <w:name w:val="标题 2 字符"/>
    <w:basedOn w:val="a1"/>
    <w:link w:val="2"/>
    <w:uiPriority w:val="9"/>
    <w:rsid w:val="002E3E1D"/>
    <w:rPr>
      <w:rFonts w:ascii="黑体" w:eastAsia="黑体" w:hAnsi="黑体" w:cstheme="majorBidi"/>
      <w:b/>
      <w:bCs/>
      <w:sz w:val="28"/>
      <w:szCs w:val="28"/>
    </w:rPr>
  </w:style>
  <w:style w:type="paragraph" w:styleId="a">
    <w:name w:val="List Paragraph"/>
    <w:basedOn w:val="a0"/>
    <w:uiPriority w:val="34"/>
    <w:qFormat/>
    <w:rsid w:val="007475B2"/>
    <w:pPr>
      <w:numPr>
        <w:numId w:val="13"/>
      </w:numPr>
      <w:ind w:firstLineChars="0" w:firstLine="0"/>
    </w:pPr>
  </w:style>
  <w:style w:type="character" w:customStyle="1" w:styleId="40">
    <w:name w:val="标题 4 字符"/>
    <w:basedOn w:val="a1"/>
    <w:link w:val="4"/>
    <w:uiPriority w:val="9"/>
    <w:rsid w:val="005A2D0F"/>
    <w:rPr>
      <w:rFonts w:ascii="黑体" w:eastAsia="黑体" w:hAnsi="黑体" w:cs="Times New Roman"/>
      <w:sz w:val="24"/>
      <w:szCs w:val="24"/>
    </w:rPr>
  </w:style>
  <w:style w:type="paragraph" w:styleId="TOC">
    <w:name w:val="TOC Heading"/>
    <w:basedOn w:val="1"/>
    <w:next w:val="a0"/>
    <w:uiPriority w:val="39"/>
    <w:unhideWhenUsed/>
    <w:qFormat/>
    <w:rsid w:val="00323D5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0"/>
    <w:next w:val="a0"/>
    <w:autoRedefine/>
    <w:uiPriority w:val="39"/>
    <w:unhideWhenUsed/>
    <w:rsid w:val="000F72BF"/>
    <w:pPr>
      <w:widowControl/>
      <w:tabs>
        <w:tab w:val="left" w:pos="1260"/>
        <w:tab w:val="right" w:leader="dot" w:pos="8296"/>
      </w:tabs>
      <w:spacing w:after="100" w:line="259" w:lineRule="auto"/>
      <w:ind w:left="220" w:firstLineChars="0" w:firstLine="0"/>
      <w:jc w:val="left"/>
    </w:pPr>
    <w:rPr>
      <w:rFonts w:ascii="黑体" w:eastAsia="黑体" w:hAnsi="黑体"/>
      <w:b/>
      <w:noProof/>
      <w:kern w:val="0"/>
    </w:rPr>
  </w:style>
  <w:style w:type="paragraph" w:styleId="11">
    <w:name w:val="toc 1"/>
    <w:basedOn w:val="a0"/>
    <w:next w:val="a0"/>
    <w:autoRedefine/>
    <w:uiPriority w:val="39"/>
    <w:unhideWhenUsed/>
    <w:rsid w:val="000F72BF"/>
    <w:pPr>
      <w:widowControl/>
      <w:tabs>
        <w:tab w:val="left" w:pos="1050"/>
        <w:tab w:val="right" w:leader="dot" w:pos="8296"/>
      </w:tabs>
      <w:ind w:firstLineChars="0" w:firstLine="0"/>
      <w:jc w:val="left"/>
    </w:pPr>
    <w:rPr>
      <w:rFonts w:ascii="黑体" w:eastAsia="黑体" w:hAnsi="黑体"/>
      <w:b/>
      <w:noProof/>
      <w:kern w:val="0"/>
      <w:sz w:val="28"/>
      <w:szCs w:val="28"/>
    </w:rPr>
  </w:style>
  <w:style w:type="paragraph" w:styleId="31">
    <w:name w:val="toc 3"/>
    <w:basedOn w:val="a0"/>
    <w:next w:val="a0"/>
    <w:autoRedefine/>
    <w:uiPriority w:val="39"/>
    <w:unhideWhenUsed/>
    <w:rsid w:val="001D36F5"/>
    <w:pPr>
      <w:widowControl/>
      <w:tabs>
        <w:tab w:val="left" w:pos="840"/>
        <w:tab w:val="right" w:leader="dot" w:pos="8296"/>
      </w:tabs>
      <w:spacing w:after="100" w:line="259" w:lineRule="auto"/>
      <w:ind w:left="440" w:firstLineChars="0" w:firstLine="0"/>
      <w:jc w:val="left"/>
    </w:pPr>
    <w:rPr>
      <w:noProof/>
      <w:kern w:val="0"/>
    </w:rPr>
  </w:style>
  <w:style w:type="character" w:styleId="ab">
    <w:name w:val="Hyperlink"/>
    <w:basedOn w:val="a1"/>
    <w:uiPriority w:val="99"/>
    <w:unhideWhenUsed/>
    <w:rsid w:val="00323D59"/>
    <w:rPr>
      <w:color w:val="0563C1" w:themeColor="hyperlink"/>
      <w:u w:val="single"/>
    </w:rPr>
  </w:style>
  <w:style w:type="character" w:styleId="ac">
    <w:name w:val="Placeholder Text"/>
    <w:basedOn w:val="a1"/>
    <w:uiPriority w:val="99"/>
    <w:semiHidden/>
    <w:rsid w:val="00123168"/>
    <w:rPr>
      <w:color w:val="808080"/>
    </w:rPr>
  </w:style>
  <w:style w:type="table" w:styleId="6">
    <w:name w:val="List Table 6 Colorful"/>
    <w:basedOn w:val="a2"/>
    <w:uiPriority w:val="51"/>
    <w:rsid w:val="007741B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d">
    <w:name w:val="caption"/>
    <w:basedOn w:val="a0"/>
    <w:next w:val="a0"/>
    <w:uiPriority w:val="35"/>
    <w:unhideWhenUsed/>
    <w:qFormat/>
    <w:rsid w:val="00447DB7"/>
    <w:pPr>
      <w:keepNext/>
      <w:ind w:firstLineChars="0" w:firstLine="0"/>
      <w:jc w:val="center"/>
    </w:pPr>
    <w:rPr>
      <w:b/>
    </w:rPr>
  </w:style>
  <w:style w:type="paragraph" w:styleId="ae">
    <w:name w:val="Quote"/>
    <w:basedOn w:val="a0"/>
    <w:next w:val="a0"/>
    <w:link w:val="af"/>
    <w:uiPriority w:val="29"/>
    <w:qFormat/>
    <w:rsid w:val="00447DB7"/>
    <w:pPr>
      <w:ind w:firstLineChars="0" w:firstLine="0"/>
    </w:pPr>
    <w:rPr>
      <w:sz w:val="18"/>
      <w:szCs w:val="18"/>
    </w:rPr>
  </w:style>
  <w:style w:type="character" w:customStyle="1" w:styleId="af">
    <w:name w:val="引用 字符"/>
    <w:basedOn w:val="a1"/>
    <w:link w:val="ae"/>
    <w:uiPriority w:val="29"/>
    <w:rsid w:val="00447DB7"/>
    <w:rPr>
      <w:rFonts w:ascii="Times New Roman" w:eastAsia="宋体" w:hAnsi="Times New Roman" w:cs="Times New Roman"/>
      <w:sz w:val="18"/>
      <w:szCs w:val="18"/>
    </w:rPr>
  </w:style>
  <w:style w:type="table" w:styleId="af0">
    <w:name w:val="Table Grid"/>
    <w:basedOn w:val="a2"/>
    <w:uiPriority w:val="39"/>
    <w:rsid w:val="006F1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1"/>
    <w:uiPriority w:val="99"/>
    <w:semiHidden/>
    <w:unhideWhenUsed/>
    <w:rsid w:val="00C4214C"/>
    <w:rPr>
      <w:sz w:val="21"/>
      <w:szCs w:val="21"/>
    </w:rPr>
  </w:style>
  <w:style w:type="paragraph" w:styleId="af2">
    <w:name w:val="annotation text"/>
    <w:basedOn w:val="a0"/>
    <w:link w:val="af3"/>
    <w:uiPriority w:val="99"/>
    <w:semiHidden/>
    <w:unhideWhenUsed/>
    <w:rsid w:val="00C4214C"/>
    <w:pPr>
      <w:jc w:val="left"/>
    </w:pPr>
  </w:style>
  <w:style w:type="character" w:customStyle="1" w:styleId="af3">
    <w:name w:val="批注文字 字符"/>
    <w:basedOn w:val="a1"/>
    <w:link w:val="af2"/>
    <w:uiPriority w:val="99"/>
    <w:semiHidden/>
    <w:rsid w:val="00C4214C"/>
    <w:rPr>
      <w:rFonts w:ascii="Times New Roman" w:eastAsia="宋体" w:hAnsi="Times New Roman" w:cs="Times New Roman"/>
      <w:sz w:val="24"/>
      <w:szCs w:val="24"/>
    </w:rPr>
  </w:style>
  <w:style w:type="paragraph" w:styleId="af4">
    <w:name w:val="annotation subject"/>
    <w:basedOn w:val="af2"/>
    <w:next w:val="af2"/>
    <w:link w:val="af5"/>
    <w:uiPriority w:val="99"/>
    <w:semiHidden/>
    <w:unhideWhenUsed/>
    <w:rsid w:val="00C4214C"/>
    <w:rPr>
      <w:b/>
      <w:bCs/>
    </w:rPr>
  </w:style>
  <w:style w:type="character" w:customStyle="1" w:styleId="af5">
    <w:name w:val="批注主题 字符"/>
    <w:basedOn w:val="af3"/>
    <w:link w:val="af4"/>
    <w:uiPriority w:val="99"/>
    <w:semiHidden/>
    <w:rsid w:val="00C4214C"/>
    <w:rPr>
      <w:rFonts w:ascii="Times New Roman" w:eastAsia="宋体" w:hAnsi="Times New Roman" w:cs="Times New Roman"/>
      <w:b/>
      <w:bCs/>
      <w:sz w:val="24"/>
      <w:szCs w:val="24"/>
    </w:rPr>
  </w:style>
  <w:style w:type="paragraph" w:styleId="af6">
    <w:name w:val="Revision"/>
    <w:hidden/>
    <w:uiPriority w:val="99"/>
    <w:semiHidden/>
    <w:rsid w:val="00C4214C"/>
    <w:rPr>
      <w:rFonts w:ascii="Times New Roman" w:eastAsia="宋体" w:hAnsi="Times New Roman" w:cs="Times New Roman"/>
      <w:sz w:val="24"/>
      <w:szCs w:val="24"/>
    </w:rPr>
  </w:style>
  <w:style w:type="paragraph" w:styleId="af7">
    <w:name w:val="Balloon Text"/>
    <w:basedOn w:val="a0"/>
    <w:link w:val="af8"/>
    <w:uiPriority w:val="99"/>
    <w:semiHidden/>
    <w:unhideWhenUsed/>
    <w:rsid w:val="00C4214C"/>
    <w:pPr>
      <w:spacing w:line="240" w:lineRule="auto"/>
    </w:pPr>
    <w:rPr>
      <w:sz w:val="18"/>
      <w:szCs w:val="18"/>
    </w:rPr>
  </w:style>
  <w:style w:type="character" w:customStyle="1" w:styleId="af8">
    <w:name w:val="批注框文本 字符"/>
    <w:basedOn w:val="a1"/>
    <w:link w:val="af7"/>
    <w:uiPriority w:val="99"/>
    <w:semiHidden/>
    <w:rsid w:val="00C4214C"/>
    <w:rPr>
      <w:rFonts w:ascii="Times New Roman" w:eastAsia="宋体" w:hAnsi="Times New Roman" w:cs="Times New Roman"/>
      <w:sz w:val="18"/>
      <w:szCs w:val="18"/>
    </w:rPr>
  </w:style>
  <w:style w:type="paragraph" w:styleId="af9">
    <w:name w:val="endnote text"/>
    <w:basedOn w:val="a0"/>
    <w:link w:val="afa"/>
    <w:uiPriority w:val="99"/>
    <w:semiHidden/>
    <w:unhideWhenUsed/>
    <w:rsid w:val="00985D20"/>
    <w:pPr>
      <w:snapToGrid w:val="0"/>
      <w:jc w:val="left"/>
    </w:pPr>
  </w:style>
  <w:style w:type="character" w:customStyle="1" w:styleId="afa">
    <w:name w:val="尾注文本 字符"/>
    <w:basedOn w:val="a1"/>
    <w:link w:val="af9"/>
    <w:uiPriority w:val="99"/>
    <w:semiHidden/>
    <w:rsid w:val="00985D20"/>
    <w:rPr>
      <w:rFonts w:ascii="Times New Roman" w:eastAsia="宋体" w:hAnsi="Times New Roman" w:cs="Times New Roman"/>
      <w:sz w:val="24"/>
      <w:szCs w:val="24"/>
    </w:rPr>
  </w:style>
  <w:style w:type="character" w:styleId="afb">
    <w:name w:val="endnote reference"/>
    <w:basedOn w:val="a1"/>
    <w:uiPriority w:val="99"/>
    <w:semiHidden/>
    <w:unhideWhenUsed/>
    <w:rsid w:val="00985D20"/>
    <w:rPr>
      <w:vertAlign w:val="superscript"/>
    </w:rPr>
  </w:style>
  <w:style w:type="paragraph" w:styleId="afc">
    <w:name w:val="footnote text"/>
    <w:basedOn w:val="a0"/>
    <w:link w:val="afd"/>
    <w:uiPriority w:val="99"/>
    <w:semiHidden/>
    <w:unhideWhenUsed/>
    <w:rsid w:val="00491D76"/>
    <w:pPr>
      <w:snapToGrid w:val="0"/>
      <w:jc w:val="left"/>
    </w:pPr>
    <w:rPr>
      <w:sz w:val="18"/>
      <w:szCs w:val="18"/>
    </w:rPr>
  </w:style>
  <w:style w:type="character" w:customStyle="1" w:styleId="afd">
    <w:name w:val="脚注文本 字符"/>
    <w:basedOn w:val="a1"/>
    <w:link w:val="afc"/>
    <w:uiPriority w:val="99"/>
    <w:semiHidden/>
    <w:rsid w:val="00491D76"/>
    <w:rPr>
      <w:rFonts w:ascii="Times New Roman" w:eastAsia="宋体" w:hAnsi="Times New Roman" w:cs="Times New Roman"/>
      <w:sz w:val="18"/>
      <w:szCs w:val="18"/>
    </w:rPr>
  </w:style>
  <w:style w:type="character" w:styleId="afe">
    <w:name w:val="footnote reference"/>
    <w:basedOn w:val="a1"/>
    <w:uiPriority w:val="99"/>
    <w:semiHidden/>
    <w:unhideWhenUsed/>
    <w:rsid w:val="00491D76"/>
    <w:rPr>
      <w:vertAlign w:val="superscript"/>
    </w:rPr>
  </w:style>
  <w:style w:type="table" w:styleId="22">
    <w:name w:val="List Table 2"/>
    <w:basedOn w:val="a2"/>
    <w:uiPriority w:val="47"/>
    <w:rsid w:val="000E66C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854">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9428041">
      <w:bodyDiv w:val="1"/>
      <w:marLeft w:val="0"/>
      <w:marRight w:val="0"/>
      <w:marTop w:val="0"/>
      <w:marBottom w:val="0"/>
      <w:divBdr>
        <w:top w:val="none" w:sz="0" w:space="0" w:color="auto"/>
        <w:left w:val="none" w:sz="0" w:space="0" w:color="auto"/>
        <w:bottom w:val="none" w:sz="0" w:space="0" w:color="auto"/>
        <w:right w:val="none" w:sz="0" w:space="0" w:color="auto"/>
      </w:divBdr>
    </w:div>
    <w:div w:id="154297687">
      <w:bodyDiv w:val="1"/>
      <w:marLeft w:val="0"/>
      <w:marRight w:val="0"/>
      <w:marTop w:val="0"/>
      <w:marBottom w:val="0"/>
      <w:divBdr>
        <w:top w:val="none" w:sz="0" w:space="0" w:color="auto"/>
        <w:left w:val="none" w:sz="0" w:space="0" w:color="auto"/>
        <w:bottom w:val="none" w:sz="0" w:space="0" w:color="auto"/>
        <w:right w:val="none" w:sz="0" w:space="0" w:color="auto"/>
      </w:divBdr>
    </w:div>
    <w:div w:id="221912521">
      <w:bodyDiv w:val="1"/>
      <w:marLeft w:val="0"/>
      <w:marRight w:val="0"/>
      <w:marTop w:val="0"/>
      <w:marBottom w:val="0"/>
      <w:divBdr>
        <w:top w:val="none" w:sz="0" w:space="0" w:color="auto"/>
        <w:left w:val="none" w:sz="0" w:space="0" w:color="auto"/>
        <w:bottom w:val="none" w:sz="0" w:space="0" w:color="auto"/>
        <w:right w:val="none" w:sz="0" w:space="0" w:color="auto"/>
      </w:divBdr>
    </w:div>
    <w:div w:id="247622467">
      <w:bodyDiv w:val="1"/>
      <w:marLeft w:val="0"/>
      <w:marRight w:val="0"/>
      <w:marTop w:val="0"/>
      <w:marBottom w:val="0"/>
      <w:divBdr>
        <w:top w:val="none" w:sz="0" w:space="0" w:color="auto"/>
        <w:left w:val="none" w:sz="0" w:space="0" w:color="auto"/>
        <w:bottom w:val="none" w:sz="0" w:space="0" w:color="auto"/>
        <w:right w:val="none" w:sz="0" w:space="0" w:color="auto"/>
      </w:divBdr>
    </w:div>
    <w:div w:id="263465481">
      <w:bodyDiv w:val="1"/>
      <w:marLeft w:val="0"/>
      <w:marRight w:val="0"/>
      <w:marTop w:val="0"/>
      <w:marBottom w:val="0"/>
      <w:divBdr>
        <w:top w:val="none" w:sz="0" w:space="0" w:color="auto"/>
        <w:left w:val="none" w:sz="0" w:space="0" w:color="auto"/>
        <w:bottom w:val="none" w:sz="0" w:space="0" w:color="auto"/>
        <w:right w:val="none" w:sz="0" w:space="0" w:color="auto"/>
      </w:divBdr>
    </w:div>
    <w:div w:id="287975355">
      <w:bodyDiv w:val="1"/>
      <w:marLeft w:val="0"/>
      <w:marRight w:val="0"/>
      <w:marTop w:val="0"/>
      <w:marBottom w:val="0"/>
      <w:divBdr>
        <w:top w:val="none" w:sz="0" w:space="0" w:color="auto"/>
        <w:left w:val="none" w:sz="0" w:space="0" w:color="auto"/>
        <w:bottom w:val="none" w:sz="0" w:space="0" w:color="auto"/>
        <w:right w:val="none" w:sz="0" w:space="0" w:color="auto"/>
      </w:divBdr>
    </w:div>
    <w:div w:id="325397802">
      <w:bodyDiv w:val="1"/>
      <w:marLeft w:val="0"/>
      <w:marRight w:val="0"/>
      <w:marTop w:val="0"/>
      <w:marBottom w:val="0"/>
      <w:divBdr>
        <w:top w:val="none" w:sz="0" w:space="0" w:color="auto"/>
        <w:left w:val="none" w:sz="0" w:space="0" w:color="auto"/>
        <w:bottom w:val="none" w:sz="0" w:space="0" w:color="auto"/>
        <w:right w:val="none" w:sz="0" w:space="0" w:color="auto"/>
      </w:divBdr>
    </w:div>
    <w:div w:id="333579425">
      <w:bodyDiv w:val="1"/>
      <w:marLeft w:val="0"/>
      <w:marRight w:val="0"/>
      <w:marTop w:val="0"/>
      <w:marBottom w:val="0"/>
      <w:divBdr>
        <w:top w:val="none" w:sz="0" w:space="0" w:color="auto"/>
        <w:left w:val="none" w:sz="0" w:space="0" w:color="auto"/>
        <w:bottom w:val="none" w:sz="0" w:space="0" w:color="auto"/>
        <w:right w:val="none" w:sz="0" w:space="0" w:color="auto"/>
      </w:divBdr>
    </w:div>
    <w:div w:id="404299668">
      <w:bodyDiv w:val="1"/>
      <w:marLeft w:val="0"/>
      <w:marRight w:val="0"/>
      <w:marTop w:val="0"/>
      <w:marBottom w:val="0"/>
      <w:divBdr>
        <w:top w:val="none" w:sz="0" w:space="0" w:color="auto"/>
        <w:left w:val="none" w:sz="0" w:space="0" w:color="auto"/>
        <w:bottom w:val="none" w:sz="0" w:space="0" w:color="auto"/>
        <w:right w:val="none" w:sz="0" w:space="0" w:color="auto"/>
      </w:divBdr>
    </w:div>
    <w:div w:id="473836378">
      <w:bodyDiv w:val="1"/>
      <w:marLeft w:val="0"/>
      <w:marRight w:val="0"/>
      <w:marTop w:val="0"/>
      <w:marBottom w:val="0"/>
      <w:divBdr>
        <w:top w:val="none" w:sz="0" w:space="0" w:color="auto"/>
        <w:left w:val="none" w:sz="0" w:space="0" w:color="auto"/>
        <w:bottom w:val="none" w:sz="0" w:space="0" w:color="auto"/>
        <w:right w:val="none" w:sz="0" w:space="0" w:color="auto"/>
      </w:divBdr>
    </w:div>
    <w:div w:id="501316340">
      <w:bodyDiv w:val="1"/>
      <w:marLeft w:val="0"/>
      <w:marRight w:val="0"/>
      <w:marTop w:val="0"/>
      <w:marBottom w:val="0"/>
      <w:divBdr>
        <w:top w:val="none" w:sz="0" w:space="0" w:color="auto"/>
        <w:left w:val="none" w:sz="0" w:space="0" w:color="auto"/>
        <w:bottom w:val="none" w:sz="0" w:space="0" w:color="auto"/>
        <w:right w:val="none" w:sz="0" w:space="0" w:color="auto"/>
      </w:divBdr>
    </w:div>
    <w:div w:id="503134930">
      <w:bodyDiv w:val="1"/>
      <w:marLeft w:val="0"/>
      <w:marRight w:val="0"/>
      <w:marTop w:val="0"/>
      <w:marBottom w:val="0"/>
      <w:divBdr>
        <w:top w:val="none" w:sz="0" w:space="0" w:color="auto"/>
        <w:left w:val="none" w:sz="0" w:space="0" w:color="auto"/>
        <w:bottom w:val="none" w:sz="0" w:space="0" w:color="auto"/>
        <w:right w:val="none" w:sz="0" w:space="0" w:color="auto"/>
      </w:divBdr>
    </w:div>
    <w:div w:id="514997091">
      <w:bodyDiv w:val="1"/>
      <w:marLeft w:val="0"/>
      <w:marRight w:val="0"/>
      <w:marTop w:val="0"/>
      <w:marBottom w:val="0"/>
      <w:divBdr>
        <w:top w:val="none" w:sz="0" w:space="0" w:color="auto"/>
        <w:left w:val="none" w:sz="0" w:space="0" w:color="auto"/>
        <w:bottom w:val="none" w:sz="0" w:space="0" w:color="auto"/>
        <w:right w:val="none" w:sz="0" w:space="0" w:color="auto"/>
      </w:divBdr>
    </w:div>
    <w:div w:id="529806452">
      <w:bodyDiv w:val="1"/>
      <w:marLeft w:val="0"/>
      <w:marRight w:val="0"/>
      <w:marTop w:val="0"/>
      <w:marBottom w:val="0"/>
      <w:divBdr>
        <w:top w:val="none" w:sz="0" w:space="0" w:color="auto"/>
        <w:left w:val="none" w:sz="0" w:space="0" w:color="auto"/>
        <w:bottom w:val="none" w:sz="0" w:space="0" w:color="auto"/>
        <w:right w:val="none" w:sz="0" w:space="0" w:color="auto"/>
      </w:divBdr>
      <w:divsChild>
        <w:div w:id="843320345">
          <w:marLeft w:val="0"/>
          <w:marRight w:val="0"/>
          <w:marTop w:val="0"/>
          <w:marBottom w:val="0"/>
          <w:divBdr>
            <w:top w:val="single" w:sz="6" w:space="8" w:color="F2F2F2"/>
            <w:left w:val="none" w:sz="0" w:space="0" w:color="auto"/>
            <w:bottom w:val="none" w:sz="0" w:space="0" w:color="auto"/>
            <w:right w:val="none" w:sz="0" w:space="0" w:color="auto"/>
          </w:divBdr>
        </w:div>
      </w:divsChild>
    </w:div>
    <w:div w:id="559050692">
      <w:bodyDiv w:val="1"/>
      <w:marLeft w:val="0"/>
      <w:marRight w:val="0"/>
      <w:marTop w:val="0"/>
      <w:marBottom w:val="0"/>
      <w:divBdr>
        <w:top w:val="none" w:sz="0" w:space="0" w:color="auto"/>
        <w:left w:val="none" w:sz="0" w:space="0" w:color="auto"/>
        <w:bottom w:val="none" w:sz="0" w:space="0" w:color="auto"/>
        <w:right w:val="none" w:sz="0" w:space="0" w:color="auto"/>
      </w:divBdr>
    </w:div>
    <w:div w:id="576017460">
      <w:bodyDiv w:val="1"/>
      <w:marLeft w:val="0"/>
      <w:marRight w:val="0"/>
      <w:marTop w:val="0"/>
      <w:marBottom w:val="0"/>
      <w:divBdr>
        <w:top w:val="none" w:sz="0" w:space="0" w:color="auto"/>
        <w:left w:val="none" w:sz="0" w:space="0" w:color="auto"/>
        <w:bottom w:val="none" w:sz="0" w:space="0" w:color="auto"/>
        <w:right w:val="none" w:sz="0" w:space="0" w:color="auto"/>
      </w:divBdr>
    </w:div>
    <w:div w:id="583685887">
      <w:bodyDiv w:val="1"/>
      <w:marLeft w:val="0"/>
      <w:marRight w:val="0"/>
      <w:marTop w:val="0"/>
      <w:marBottom w:val="0"/>
      <w:divBdr>
        <w:top w:val="none" w:sz="0" w:space="0" w:color="auto"/>
        <w:left w:val="none" w:sz="0" w:space="0" w:color="auto"/>
        <w:bottom w:val="none" w:sz="0" w:space="0" w:color="auto"/>
        <w:right w:val="none" w:sz="0" w:space="0" w:color="auto"/>
      </w:divBdr>
    </w:div>
    <w:div w:id="613364941">
      <w:bodyDiv w:val="1"/>
      <w:marLeft w:val="0"/>
      <w:marRight w:val="0"/>
      <w:marTop w:val="0"/>
      <w:marBottom w:val="0"/>
      <w:divBdr>
        <w:top w:val="none" w:sz="0" w:space="0" w:color="auto"/>
        <w:left w:val="none" w:sz="0" w:space="0" w:color="auto"/>
        <w:bottom w:val="none" w:sz="0" w:space="0" w:color="auto"/>
        <w:right w:val="none" w:sz="0" w:space="0" w:color="auto"/>
      </w:divBdr>
    </w:div>
    <w:div w:id="643000170">
      <w:bodyDiv w:val="1"/>
      <w:marLeft w:val="0"/>
      <w:marRight w:val="0"/>
      <w:marTop w:val="0"/>
      <w:marBottom w:val="0"/>
      <w:divBdr>
        <w:top w:val="none" w:sz="0" w:space="0" w:color="auto"/>
        <w:left w:val="none" w:sz="0" w:space="0" w:color="auto"/>
        <w:bottom w:val="none" w:sz="0" w:space="0" w:color="auto"/>
        <w:right w:val="none" w:sz="0" w:space="0" w:color="auto"/>
      </w:divBdr>
    </w:div>
    <w:div w:id="674266874">
      <w:bodyDiv w:val="1"/>
      <w:marLeft w:val="0"/>
      <w:marRight w:val="0"/>
      <w:marTop w:val="0"/>
      <w:marBottom w:val="0"/>
      <w:divBdr>
        <w:top w:val="none" w:sz="0" w:space="0" w:color="auto"/>
        <w:left w:val="none" w:sz="0" w:space="0" w:color="auto"/>
        <w:bottom w:val="none" w:sz="0" w:space="0" w:color="auto"/>
        <w:right w:val="none" w:sz="0" w:space="0" w:color="auto"/>
      </w:divBdr>
    </w:div>
    <w:div w:id="677314705">
      <w:bodyDiv w:val="1"/>
      <w:marLeft w:val="0"/>
      <w:marRight w:val="0"/>
      <w:marTop w:val="0"/>
      <w:marBottom w:val="0"/>
      <w:divBdr>
        <w:top w:val="none" w:sz="0" w:space="0" w:color="auto"/>
        <w:left w:val="none" w:sz="0" w:space="0" w:color="auto"/>
        <w:bottom w:val="none" w:sz="0" w:space="0" w:color="auto"/>
        <w:right w:val="none" w:sz="0" w:space="0" w:color="auto"/>
      </w:divBdr>
    </w:div>
    <w:div w:id="693073040">
      <w:bodyDiv w:val="1"/>
      <w:marLeft w:val="0"/>
      <w:marRight w:val="0"/>
      <w:marTop w:val="0"/>
      <w:marBottom w:val="0"/>
      <w:divBdr>
        <w:top w:val="none" w:sz="0" w:space="0" w:color="auto"/>
        <w:left w:val="none" w:sz="0" w:space="0" w:color="auto"/>
        <w:bottom w:val="none" w:sz="0" w:space="0" w:color="auto"/>
        <w:right w:val="none" w:sz="0" w:space="0" w:color="auto"/>
      </w:divBdr>
    </w:div>
    <w:div w:id="728462079">
      <w:bodyDiv w:val="1"/>
      <w:marLeft w:val="0"/>
      <w:marRight w:val="0"/>
      <w:marTop w:val="0"/>
      <w:marBottom w:val="0"/>
      <w:divBdr>
        <w:top w:val="none" w:sz="0" w:space="0" w:color="auto"/>
        <w:left w:val="none" w:sz="0" w:space="0" w:color="auto"/>
        <w:bottom w:val="none" w:sz="0" w:space="0" w:color="auto"/>
        <w:right w:val="none" w:sz="0" w:space="0" w:color="auto"/>
      </w:divBdr>
    </w:div>
    <w:div w:id="736250468">
      <w:bodyDiv w:val="1"/>
      <w:marLeft w:val="0"/>
      <w:marRight w:val="0"/>
      <w:marTop w:val="0"/>
      <w:marBottom w:val="0"/>
      <w:divBdr>
        <w:top w:val="none" w:sz="0" w:space="0" w:color="auto"/>
        <w:left w:val="none" w:sz="0" w:space="0" w:color="auto"/>
        <w:bottom w:val="none" w:sz="0" w:space="0" w:color="auto"/>
        <w:right w:val="none" w:sz="0" w:space="0" w:color="auto"/>
      </w:divBdr>
    </w:div>
    <w:div w:id="883903078">
      <w:bodyDiv w:val="1"/>
      <w:marLeft w:val="0"/>
      <w:marRight w:val="0"/>
      <w:marTop w:val="0"/>
      <w:marBottom w:val="0"/>
      <w:divBdr>
        <w:top w:val="none" w:sz="0" w:space="0" w:color="auto"/>
        <w:left w:val="none" w:sz="0" w:space="0" w:color="auto"/>
        <w:bottom w:val="none" w:sz="0" w:space="0" w:color="auto"/>
        <w:right w:val="none" w:sz="0" w:space="0" w:color="auto"/>
      </w:divBdr>
    </w:div>
    <w:div w:id="893781500">
      <w:bodyDiv w:val="1"/>
      <w:marLeft w:val="0"/>
      <w:marRight w:val="0"/>
      <w:marTop w:val="0"/>
      <w:marBottom w:val="0"/>
      <w:divBdr>
        <w:top w:val="none" w:sz="0" w:space="0" w:color="auto"/>
        <w:left w:val="none" w:sz="0" w:space="0" w:color="auto"/>
        <w:bottom w:val="none" w:sz="0" w:space="0" w:color="auto"/>
        <w:right w:val="none" w:sz="0" w:space="0" w:color="auto"/>
      </w:divBdr>
    </w:div>
    <w:div w:id="941304925">
      <w:bodyDiv w:val="1"/>
      <w:marLeft w:val="0"/>
      <w:marRight w:val="0"/>
      <w:marTop w:val="0"/>
      <w:marBottom w:val="0"/>
      <w:divBdr>
        <w:top w:val="none" w:sz="0" w:space="0" w:color="auto"/>
        <w:left w:val="none" w:sz="0" w:space="0" w:color="auto"/>
        <w:bottom w:val="none" w:sz="0" w:space="0" w:color="auto"/>
        <w:right w:val="none" w:sz="0" w:space="0" w:color="auto"/>
      </w:divBdr>
    </w:div>
    <w:div w:id="942613227">
      <w:bodyDiv w:val="1"/>
      <w:marLeft w:val="0"/>
      <w:marRight w:val="0"/>
      <w:marTop w:val="0"/>
      <w:marBottom w:val="0"/>
      <w:divBdr>
        <w:top w:val="none" w:sz="0" w:space="0" w:color="auto"/>
        <w:left w:val="none" w:sz="0" w:space="0" w:color="auto"/>
        <w:bottom w:val="none" w:sz="0" w:space="0" w:color="auto"/>
        <w:right w:val="none" w:sz="0" w:space="0" w:color="auto"/>
      </w:divBdr>
    </w:div>
    <w:div w:id="954869071">
      <w:bodyDiv w:val="1"/>
      <w:marLeft w:val="0"/>
      <w:marRight w:val="0"/>
      <w:marTop w:val="0"/>
      <w:marBottom w:val="0"/>
      <w:divBdr>
        <w:top w:val="none" w:sz="0" w:space="0" w:color="auto"/>
        <w:left w:val="none" w:sz="0" w:space="0" w:color="auto"/>
        <w:bottom w:val="none" w:sz="0" w:space="0" w:color="auto"/>
        <w:right w:val="none" w:sz="0" w:space="0" w:color="auto"/>
      </w:divBdr>
    </w:div>
    <w:div w:id="1001002818">
      <w:bodyDiv w:val="1"/>
      <w:marLeft w:val="0"/>
      <w:marRight w:val="0"/>
      <w:marTop w:val="0"/>
      <w:marBottom w:val="0"/>
      <w:divBdr>
        <w:top w:val="none" w:sz="0" w:space="0" w:color="auto"/>
        <w:left w:val="none" w:sz="0" w:space="0" w:color="auto"/>
        <w:bottom w:val="none" w:sz="0" w:space="0" w:color="auto"/>
        <w:right w:val="none" w:sz="0" w:space="0" w:color="auto"/>
      </w:divBdr>
    </w:div>
    <w:div w:id="1026254885">
      <w:bodyDiv w:val="1"/>
      <w:marLeft w:val="0"/>
      <w:marRight w:val="0"/>
      <w:marTop w:val="0"/>
      <w:marBottom w:val="0"/>
      <w:divBdr>
        <w:top w:val="none" w:sz="0" w:space="0" w:color="auto"/>
        <w:left w:val="none" w:sz="0" w:space="0" w:color="auto"/>
        <w:bottom w:val="none" w:sz="0" w:space="0" w:color="auto"/>
        <w:right w:val="none" w:sz="0" w:space="0" w:color="auto"/>
      </w:divBdr>
    </w:div>
    <w:div w:id="1040515341">
      <w:bodyDiv w:val="1"/>
      <w:marLeft w:val="0"/>
      <w:marRight w:val="0"/>
      <w:marTop w:val="0"/>
      <w:marBottom w:val="0"/>
      <w:divBdr>
        <w:top w:val="none" w:sz="0" w:space="0" w:color="auto"/>
        <w:left w:val="none" w:sz="0" w:space="0" w:color="auto"/>
        <w:bottom w:val="none" w:sz="0" w:space="0" w:color="auto"/>
        <w:right w:val="none" w:sz="0" w:space="0" w:color="auto"/>
      </w:divBdr>
    </w:div>
    <w:div w:id="1063408206">
      <w:bodyDiv w:val="1"/>
      <w:marLeft w:val="0"/>
      <w:marRight w:val="0"/>
      <w:marTop w:val="0"/>
      <w:marBottom w:val="0"/>
      <w:divBdr>
        <w:top w:val="none" w:sz="0" w:space="0" w:color="auto"/>
        <w:left w:val="none" w:sz="0" w:space="0" w:color="auto"/>
        <w:bottom w:val="none" w:sz="0" w:space="0" w:color="auto"/>
        <w:right w:val="none" w:sz="0" w:space="0" w:color="auto"/>
      </w:divBdr>
    </w:div>
    <w:div w:id="1097481838">
      <w:bodyDiv w:val="1"/>
      <w:marLeft w:val="0"/>
      <w:marRight w:val="0"/>
      <w:marTop w:val="0"/>
      <w:marBottom w:val="0"/>
      <w:divBdr>
        <w:top w:val="none" w:sz="0" w:space="0" w:color="auto"/>
        <w:left w:val="none" w:sz="0" w:space="0" w:color="auto"/>
        <w:bottom w:val="none" w:sz="0" w:space="0" w:color="auto"/>
        <w:right w:val="none" w:sz="0" w:space="0" w:color="auto"/>
      </w:divBdr>
    </w:div>
    <w:div w:id="1195118143">
      <w:bodyDiv w:val="1"/>
      <w:marLeft w:val="0"/>
      <w:marRight w:val="0"/>
      <w:marTop w:val="0"/>
      <w:marBottom w:val="0"/>
      <w:divBdr>
        <w:top w:val="none" w:sz="0" w:space="0" w:color="auto"/>
        <w:left w:val="none" w:sz="0" w:space="0" w:color="auto"/>
        <w:bottom w:val="none" w:sz="0" w:space="0" w:color="auto"/>
        <w:right w:val="none" w:sz="0" w:space="0" w:color="auto"/>
      </w:divBdr>
    </w:div>
    <w:div w:id="1203324696">
      <w:bodyDiv w:val="1"/>
      <w:marLeft w:val="0"/>
      <w:marRight w:val="0"/>
      <w:marTop w:val="0"/>
      <w:marBottom w:val="0"/>
      <w:divBdr>
        <w:top w:val="none" w:sz="0" w:space="0" w:color="auto"/>
        <w:left w:val="none" w:sz="0" w:space="0" w:color="auto"/>
        <w:bottom w:val="none" w:sz="0" w:space="0" w:color="auto"/>
        <w:right w:val="none" w:sz="0" w:space="0" w:color="auto"/>
      </w:divBdr>
    </w:div>
    <w:div w:id="1231042382">
      <w:bodyDiv w:val="1"/>
      <w:marLeft w:val="0"/>
      <w:marRight w:val="0"/>
      <w:marTop w:val="0"/>
      <w:marBottom w:val="0"/>
      <w:divBdr>
        <w:top w:val="none" w:sz="0" w:space="0" w:color="auto"/>
        <w:left w:val="none" w:sz="0" w:space="0" w:color="auto"/>
        <w:bottom w:val="none" w:sz="0" w:space="0" w:color="auto"/>
        <w:right w:val="none" w:sz="0" w:space="0" w:color="auto"/>
      </w:divBdr>
    </w:div>
    <w:div w:id="1338264219">
      <w:bodyDiv w:val="1"/>
      <w:marLeft w:val="0"/>
      <w:marRight w:val="0"/>
      <w:marTop w:val="0"/>
      <w:marBottom w:val="0"/>
      <w:divBdr>
        <w:top w:val="none" w:sz="0" w:space="0" w:color="auto"/>
        <w:left w:val="none" w:sz="0" w:space="0" w:color="auto"/>
        <w:bottom w:val="none" w:sz="0" w:space="0" w:color="auto"/>
        <w:right w:val="none" w:sz="0" w:space="0" w:color="auto"/>
      </w:divBdr>
    </w:div>
    <w:div w:id="1343778879">
      <w:bodyDiv w:val="1"/>
      <w:marLeft w:val="0"/>
      <w:marRight w:val="0"/>
      <w:marTop w:val="0"/>
      <w:marBottom w:val="0"/>
      <w:divBdr>
        <w:top w:val="none" w:sz="0" w:space="0" w:color="auto"/>
        <w:left w:val="none" w:sz="0" w:space="0" w:color="auto"/>
        <w:bottom w:val="none" w:sz="0" w:space="0" w:color="auto"/>
        <w:right w:val="none" w:sz="0" w:space="0" w:color="auto"/>
      </w:divBdr>
    </w:div>
    <w:div w:id="1387948635">
      <w:bodyDiv w:val="1"/>
      <w:marLeft w:val="0"/>
      <w:marRight w:val="0"/>
      <w:marTop w:val="0"/>
      <w:marBottom w:val="0"/>
      <w:divBdr>
        <w:top w:val="none" w:sz="0" w:space="0" w:color="auto"/>
        <w:left w:val="none" w:sz="0" w:space="0" w:color="auto"/>
        <w:bottom w:val="none" w:sz="0" w:space="0" w:color="auto"/>
        <w:right w:val="none" w:sz="0" w:space="0" w:color="auto"/>
      </w:divBdr>
    </w:div>
    <w:div w:id="1438217471">
      <w:bodyDiv w:val="1"/>
      <w:marLeft w:val="0"/>
      <w:marRight w:val="0"/>
      <w:marTop w:val="0"/>
      <w:marBottom w:val="0"/>
      <w:divBdr>
        <w:top w:val="none" w:sz="0" w:space="0" w:color="auto"/>
        <w:left w:val="none" w:sz="0" w:space="0" w:color="auto"/>
        <w:bottom w:val="none" w:sz="0" w:space="0" w:color="auto"/>
        <w:right w:val="none" w:sz="0" w:space="0" w:color="auto"/>
      </w:divBdr>
    </w:div>
    <w:div w:id="1453211904">
      <w:bodyDiv w:val="1"/>
      <w:marLeft w:val="0"/>
      <w:marRight w:val="0"/>
      <w:marTop w:val="0"/>
      <w:marBottom w:val="0"/>
      <w:divBdr>
        <w:top w:val="none" w:sz="0" w:space="0" w:color="auto"/>
        <w:left w:val="none" w:sz="0" w:space="0" w:color="auto"/>
        <w:bottom w:val="none" w:sz="0" w:space="0" w:color="auto"/>
        <w:right w:val="none" w:sz="0" w:space="0" w:color="auto"/>
      </w:divBdr>
    </w:div>
    <w:div w:id="1483959658">
      <w:bodyDiv w:val="1"/>
      <w:marLeft w:val="0"/>
      <w:marRight w:val="0"/>
      <w:marTop w:val="0"/>
      <w:marBottom w:val="0"/>
      <w:divBdr>
        <w:top w:val="none" w:sz="0" w:space="0" w:color="auto"/>
        <w:left w:val="none" w:sz="0" w:space="0" w:color="auto"/>
        <w:bottom w:val="none" w:sz="0" w:space="0" w:color="auto"/>
        <w:right w:val="none" w:sz="0" w:space="0" w:color="auto"/>
      </w:divBdr>
    </w:div>
    <w:div w:id="1502046292">
      <w:bodyDiv w:val="1"/>
      <w:marLeft w:val="0"/>
      <w:marRight w:val="0"/>
      <w:marTop w:val="0"/>
      <w:marBottom w:val="0"/>
      <w:divBdr>
        <w:top w:val="none" w:sz="0" w:space="0" w:color="auto"/>
        <w:left w:val="none" w:sz="0" w:space="0" w:color="auto"/>
        <w:bottom w:val="none" w:sz="0" w:space="0" w:color="auto"/>
        <w:right w:val="none" w:sz="0" w:space="0" w:color="auto"/>
      </w:divBdr>
    </w:div>
    <w:div w:id="1542285671">
      <w:bodyDiv w:val="1"/>
      <w:marLeft w:val="0"/>
      <w:marRight w:val="0"/>
      <w:marTop w:val="0"/>
      <w:marBottom w:val="0"/>
      <w:divBdr>
        <w:top w:val="none" w:sz="0" w:space="0" w:color="auto"/>
        <w:left w:val="none" w:sz="0" w:space="0" w:color="auto"/>
        <w:bottom w:val="none" w:sz="0" w:space="0" w:color="auto"/>
        <w:right w:val="none" w:sz="0" w:space="0" w:color="auto"/>
      </w:divBdr>
    </w:div>
    <w:div w:id="1545678479">
      <w:marLeft w:val="0"/>
      <w:marRight w:val="0"/>
      <w:marTop w:val="0"/>
      <w:marBottom w:val="0"/>
      <w:divBdr>
        <w:top w:val="none" w:sz="0" w:space="0" w:color="auto"/>
        <w:left w:val="none" w:sz="0" w:space="0" w:color="auto"/>
        <w:bottom w:val="none" w:sz="0" w:space="0" w:color="auto"/>
        <w:right w:val="none" w:sz="0" w:space="0" w:color="auto"/>
      </w:divBdr>
    </w:div>
    <w:div w:id="1608855317">
      <w:bodyDiv w:val="1"/>
      <w:marLeft w:val="0"/>
      <w:marRight w:val="0"/>
      <w:marTop w:val="0"/>
      <w:marBottom w:val="0"/>
      <w:divBdr>
        <w:top w:val="none" w:sz="0" w:space="0" w:color="auto"/>
        <w:left w:val="none" w:sz="0" w:space="0" w:color="auto"/>
        <w:bottom w:val="none" w:sz="0" w:space="0" w:color="auto"/>
        <w:right w:val="none" w:sz="0" w:space="0" w:color="auto"/>
      </w:divBdr>
    </w:div>
    <w:div w:id="1639920742">
      <w:bodyDiv w:val="1"/>
      <w:marLeft w:val="0"/>
      <w:marRight w:val="0"/>
      <w:marTop w:val="0"/>
      <w:marBottom w:val="0"/>
      <w:divBdr>
        <w:top w:val="none" w:sz="0" w:space="0" w:color="auto"/>
        <w:left w:val="none" w:sz="0" w:space="0" w:color="auto"/>
        <w:bottom w:val="none" w:sz="0" w:space="0" w:color="auto"/>
        <w:right w:val="none" w:sz="0" w:space="0" w:color="auto"/>
      </w:divBdr>
    </w:div>
    <w:div w:id="1668901339">
      <w:bodyDiv w:val="1"/>
      <w:marLeft w:val="0"/>
      <w:marRight w:val="0"/>
      <w:marTop w:val="0"/>
      <w:marBottom w:val="0"/>
      <w:divBdr>
        <w:top w:val="none" w:sz="0" w:space="0" w:color="auto"/>
        <w:left w:val="none" w:sz="0" w:space="0" w:color="auto"/>
        <w:bottom w:val="none" w:sz="0" w:space="0" w:color="auto"/>
        <w:right w:val="none" w:sz="0" w:space="0" w:color="auto"/>
      </w:divBdr>
    </w:div>
    <w:div w:id="1685787614">
      <w:bodyDiv w:val="1"/>
      <w:marLeft w:val="0"/>
      <w:marRight w:val="0"/>
      <w:marTop w:val="0"/>
      <w:marBottom w:val="0"/>
      <w:divBdr>
        <w:top w:val="none" w:sz="0" w:space="0" w:color="auto"/>
        <w:left w:val="none" w:sz="0" w:space="0" w:color="auto"/>
        <w:bottom w:val="none" w:sz="0" w:space="0" w:color="auto"/>
        <w:right w:val="none" w:sz="0" w:space="0" w:color="auto"/>
      </w:divBdr>
    </w:div>
    <w:div w:id="1805460855">
      <w:bodyDiv w:val="1"/>
      <w:marLeft w:val="0"/>
      <w:marRight w:val="0"/>
      <w:marTop w:val="0"/>
      <w:marBottom w:val="0"/>
      <w:divBdr>
        <w:top w:val="none" w:sz="0" w:space="0" w:color="auto"/>
        <w:left w:val="none" w:sz="0" w:space="0" w:color="auto"/>
        <w:bottom w:val="none" w:sz="0" w:space="0" w:color="auto"/>
        <w:right w:val="none" w:sz="0" w:space="0" w:color="auto"/>
      </w:divBdr>
    </w:div>
    <w:div w:id="1810631772">
      <w:bodyDiv w:val="1"/>
      <w:marLeft w:val="0"/>
      <w:marRight w:val="0"/>
      <w:marTop w:val="0"/>
      <w:marBottom w:val="0"/>
      <w:divBdr>
        <w:top w:val="none" w:sz="0" w:space="0" w:color="auto"/>
        <w:left w:val="none" w:sz="0" w:space="0" w:color="auto"/>
        <w:bottom w:val="none" w:sz="0" w:space="0" w:color="auto"/>
        <w:right w:val="none" w:sz="0" w:space="0" w:color="auto"/>
      </w:divBdr>
    </w:div>
    <w:div w:id="1813667073">
      <w:bodyDiv w:val="1"/>
      <w:marLeft w:val="0"/>
      <w:marRight w:val="0"/>
      <w:marTop w:val="0"/>
      <w:marBottom w:val="0"/>
      <w:divBdr>
        <w:top w:val="none" w:sz="0" w:space="0" w:color="auto"/>
        <w:left w:val="none" w:sz="0" w:space="0" w:color="auto"/>
        <w:bottom w:val="none" w:sz="0" w:space="0" w:color="auto"/>
        <w:right w:val="none" w:sz="0" w:space="0" w:color="auto"/>
      </w:divBdr>
    </w:div>
    <w:div w:id="1845393698">
      <w:bodyDiv w:val="1"/>
      <w:marLeft w:val="0"/>
      <w:marRight w:val="0"/>
      <w:marTop w:val="0"/>
      <w:marBottom w:val="0"/>
      <w:divBdr>
        <w:top w:val="none" w:sz="0" w:space="0" w:color="auto"/>
        <w:left w:val="none" w:sz="0" w:space="0" w:color="auto"/>
        <w:bottom w:val="none" w:sz="0" w:space="0" w:color="auto"/>
        <w:right w:val="none" w:sz="0" w:space="0" w:color="auto"/>
      </w:divBdr>
    </w:div>
    <w:div w:id="1877496912">
      <w:bodyDiv w:val="1"/>
      <w:marLeft w:val="0"/>
      <w:marRight w:val="0"/>
      <w:marTop w:val="0"/>
      <w:marBottom w:val="0"/>
      <w:divBdr>
        <w:top w:val="none" w:sz="0" w:space="0" w:color="auto"/>
        <w:left w:val="none" w:sz="0" w:space="0" w:color="auto"/>
        <w:bottom w:val="none" w:sz="0" w:space="0" w:color="auto"/>
        <w:right w:val="none" w:sz="0" w:space="0" w:color="auto"/>
      </w:divBdr>
    </w:div>
    <w:div w:id="1881820192">
      <w:bodyDiv w:val="1"/>
      <w:marLeft w:val="0"/>
      <w:marRight w:val="0"/>
      <w:marTop w:val="0"/>
      <w:marBottom w:val="0"/>
      <w:divBdr>
        <w:top w:val="none" w:sz="0" w:space="0" w:color="auto"/>
        <w:left w:val="none" w:sz="0" w:space="0" w:color="auto"/>
        <w:bottom w:val="none" w:sz="0" w:space="0" w:color="auto"/>
        <w:right w:val="none" w:sz="0" w:space="0" w:color="auto"/>
      </w:divBdr>
    </w:div>
    <w:div w:id="1888493555">
      <w:bodyDiv w:val="1"/>
      <w:marLeft w:val="0"/>
      <w:marRight w:val="0"/>
      <w:marTop w:val="0"/>
      <w:marBottom w:val="0"/>
      <w:divBdr>
        <w:top w:val="none" w:sz="0" w:space="0" w:color="auto"/>
        <w:left w:val="none" w:sz="0" w:space="0" w:color="auto"/>
        <w:bottom w:val="none" w:sz="0" w:space="0" w:color="auto"/>
        <w:right w:val="none" w:sz="0" w:space="0" w:color="auto"/>
      </w:divBdr>
    </w:div>
    <w:div w:id="1921600197">
      <w:bodyDiv w:val="1"/>
      <w:marLeft w:val="0"/>
      <w:marRight w:val="0"/>
      <w:marTop w:val="0"/>
      <w:marBottom w:val="0"/>
      <w:divBdr>
        <w:top w:val="none" w:sz="0" w:space="0" w:color="auto"/>
        <w:left w:val="none" w:sz="0" w:space="0" w:color="auto"/>
        <w:bottom w:val="none" w:sz="0" w:space="0" w:color="auto"/>
        <w:right w:val="none" w:sz="0" w:space="0" w:color="auto"/>
      </w:divBdr>
    </w:div>
    <w:div w:id="1933123468">
      <w:bodyDiv w:val="1"/>
      <w:marLeft w:val="0"/>
      <w:marRight w:val="0"/>
      <w:marTop w:val="0"/>
      <w:marBottom w:val="0"/>
      <w:divBdr>
        <w:top w:val="none" w:sz="0" w:space="0" w:color="auto"/>
        <w:left w:val="none" w:sz="0" w:space="0" w:color="auto"/>
        <w:bottom w:val="none" w:sz="0" w:space="0" w:color="auto"/>
        <w:right w:val="none" w:sz="0" w:space="0" w:color="auto"/>
      </w:divBdr>
    </w:div>
    <w:div w:id="1936478049">
      <w:bodyDiv w:val="1"/>
      <w:marLeft w:val="0"/>
      <w:marRight w:val="0"/>
      <w:marTop w:val="0"/>
      <w:marBottom w:val="0"/>
      <w:divBdr>
        <w:top w:val="none" w:sz="0" w:space="0" w:color="auto"/>
        <w:left w:val="none" w:sz="0" w:space="0" w:color="auto"/>
        <w:bottom w:val="none" w:sz="0" w:space="0" w:color="auto"/>
        <w:right w:val="none" w:sz="0" w:space="0" w:color="auto"/>
      </w:divBdr>
    </w:div>
    <w:div w:id="1938445858">
      <w:bodyDiv w:val="1"/>
      <w:marLeft w:val="0"/>
      <w:marRight w:val="0"/>
      <w:marTop w:val="0"/>
      <w:marBottom w:val="0"/>
      <w:divBdr>
        <w:top w:val="none" w:sz="0" w:space="0" w:color="auto"/>
        <w:left w:val="none" w:sz="0" w:space="0" w:color="auto"/>
        <w:bottom w:val="none" w:sz="0" w:space="0" w:color="auto"/>
        <w:right w:val="none" w:sz="0" w:space="0" w:color="auto"/>
      </w:divBdr>
    </w:div>
    <w:div w:id="1972786762">
      <w:bodyDiv w:val="1"/>
      <w:marLeft w:val="0"/>
      <w:marRight w:val="0"/>
      <w:marTop w:val="0"/>
      <w:marBottom w:val="0"/>
      <w:divBdr>
        <w:top w:val="none" w:sz="0" w:space="0" w:color="auto"/>
        <w:left w:val="none" w:sz="0" w:space="0" w:color="auto"/>
        <w:bottom w:val="none" w:sz="0" w:space="0" w:color="auto"/>
        <w:right w:val="none" w:sz="0" w:space="0" w:color="auto"/>
      </w:divBdr>
    </w:div>
    <w:div w:id="2013293179">
      <w:bodyDiv w:val="1"/>
      <w:marLeft w:val="0"/>
      <w:marRight w:val="0"/>
      <w:marTop w:val="0"/>
      <w:marBottom w:val="0"/>
      <w:divBdr>
        <w:top w:val="none" w:sz="0" w:space="0" w:color="auto"/>
        <w:left w:val="none" w:sz="0" w:space="0" w:color="auto"/>
        <w:bottom w:val="none" w:sz="0" w:space="0" w:color="auto"/>
        <w:right w:val="none" w:sz="0" w:space="0" w:color="auto"/>
      </w:divBdr>
    </w:div>
    <w:div w:id="2017806640">
      <w:bodyDiv w:val="1"/>
      <w:marLeft w:val="0"/>
      <w:marRight w:val="0"/>
      <w:marTop w:val="0"/>
      <w:marBottom w:val="0"/>
      <w:divBdr>
        <w:top w:val="none" w:sz="0" w:space="0" w:color="auto"/>
        <w:left w:val="none" w:sz="0" w:space="0" w:color="auto"/>
        <w:bottom w:val="none" w:sz="0" w:space="0" w:color="auto"/>
        <w:right w:val="none" w:sz="0" w:space="0" w:color="auto"/>
      </w:divBdr>
    </w:div>
    <w:div w:id="2059158390">
      <w:bodyDiv w:val="1"/>
      <w:marLeft w:val="0"/>
      <w:marRight w:val="0"/>
      <w:marTop w:val="0"/>
      <w:marBottom w:val="0"/>
      <w:divBdr>
        <w:top w:val="none" w:sz="0" w:space="0" w:color="auto"/>
        <w:left w:val="none" w:sz="0" w:space="0" w:color="auto"/>
        <w:bottom w:val="none" w:sz="0" w:space="0" w:color="auto"/>
        <w:right w:val="none" w:sz="0" w:space="0" w:color="auto"/>
      </w:divBdr>
    </w:div>
    <w:div w:id="2076387564">
      <w:bodyDiv w:val="1"/>
      <w:marLeft w:val="0"/>
      <w:marRight w:val="0"/>
      <w:marTop w:val="0"/>
      <w:marBottom w:val="0"/>
      <w:divBdr>
        <w:top w:val="none" w:sz="0" w:space="0" w:color="auto"/>
        <w:left w:val="none" w:sz="0" w:space="0" w:color="auto"/>
        <w:bottom w:val="none" w:sz="0" w:space="0" w:color="auto"/>
        <w:right w:val="none" w:sz="0" w:space="0" w:color="auto"/>
      </w:divBdr>
    </w:div>
    <w:div w:id="21364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9.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image" Target="media/image8.emf"/><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4.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7.emf"/><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3.emf"/><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2.emf"/><Relationship Id="rId30" Type="http://schemas.openxmlformats.org/officeDocument/2006/relationships/image" Target="media/image5.emf"/><Relationship Id="rId35" Type="http://schemas.openxmlformats.org/officeDocument/2006/relationships/image" Target="media/image1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A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10609030101010101"/>
    <w:charset w:val="86"/>
    <w:family w:val="modern"/>
    <w:pitch w:val="fixed"/>
    <w:sig w:usb0="00000000" w:usb1="080E0000" w:usb2="00000010" w:usb3="00000000" w:csb0="00040000" w:csb1="00000000"/>
  </w:font>
  <w:font w:name="KaiTi">
    <w:altName w:val="KaiT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3" w:usb1="080E0000" w:usb2="00000010"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85"/>
    <w:rsid w:val="0032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75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D1101-BAC7-4914-B69C-9C06A0FA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11381</TotalTime>
  <Pages>55</Pages>
  <Words>5631</Words>
  <Characters>32101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Daijun Chen</dc:creator>
  <cp:keywords/>
  <dc:description/>
  <cp:lastModifiedBy>Daijun Chen</cp:lastModifiedBy>
  <cp:revision>93</cp:revision>
  <cp:lastPrinted>2018-03-13T17:49:00Z</cp:lastPrinted>
  <dcterms:created xsi:type="dcterms:W3CDTF">2018-01-18T07:29:00Z</dcterms:created>
  <dcterms:modified xsi:type="dcterms:W3CDTF">2018-03-22T16:53:00Z</dcterms:modified>
</cp:coreProperties>
</file>