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B59DC" w14:textId="5B257246" w:rsidR="0099308F" w:rsidRPr="003C74C8" w:rsidRDefault="0099308F" w:rsidP="009E2CF7">
      <w:pPr>
        <w:snapToGrid w:val="0"/>
        <w:spacing w:line="240" w:lineRule="auto"/>
        <w:ind w:firstLineChars="0" w:firstLine="0"/>
        <w:jc w:val="center"/>
        <w:rPr>
          <w:rFonts w:eastAsia="黑体"/>
          <w:b/>
          <w:sz w:val="32"/>
          <w:szCs w:val="30"/>
        </w:rPr>
      </w:pPr>
      <w:bookmarkStart w:id="0" w:name="_Hlk512257611"/>
      <w:bookmarkStart w:id="1" w:name="_Hlk502834535"/>
      <w:bookmarkEnd w:id="0"/>
      <w:r w:rsidRPr="003C74C8">
        <w:rPr>
          <w:rFonts w:eastAsia="黑体" w:hint="eastAsia"/>
          <w:b/>
          <w:sz w:val="32"/>
          <w:szCs w:val="30"/>
        </w:rPr>
        <w:t>投资者情绪与</w:t>
      </w:r>
      <w:r w:rsidR="003337E4" w:rsidRPr="003C74C8">
        <w:rPr>
          <w:rFonts w:eastAsia="黑体" w:hint="eastAsia"/>
          <w:b/>
          <w:sz w:val="32"/>
          <w:szCs w:val="30"/>
        </w:rPr>
        <w:t>证券</w:t>
      </w:r>
      <w:proofErr w:type="gramStart"/>
      <w:r w:rsidR="003337E4" w:rsidRPr="003C74C8">
        <w:rPr>
          <w:rFonts w:eastAsia="黑体" w:hint="eastAsia"/>
          <w:b/>
          <w:sz w:val="32"/>
          <w:szCs w:val="30"/>
        </w:rPr>
        <w:t>分析师择时行</w:t>
      </w:r>
      <w:proofErr w:type="gramEnd"/>
      <w:r w:rsidR="003337E4" w:rsidRPr="003C74C8">
        <w:rPr>
          <w:rFonts w:eastAsia="黑体" w:hint="eastAsia"/>
          <w:b/>
          <w:sz w:val="32"/>
          <w:szCs w:val="30"/>
        </w:rPr>
        <w:t>为</w:t>
      </w:r>
      <w:bookmarkEnd w:id="1"/>
    </w:p>
    <w:p w14:paraId="40AF2C21" w14:textId="77777777" w:rsidR="000E28DA" w:rsidRDefault="000E28DA" w:rsidP="009E2CF7">
      <w:pPr>
        <w:spacing w:line="240" w:lineRule="auto"/>
        <w:ind w:firstLine="420"/>
      </w:pPr>
    </w:p>
    <w:p w14:paraId="6BA8BFED" w14:textId="77B04760" w:rsidR="00B70871" w:rsidRDefault="00B70871" w:rsidP="009E2CF7">
      <w:pPr>
        <w:spacing w:line="240" w:lineRule="auto"/>
        <w:ind w:firstLine="420"/>
      </w:pPr>
      <w:r>
        <w:rPr>
          <w:rFonts w:hint="eastAsia"/>
        </w:rPr>
        <w:t>摘要：围绕证券分析</w:t>
      </w:r>
      <w:proofErr w:type="gramStart"/>
      <w:r>
        <w:rPr>
          <w:rFonts w:hint="eastAsia"/>
        </w:rPr>
        <w:t>师报告</w:t>
      </w:r>
      <w:proofErr w:type="gramEnd"/>
      <w:r>
        <w:rPr>
          <w:rFonts w:hint="eastAsia"/>
        </w:rPr>
        <w:t>发布的时间问题，本文利用</w:t>
      </w:r>
      <w:r>
        <w:rPr>
          <w:rFonts w:hint="eastAsia"/>
        </w:rPr>
        <w:t>2</w:t>
      </w:r>
      <w:r>
        <w:t>0</w:t>
      </w:r>
      <w:r>
        <w:rPr>
          <w:rFonts w:hint="eastAsia"/>
        </w:rPr>
        <w:t>09</w:t>
      </w:r>
      <w:r>
        <w:rPr>
          <w:rFonts w:hint="eastAsia"/>
        </w:rPr>
        <w:t>至</w:t>
      </w:r>
      <w:r>
        <w:rPr>
          <w:rFonts w:hint="eastAsia"/>
        </w:rPr>
        <w:t>2017</w:t>
      </w:r>
      <w:r>
        <w:rPr>
          <w:rFonts w:hint="eastAsia"/>
        </w:rPr>
        <w:t>年中国证券分析师的公司深度研究报告样本进行实证分析，回答了三个主要的问题：证券分析师是否就研究报告的发布进行择时？如果证券分析师的确存在择时行为，什么因素影响着分析师群体的择时决策？</w:t>
      </w:r>
      <w:proofErr w:type="gramStart"/>
      <w:r>
        <w:rPr>
          <w:rFonts w:hint="eastAsia"/>
        </w:rPr>
        <w:t>分析师择时行</w:t>
      </w:r>
      <w:proofErr w:type="gramEnd"/>
      <w:r>
        <w:rPr>
          <w:rFonts w:hint="eastAsia"/>
        </w:rPr>
        <w:t>为的效果如何？通过检验分析师评级报告发布时的投资者情绪以及进一步的多元回归分析，发现分析师在发布深度研究报告时存在一定程度的择时行为，且这一行为主要是受</w:t>
      </w:r>
      <w:r w:rsidR="003C74C8">
        <w:rPr>
          <w:rFonts w:hint="eastAsia"/>
        </w:rPr>
        <w:t>研究</w:t>
      </w:r>
      <w:r>
        <w:rPr>
          <w:rFonts w:hint="eastAsia"/>
        </w:rPr>
        <w:t>报告信息含量的影响。此外，市场能够识别报告信息含量驱动的证券</w:t>
      </w:r>
      <w:proofErr w:type="gramStart"/>
      <w:r>
        <w:rPr>
          <w:rFonts w:hint="eastAsia"/>
        </w:rPr>
        <w:t>分析师择时行</w:t>
      </w:r>
      <w:proofErr w:type="gramEnd"/>
      <w:r>
        <w:rPr>
          <w:rFonts w:hint="eastAsia"/>
        </w:rPr>
        <w:t>为，表现为择时发布的报告产生的超额收益率较小且迅速消失。本文在以往相关研究的基础上，丰富了分析师盈余预测和股票评级的相关文献，并为分析师研究报告的使用者和证券市场监管者提供一定的理论依据。</w:t>
      </w:r>
    </w:p>
    <w:p w14:paraId="47C3C0EA" w14:textId="77777777" w:rsidR="00B70871" w:rsidRDefault="00B70871" w:rsidP="009E2CF7">
      <w:pPr>
        <w:spacing w:line="240" w:lineRule="auto"/>
        <w:ind w:firstLine="420"/>
      </w:pPr>
      <w:r>
        <w:rPr>
          <w:rFonts w:hint="eastAsia"/>
        </w:rPr>
        <w:t>关键词：证券分析师；择时行为；投资者情绪</w:t>
      </w:r>
    </w:p>
    <w:p w14:paraId="73F1D885" w14:textId="27549C0C" w:rsidR="00B70871" w:rsidRDefault="00B70871" w:rsidP="009E2CF7">
      <w:pPr>
        <w:spacing w:line="240" w:lineRule="auto"/>
        <w:ind w:firstLine="420"/>
      </w:pPr>
    </w:p>
    <w:p w14:paraId="73F34F33" w14:textId="77777777" w:rsidR="00AF25C1" w:rsidRPr="00B70871" w:rsidRDefault="00AF25C1" w:rsidP="009E2CF7">
      <w:pPr>
        <w:spacing w:line="240" w:lineRule="auto"/>
        <w:ind w:firstLine="420"/>
      </w:pPr>
    </w:p>
    <w:p w14:paraId="082283A4" w14:textId="0DF4CD5D" w:rsidR="003337E4" w:rsidRPr="003C74C8" w:rsidRDefault="0099308F" w:rsidP="009E2CF7">
      <w:pPr>
        <w:spacing w:line="240" w:lineRule="auto"/>
        <w:ind w:firstLineChars="0" w:firstLine="0"/>
        <w:jc w:val="center"/>
        <w:rPr>
          <w:rFonts w:eastAsia="黑体"/>
          <w:b/>
          <w:sz w:val="32"/>
          <w:szCs w:val="30"/>
        </w:rPr>
      </w:pPr>
      <w:r w:rsidRPr="003C74C8">
        <w:rPr>
          <w:rFonts w:eastAsia="黑体"/>
          <w:b/>
          <w:sz w:val="32"/>
          <w:szCs w:val="30"/>
        </w:rPr>
        <w:t>I</w:t>
      </w:r>
      <w:r w:rsidRPr="003C74C8">
        <w:rPr>
          <w:rFonts w:eastAsia="黑体" w:hint="eastAsia"/>
          <w:b/>
          <w:sz w:val="32"/>
          <w:szCs w:val="30"/>
        </w:rPr>
        <w:t>nve</w:t>
      </w:r>
      <w:r w:rsidRPr="003C74C8">
        <w:rPr>
          <w:rFonts w:eastAsia="黑体"/>
          <w:b/>
          <w:sz w:val="32"/>
          <w:szCs w:val="30"/>
        </w:rPr>
        <w:t xml:space="preserve">stor Sentiment and </w:t>
      </w:r>
      <w:r w:rsidR="00A830CB" w:rsidRPr="003C74C8">
        <w:rPr>
          <w:rFonts w:eastAsia="黑体"/>
          <w:b/>
          <w:sz w:val="32"/>
          <w:szCs w:val="30"/>
        </w:rPr>
        <w:t>Security Analyst</w:t>
      </w:r>
      <w:r w:rsidR="00211ECF" w:rsidRPr="003C74C8">
        <w:rPr>
          <w:rFonts w:eastAsia="黑体"/>
          <w:b/>
          <w:sz w:val="32"/>
          <w:szCs w:val="30"/>
        </w:rPr>
        <w:t>s</w:t>
      </w:r>
      <w:r w:rsidRPr="003C74C8">
        <w:rPr>
          <w:rFonts w:eastAsia="黑体"/>
          <w:b/>
          <w:sz w:val="32"/>
          <w:szCs w:val="30"/>
        </w:rPr>
        <w:t xml:space="preserve"> Forecast Timing</w:t>
      </w:r>
    </w:p>
    <w:p w14:paraId="03771A8B" w14:textId="77777777" w:rsidR="003C74C8" w:rsidRDefault="003C74C8" w:rsidP="009E2CF7">
      <w:pPr>
        <w:spacing w:line="240" w:lineRule="auto"/>
        <w:ind w:firstLine="420"/>
      </w:pPr>
    </w:p>
    <w:p w14:paraId="151B778B" w14:textId="668AD805" w:rsidR="003C74C8" w:rsidRDefault="003C74C8" w:rsidP="009E2CF7">
      <w:pPr>
        <w:spacing w:line="240" w:lineRule="auto"/>
        <w:ind w:firstLine="420"/>
      </w:pPr>
      <w:r>
        <w:rPr>
          <w:rFonts w:hint="eastAsia"/>
        </w:rPr>
        <w:t>Abstract</w:t>
      </w:r>
      <w:r>
        <w:t>: This article mainly answer</w:t>
      </w:r>
      <w:r>
        <w:rPr>
          <w:rFonts w:hint="eastAsia"/>
        </w:rPr>
        <w:t>s</w:t>
      </w:r>
      <w:r>
        <w:t xml:space="preserve"> three important questions about analysts timing behavior: do security analysts timing when they release their reports? if so, what factors affect their timing decisions? What is the result of their timing behavior? Using the depth-research reports sample in China from year 2009 to 2017, this article examines the relationship between investor sentiment and releases of rating reports and finds out that analysts more or less timing when they publish their work. The timing behavior is mainly influenced by the informativeness of their reports. In addition, the market identifies the analysts’ timing behavior, since less informative reports generate smaller abnormal returns that disappear faster than more informative ones.</w:t>
      </w:r>
    </w:p>
    <w:p w14:paraId="13FACEF1" w14:textId="77777777" w:rsidR="003C74C8" w:rsidRDefault="003C74C8" w:rsidP="009E2CF7">
      <w:pPr>
        <w:spacing w:line="240" w:lineRule="auto"/>
        <w:ind w:firstLine="420"/>
      </w:pPr>
      <w:r>
        <w:rPr>
          <w:rFonts w:hint="eastAsia"/>
        </w:rPr>
        <w:t>K</w:t>
      </w:r>
      <w:r>
        <w:t>eywords: Security Analyst; Timing Behavior; Investor Sentiment</w:t>
      </w:r>
    </w:p>
    <w:p w14:paraId="2F20E938" w14:textId="77777777" w:rsidR="003337E4" w:rsidRPr="003C74C8" w:rsidRDefault="003337E4" w:rsidP="009E2CF7">
      <w:pPr>
        <w:spacing w:line="240" w:lineRule="auto"/>
        <w:ind w:firstLine="420"/>
      </w:pPr>
    </w:p>
    <w:p w14:paraId="1055B418" w14:textId="77777777" w:rsidR="003906E7" w:rsidRDefault="003906E7" w:rsidP="009E2CF7">
      <w:pPr>
        <w:keepNext/>
        <w:keepLines/>
        <w:spacing w:before="360" w:after="360" w:line="240" w:lineRule="auto"/>
        <w:ind w:firstLineChars="0"/>
        <w:jc w:val="center"/>
        <w:outlineLvl w:val="0"/>
        <w:rPr>
          <w:rFonts w:ascii="黑体" w:eastAsia="黑体" w:hAnsi="黑体"/>
          <w:b/>
          <w:bCs/>
          <w:kern w:val="44"/>
          <w:sz w:val="30"/>
          <w:szCs w:val="30"/>
        </w:rPr>
        <w:sectPr w:rsidR="003906E7">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2011DD91" w14:textId="087016FE" w:rsidR="00E70A83" w:rsidRDefault="003E7F0F" w:rsidP="009E2CF7">
      <w:pPr>
        <w:pStyle w:val="1"/>
        <w:spacing w:line="240" w:lineRule="auto"/>
      </w:pPr>
      <w:r>
        <w:rPr>
          <w:rFonts w:hint="eastAsia"/>
        </w:rPr>
        <w:lastRenderedPageBreak/>
        <w:t>引言</w:t>
      </w:r>
    </w:p>
    <w:p w14:paraId="58E66D7D" w14:textId="04B04D36" w:rsidR="0060607D" w:rsidRDefault="004164A4" w:rsidP="009E2CF7">
      <w:pPr>
        <w:spacing w:line="240" w:lineRule="auto"/>
        <w:ind w:firstLine="420"/>
      </w:pPr>
      <w:r>
        <w:rPr>
          <w:rFonts w:hint="eastAsia"/>
        </w:rPr>
        <w:t>一直以来，</w:t>
      </w:r>
      <w:r w:rsidR="00666818">
        <w:rPr>
          <w:rFonts w:hint="eastAsia"/>
        </w:rPr>
        <w:t>证券分析师</w:t>
      </w:r>
      <w:r w:rsidR="0060607D">
        <w:rPr>
          <w:rFonts w:hint="eastAsia"/>
        </w:rPr>
        <w:t>在资本市场中扮演着重要的角色，其基本工作包括收集和处理上市公司的各种相关信息，</w:t>
      </w:r>
      <w:r w:rsidR="00306AFE">
        <w:rPr>
          <w:rFonts w:hint="eastAsia"/>
        </w:rPr>
        <w:t>并</w:t>
      </w:r>
      <w:r w:rsidR="0060607D">
        <w:rPr>
          <w:rFonts w:hint="eastAsia"/>
        </w:rPr>
        <w:t>基于</w:t>
      </w:r>
      <w:r w:rsidR="00306AFE">
        <w:rPr>
          <w:rFonts w:hint="eastAsia"/>
        </w:rPr>
        <w:t>经营数据、财务数据以及重要的行业数据等</w:t>
      </w:r>
      <w:r w:rsidR="0060607D">
        <w:rPr>
          <w:rFonts w:hint="eastAsia"/>
        </w:rPr>
        <w:t>信息对公司的</w:t>
      </w:r>
      <w:r w:rsidR="0090393D">
        <w:rPr>
          <w:rFonts w:hint="eastAsia"/>
        </w:rPr>
        <w:t>未来</w:t>
      </w:r>
      <w:r w:rsidR="0060607D">
        <w:rPr>
          <w:rFonts w:hint="eastAsia"/>
        </w:rPr>
        <w:t>业绩和投资价值</w:t>
      </w:r>
      <w:r w:rsidR="00101A78">
        <w:rPr>
          <w:rFonts w:hint="eastAsia"/>
        </w:rPr>
        <w:t>做出</w:t>
      </w:r>
      <w:r w:rsidR="0060607D">
        <w:rPr>
          <w:rFonts w:hint="eastAsia"/>
        </w:rPr>
        <w:t>预测和判断，为投资者提供投资建议。从</w:t>
      </w:r>
      <w:r w:rsidR="003D1ED7">
        <w:rPr>
          <w:rFonts w:hint="eastAsia"/>
        </w:rPr>
        <w:t>分析师</w:t>
      </w:r>
      <w:r w:rsidR="0060607D">
        <w:rPr>
          <w:rFonts w:hint="eastAsia"/>
        </w:rPr>
        <w:t>所供职的机构类型来看，证券分析师可分为就职于证券公司的“卖方分析师”和就职</w:t>
      </w:r>
      <w:proofErr w:type="gramStart"/>
      <w:r w:rsidR="0060607D">
        <w:rPr>
          <w:rFonts w:hint="eastAsia"/>
        </w:rPr>
        <w:t>于机构</w:t>
      </w:r>
      <w:proofErr w:type="gramEnd"/>
      <w:r w:rsidR="0060607D">
        <w:rPr>
          <w:rFonts w:hint="eastAsia"/>
        </w:rPr>
        <w:t>投资者的“买方分析师”。相比之下，前者数量远多于后者，且服务对象</w:t>
      </w:r>
      <w:r w:rsidR="003D1ED7">
        <w:rPr>
          <w:rFonts w:hint="eastAsia"/>
        </w:rPr>
        <w:t>覆盖</w:t>
      </w:r>
      <w:r w:rsidR="0060607D">
        <w:rPr>
          <w:rFonts w:hint="eastAsia"/>
        </w:rPr>
        <w:t>各类</w:t>
      </w:r>
      <w:r w:rsidR="0090393D">
        <w:rPr>
          <w:rFonts w:hint="eastAsia"/>
        </w:rPr>
        <w:t>投资机构</w:t>
      </w:r>
      <w:r w:rsidR="003D1ED7">
        <w:rPr>
          <w:rFonts w:hint="eastAsia"/>
        </w:rPr>
        <w:t>甚至个人</w:t>
      </w:r>
      <w:r w:rsidR="0060607D">
        <w:rPr>
          <w:rFonts w:hint="eastAsia"/>
        </w:rPr>
        <w:t>，</w:t>
      </w:r>
      <w:r w:rsidR="0090393D">
        <w:rPr>
          <w:rFonts w:hint="eastAsia"/>
        </w:rPr>
        <w:t>对资本市场效率和投资者行为均有</w:t>
      </w:r>
      <w:r w:rsidR="003D1ED7">
        <w:rPr>
          <w:rFonts w:hint="eastAsia"/>
        </w:rPr>
        <w:t>广泛</w:t>
      </w:r>
      <w:r w:rsidR="0090393D">
        <w:rPr>
          <w:rFonts w:hint="eastAsia"/>
        </w:rPr>
        <w:t>影响，</w:t>
      </w:r>
      <w:r w:rsidR="00C166AF">
        <w:rPr>
          <w:rFonts w:hint="eastAsia"/>
        </w:rPr>
        <w:t>因此</w:t>
      </w:r>
      <w:r w:rsidR="0090393D">
        <w:rPr>
          <w:rFonts w:hint="eastAsia"/>
        </w:rPr>
        <w:t>成为了学术界的主要研究对象</w:t>
      </w:r>
      <w:r w:rsidR="00C166AF">
        <w:rPr>
          <w:rFonts w:hint="eastAsia"/>
        </w:rPr>
        <w:t>，也是本文</w:t>
      </w:r>
      <w:r w:rsidR="003D1ED7">
        <w:rPr>
          <w:rFonts w:hint="eastAsia"/>
        </w:rPr>
        <w:t>主要</w:t>
      </w:r>
      <w:r w:rsidR="00C166AF">
        <w:rPr>
          <w:rFonts w:hint="eastAsia"/>
        </w:rPr>
        <w:t>关注的群体</w:t>
      </w:r>
      <w:r w:rsidR="0090393D">
        <w:rPr>
          <w:rFonts w:hint="eastAsia"/>
        </w:rPr>
        <w:t>。</w:t>
      </w:r>
    </w:p>
    <w:p w14:paraId="007E3D77" w14:textId="03644D1C" w:rsidR="0001010D" w:rsidRDefault="009830F9" w:rsidP="009E2CF7">
      <w:pPr>
        <w:spacing w:line="240" w:lineRule="auto"/>
        <w:ind w:firstLine="420"/>
      </w:pPr>
      <w:r>
        <w:rPr>
          <w:rFonts w:hint="eastAsia"/>
        </w:rPr>
        <w:t>随着</w:t>
      </w:r>
      <w:r w:rsidR="001B30C9">
        <w:rPr>
          <w:rFonts w:hint="eastAsia"/>
        </w:rPr>
        <w:t>我国的机构投资者规模不断扩大，对证券研究报告的需求</w:t>
      </w:r>
      <w:r w:rsidR="00080CE0">
        <w:rPr>
          <w:rFonts w:hint="eastAsia"/>
        </w:rPr>
        <w:t>持续</w:t>
      </w:r>
      <w:r>
        <w:rPr>
          <w:rFonts w:hint="eastAsia"/>
        </w:rPr>
        <w:t>提升</w:t>
      </w:r>
      <w:r w:rsidR="001B55D8">
        <w:rPr>
          <w:rFonts w:hint="eastAsia"/>
        </w:rPr>
        <w:t>，</w:t>
      </w:r>
      <w:r w:rsidR="00864820">
        <w:rPr>
          <w:rFonts w:hint="eastAsia"/>
        </w:rPr>
        <w:t>使得</w:t>
      </w:r>
      <w:r w:rsidR="001B30C9">
        <w:rPr>
          <w:rFonts w:hint="eastAsia"/>
        </w:rPr>
        <w:t>证券分析师对资本市场的影响日益增强。在这种背景下，国内学术界的相关研究逐年增加，主要集中于探讨证券分析师的</w:t>
      </w:r>
      <w:r w:rsidR="009E3FF5">
        <w:rPr>
          <w:rFonts w:hint="eastAsia"/>
        </w:rPr>
        <w:t>信息处理能力</w:t>
      </w:r>
      <w:r w:rsidR="001B30C9">
        <w:rPr>
          <w:rFonts w:hint="eastAsia"/>
        </w:rPr>
        <w:t>、行为模式等领域，为</w:t>
      </w:r>
      <w:r w:rsidR="007253A0">
        <w:rPr>
          <w:rFonts w:hint="eastAsia"/>
        </w:rPr>
        <w:t>证券分析师</w:t>
      </w:r>
      <w:r w:rsidR="00E87442">
        <w:rPr>
          <w:rFonts w:hint="eastAsia"/>
        </w:rPr>
        <w:t>的</w:t>
      </w:r>
      <w:r w:rsidR="001B30C9">
        <w:rPr>
          <w:rFonts w:hint="eastAsia"/>
        </w:rPr>
        <w:t>行业监管以及投资者如何更好地利用分析师的研究成果提供一定程度的指引</w:t>
      </w:r>
      <w:r w:rsidR="007253A0">
        <w:rPr>
          <w:rFonts w:hint="eastAsia"/>
        </w:rPr>
        <w:t>。</w:t>
      </w:r>
      <w:r w:rsidR="00933AED">
        <w:rPr>
          <w:rFonts w:hint="eastAsia"/>
        </w:rPr>
        <w:t>总体来看，证券分析师的工作有利于促进股票市场的信息发现，提高了市场效率，</w:t>
      </w:r>
      <w:r w:rsidR="009A2669">
        <w:rPr>
          <w:rFonts w:hint="eastAsia"/>
        </w:rPr>
        <w:t>对资本市场的健康发展有正面作用。但另一方面，分析师所面临的复杂利益关系也不可避免地影响了其工作质量，主要表现为在盈余预测上</w:t>
      </w:r>
      <w:r w:rsidR="0001010D">
        <w:rPr>
          <w:rFonts w:hint="eastAsia"/>
        </w:rPr>
        <w:t>的</w:t>
      </w:r>
      <w:r w:rsidR="009A2669">
        <w:rPr>
          <w:rFonts w:hint="eastAsia"/>
        </w:rPr>
        <w:t>乐观偏差</w:t>
      </w:r>
      <w:r w:rsidR="0001010D">
        <w:rPr>
          <w:rFonts w:hint="eastAsia"/>
        </w:rPr>
        <w:t>和群体效应</w:t>
      </w:r>
      <w:r w:rsidR="009A2669">
        <w:rPr>
          <w:rFonts w:hint="eastAsia"/>
        </w:rPr>
        <w:t>。</w:t>
      </w:r>
    </w:p>
    <w:p w14:paraId="54291EA5" w14:textId="4B7C077D" w:rsidR="00173170" w:rsidRDefault="0001010D" w:rsidP="009E2CF7">
      <w:pPr>
        <w:spacing w:line="240" w:lineRule="auto"/>
        <w:ind w:firstLine="420"/>
      </w:pPr>
      <w:r>
        <w:rPr>
          <w:rFonts w:hint="eastAsia"/>
        </w:rPr>
        <w:t>但</w:t>
      </w:r>
      <w:r w:rsidR="00D27175">
        <w:rPr>
          <w:rFonts w:hint="eastAsia"/>
        </w:rPr>
        <w:t>目前</w:t>
      </w:r>
      <w:r w:rsidR="009830F9">
        <w:rPr>
          <w:rFonts w:hint="eastAsia"/>
        </w:rPr>
        <w:t>还鲜有研究关心证券分析</w:t>
      </w:r>
      <w:proofErr w:type="gramStart"/>
      <w:r w:rsidR="009830F9">
        <w:rPr>
          <w:rFonts w:hint="eastAsia"/>
        </w:rPr>
        <w:t>师发布</w:t>
      </w:r>
      <w:proofErr w:type="gramEnd"/>
      <w:r w:rsidR="009830F9">
        <w:rPr>
          <w:rFonts w:hint="eastAsia"/>
        </w:rPr>
        <w:t>报告的时间模式。</w:t>
      </w:r>
      <w:r w:rsidR="00173170">
        <w:rPr>
          <w:rFonts w:hint="eastAsia"/>
        </w:rPr>
        <w:t>在</w:t>
      </w:r>
      <w:r w:rsidR="00173170">
        <w:rPr>
          <w:rFonts w:hint="eastAsia"/>
        </w:rPr>
        <w:t>Guttman</w:t>
      </w:r>
      <w:r w:rsidR="00173170">
        <w:rPr>
          <w:rFonts w:hint="eastAsia"/>
        </w:rPr>
        <w:t>（</w:t>
      </w:r>
      <w:r w:rsidR="00173170">
        <w:rPr>
          <w:rFonts w:hint="eastAsia"/>
        </w:rPr>
        <w:t>2010</w:t>
      </w:r>
      <w:r w:rsidR="00173170">
        <w:rPr>
          <w:rFonts w:hint="eastAsia"/>
        </w:rPr>
        <w:t>）</w:t>
      </w:r>
      <w:r w:rsidR="00173170">
        <w:rPr>
          <w:rStyle w:val="afa"/>
        </w:rPr>
        <w:t>[</w:t>
      </w:r>
      <w:r w:rsidR="00173170">
        <w:rPr>
          <w:rStyle w:val="afa"/>
        </w:rPr>
        <w:endnoteReference w:id="2"/>
      </w:r>
      <w:r w:rsidR="00173170">
        <w:rPr>
          <w:rStyle w:val="afa"/>
        </w:rPr>
        <w:t>]</w:t>
      </w:r>
      <w:r w:rsidR="00173170">
        <w:rPr>
          <w:rFonts w:hint="eastAsia"/>
        </w:rPr>
        <w:t>的理论模型中，引入了两位分析师的时间博弈，他们各自拥有公共信息和一部分非公开信息，市场中的知情交易者从分析师处获得私人信息并据此交易后，这部分非公开信息即被包含在价格当中，非公开信息越精确（价值越大），则知情交易者购买非公开信息的意愿越强烈，但是过早发布报告可能导致分析师遗漏更晚出现的信息，从而导致预测质量的低下，损害分析师及任职券商的声誉，因此分析师需要权衡预测的及时性和精确性以最大化其收益。</w:t>
      </w:r>
    </w:p>
    <w:p w14:paraId="0608B4C8" w14:textId="2AE68BBD" w:rsidR="0001010D" w:rsidRDefault="00D3146E" w:rsidP="009E2CF7">
      <w:pPr>
        <w:spacing w:line="240" w:lineRule="auto"/>
        <w:ind w:firstLine="420"/>
      </w:pPr>
      <w:r>
        <w:rPr>
          <w:rFonts w:hint="eastAsia"/>
        </w:rPr>
        <w:t>此外，</w:t>
      </w:r>
      <w:r w:rsidR="00D27175">
        <w:rPr>
          <w:rFonts w:hint="eastAsia"/>
        </w:rPr>
        <w:t>一些</w:t>
      </w:r>
      <w:r w:rsidR="00592A67">
        <w:rPr>
          <w:rFonts w:hint="eastAsia"/>
        </w:rPr>
        <w:t>研究表明投资者的行为具有时变特征，</w:t>
      </w:r>
      <w:r w:rsidR="00592A67" w:rsidRPr="009830F9">
        <w:rPr>
          <w:rFonts w:hint="eastAsia"/>
        </w:rPr>
        <w:t>Bergman</w:t>
      </w:r>
      <w:r w:rsidR="00592A67" w:rsidRPr="009830F9">
        <w:rPr>
          <w:rFonts w:hint="eastAsia"/>
        </w:rPr>
        <w:t>和</w:t>
      </w:r>
      <w:proofErr w:type="spellStart"/>
      <w:r w:rsidR="00592A67" w:rsidRPr="009830F9">
        <w:rPr>
          <w:rFonts w:hint="eastAsia"/>
        </w:rPr>
        <w:t>Roychowdhury</w:t>
      </w:r>
      <w:proofErr w:type="spellEnd"/>
      <w:r w:rsidR="00592A67" w:rsidRPr="009830F9">
        <w:rPr>
          <w:rFonts w:hint="eastAsia"/>
        </w:rPr>
        <w:t>（</w:t>
      </w:r>
      <w:r w:rsidR="00592A67" w:rsidRPr="009830F9">
        <w:rPr>
          <w:rFonts w:hint="eastAsia"/>
        </w:rPr>
        <w:t>2008</w:t>
      </w:r>
      <w:r w:rsidR="00592A67" w:rsidRPr="009830F9">
        <w:rPr>
          <w:rFonts w:hint="eastAsia"/>
        </w:rPr>
        <w:t>）</w:t>
      </w:r>
      <w:r w:rsidR="00592A67" w:rsidRPr="009830F9">
        <w:rPr>
          <w:rStyle w:val="afa"/>
        </w:rPr>
        <w:t>[</w:t>
      </w:r>
      <w:r w:rsidR="00592A67" w:rsidRPr="009830F9">
        <w:rPr>
          <w:rStyle w:val="afa"/>
        </w:rPr>
        <w:endnoteReference w:id="3"/>
      </w:r>
      <w:r w:rsidR="00592A67" w:rsidRPr="009830F9">
        <w:rPr>
          <w:rStyle w:val="afa"/>
        </w:rPr>
        <w:t>]</w:t>
      </w:r>
      <w:r w:rsidR="00592A67" w:rsidRPr="009830F9">
        <w:rPr>
          <w:rFonts w:hint="eastAsia"/>
        </w:rPr>
        <w:t>首次指出，投资者情绪与分析师预测偏差显著正相关。在投资者情绪较高的时期，投资者更加看好未来的市场形势，从而分析</w:t>
      </w:r>
      <w:proofErr w:type="gramStart"/>
      <w:r w:rsidR="00592A67" w:rsidRPr="009830F9">
        <w:rPr>
          <w:rFonts w:hint="eastAsia"/>
        </w:rPr>
        <w:t>师比较</w:t>
      </w:r>
      <w:proofErr w:type="gramEnd"/>
      <w:r w:rsidR="00592A67" w:rsidRPr="009830F9">
        <w:rPr>
          <w:rFonts w:hint="eastAsia"/>
        </w:rPr>
        <w:t>容易使投资者接受偏乐观的预测，而投资者情绪较低时，分析师则很难扭转投资者对公司价值的低估，另一个侧面的证据是，对于受投资者情绪影响更大的小公司，分析师给出的预测也更加乐观（</w:t>
      </w:r>
      <w:r w:rsidR="00592A67" w:rsidRPr="009830F9">
        <w:t>Qian</w:t>
      </w:r>
      <w:r w:rsidR="00592A67" w:rsidRPr="009830F9">
        <w:rPr>
          <w:rFonts w:hint="eastAsia"/>
        </w:rPr>
        <w:t>，</w:t>
      </w:r>
      <w:r w:rsidR="00592A67" w:rsidRPr="009830F9">
        <w:rPr>
          <w:rFonts w:hint="eastAsia"/>
        </w:rPr>
        <w:t>2009</w:t>
      </w:r>
      <w:r w:rsidR="00592A67" w:rsidRPr="009830F9">
        <w:rPr>
          <w:rFonts w:hint="eastAsia"/>
        </w:rPr>
        <w:t>）</w:t>
      </w:r>
      <w:r w:rsidR="00592A67" w:rsidRPr="009830F9">
        <w:rPr>
          <w:rStyle w:val="afa"/>
        </w:rPr>
        <w:t>[</w:t>
      </w:r>
      <w:bookmarkStart w:id="2" w:name="_Ref510047803"/>
      <w:r w:rsidR="00592A67" w:rsidRPr="009830F9">
        <w:rPr>
          <w:rStyle w:val="afa"/>
        </w:rPr>
        <w:endnoteReference w:id="4"/>
      </w:r>
      <w:bookmarkEnd w:id="2"/>
      <w:r w:rsidR="00592A67" w:rsidRPr="009830F9">
        <w:rPr>
          <w:rStyle w:val="afa"/>
        </w:rPr>
        <w:t>]</w:t>
      </w:r>
      <w:r w:rsidR="00592A67" w:rsidRPr="009830F9">
        <w:rPr>
          <w:rFonts w:hint="eastAsia"/>
        </w:rPr>
        <w:t>。</w:t>
      </w:r>
      <w:r w:rsidR="00864820">
        <w:rPr>
          <w:rFonts w:hint="eastAsia"/>
        </w:rPr>
        <w:t>考虑到</w:t>
      </w:r>
      <w:r>
        <w:rPr>
          <w:rFonts w:hint="eastAsia"/>
        </w:rPr>
        <w:t>证券分析师的收益主要来源于机构投资者的佣金分仓</w:t>
      </w:r>
      <w:r w:rsidR="0001010D">
        <w:rPr>
          <w:rFonts w:hint="eastAsia"/>
        </w:rPr>
        <w:t>，报告的发布时间应当是证券分析师在工作中需要慎重考虑的一个因素。</w:t>
      </w:r>
    </w:p>
    <w:p w14:paraId="170C1921" w14:textId="0F7F8976" w:rsidR="009A2669" w:rsidRDefault="0001010D" w:rsidP="009E2CF7">
      <w:pPr>
        <w:spacing w:line="240" w:lineRule="auto"/>
        <w:ind w:firstLine="420"/>
      </w:pPr>
      <w:r>
        <w:rPr>
          <w:rFonts w:hint="eastAsia"/>
        </w:rPr>
        <w:t>围绕这一主题，本文拟在借鉴国内外相关研究的基础上，</w:t>
      </w:r>
      <w:r w:rsidR="00FC7752">
        <w:rPr>
          <w:rFonts w:hint="eastAsia"/>
        </w:rPr>
        <w:t>利用中国</w:t>
      </w:r>
      <w:r w:rsidR="00FC7752">
        <w:rPr>
          <w:rFonts w:hint="eastAsia"/>
        </w:rPr>
        <w:t>A</w:t>
      </w:r>
      <w:r w:rsidR="00FC7752">
        <w:rPr>
          <w:rFonts w:hint="eastAsia"/>
        </w:rPr>
        <w:t>股市场的数据进行实证分析，</w:t>
      </w:r>
      <w:r>
        <w:rPr>
          <w:rFonts w:hint="eastAsia"/>
        </w:rPr>
        <w:t>回答</w:t>
      </w:r>
      <w:r w:rsidR="00D3146E">
        <w:rPr>
          <w:rFonts w:hint="eastAsia"/>
        </w:rPr>
        <w:t>几个</w:t>
      </w:r>
      <w:r>
        <w:rPr>
          <w:rFonts w:hint="eastAsia"/>
        </w:rPr>
        <w:t>主要的问题：证券分析师是否就研究报告的发布进行择时？如果证券分析师的确存在择时行为，</w:t>
      </w:r>
      <w:r w:rsidR="00D3146E">
        <w:rPr>
          <w:rFonts w:hint="eastAsia"/>
        </w:rPr>
        <w:t>是什么</w:t>
      </w:r>
      <w:r>
        <w:rPr>
          <w:rFonts w:hint="eastAsia"/>
        </w:rPr>
        <w:t>因素影响</w:t>
      </w:r>
      <w:r w:rsidR="00D3146E">
        <w:rPr>
          <w:rFonts w:hint="eastAsia"/>
        </w:rPr>
        <w:t>了</w:t>
      </w:r>
      <w:r>
        <w:rPr>
          <w:rFonts w:hint="eastAsia"/>
        </w:rPr>
        <w:t>分析师群体的择时决策？</w:t>
      </w:r>
      <w:r w:rsidR="00944CCA">
        <w:rPr>
          <w:rFonts w:hint="eastAsia"/>
        </w:rPr>
        <w:t>择时行为的效果如何？</w:t>
      </w:r>
      <w:r w:rsidR="00D3146E">
        <w:rPr>
          <w:rFonts w:hint="eastAsia"/>
        </w:rPr>
        <w:t>市场能够识别分析师的择时行为吗？</w:t>
      </w:r>
      <w:r w:rsidR="002E10FD">
        <w:rPr>
          <w:rFonts w:hint="eastAsia"/>
        </w:rPr>
        <w:t>以</w:t>
      </w:r>
      <w:r w:rsidR="00FC7752">
        <w:rPr>
          <w:rFonts w:hint="eastAsia"/>
        </w:rPr>
        <w:t>丰富分析师盈余预测和股票评级的相关文献，并为分析师</w:t>
      </w:r>
      <w:r w:rsidR="00D3146E">
        <w:rPr>
          <w:rFonts w:hint="eastAsia"/>
        </w:rPr>
        <w:t>研究</w:t>
      </w:r>
      <w:r w:rsidR="00FC7752">
        <w:rPr>
          <w:rFonts w:hint="eastAsia"/>
        </w:rPr>
        <w:t>报告的使用者、证券市场监管者提供一定的理论依据。</w:t>
      </w:r>
    </w:p>
    <w:p w14:paraId="07C1AB61" w14:textId="59DF077F" w:rsidR="00E41C7C" w:rsidRDefault="00BD7889" w:rsidP="009E2CF7">
      <w:pPr>
        <w:pStyle w:val="1"/>
        <w:spacing w:line="240" w:lineRule="auto"/>
      </w:pPr>
      <w:bookmarkStart w:id="3" w:name="_Toc510120294"/>
      <w:bookmarkStart w:id="4" w:name="_Toc510121700"/>
      <w:bookmarkStart w:id="5" w:name="_Toc510124627"/>
      <w:bookmarkStart w:id="6" w:name="_Toc510124764"/>
      <w:r>
        <w:rPr>
          <w:rFonts w:hint="eastAsia"/>
        </w:rPr>
        <w:t>研究综述</w:t>
      </w:r>
      <w:bookmarkEnd w:id="3"/>
      <w:bookmarkEnd w:id="4"/>
      <w:bookmarkEnd w:id="5"/>
      <w:bookmarkEnd w:id="6"/>
    </w:p>
    <w:p w14:paraId="06F1C378" w14:textId="7A8EC477" w:rsidR="00592A67" w:rsidRDefault="005F7048" w:rsidP="009E2CF7">
      <w:pPr>
        <w:spacing w:line="240" w:lineRule="auto"/>
        <w:ind w:firstLine="420"/>
      </w:pPr>
      <w:r>
        <w:rPr>
          <w:rFonts w:hint="eastAsia"/>
        </w:rPr>
        <w:t>证券分析师</w:t>
      </w:r>
      <w:r w:rsidR="00EC6F06">
        <w:rPr>
          <w:rFonts w:hint="eastAsia"/>
        </w:rPr>
        <w:t>这一</w:t>
      </w:r>
      <w:r>
        <w:rPr>
          <w:rFonts w:hint="eastAsia"/>
        </w:rPr>
        <w:t>行业在国外已有数十年的发展历史，</w:t>
      </w:r>
      <w:r w:rsidR="002D4999">
        <w:rPr>
          <w:rFonts w:hint="eastAsia"/>
        </w:rPr>
        <w:t>早期相关文献也</w:t>
      </w:r>
      <w:r w:rsidR="00EC3DA2">
        <w:rPr>
          <w:rFonts w:hint="eastAsia"/>
        </w:rPr>
        <w:t>主要</w:t>
      </w:r>
      <w:r w:rsidR="002D4999">
        <w:rPr>
          <w:rFonts w:hint="eastAsia"/>
        </w:rPr>
        <w:t>来自欧美等资本市场比较发达的国家和地区</w:t>
      </w:r>
      <w:r w:rsidR="00EC6F06">
        <w:rPr>
          <w:rFonts w:hint="eastAsia"/>
        </w:rPr>
        <w:t>，直到</w:t>
      </w:r>
      <w:r w:rsidR="002E07D0">
        <w:rPr>
          <w:rFonts w:hint="eastAsia"/>
        </w:rPr>
        <w:t>2000</w:t>
      </w:r>
      <w:r w:rsidR="002E07D0">
        <w:rPr>
          <w:rFonts w:hint="eastAsia"/>
        </w:rPr>
        <w:t>年以后，国内才逐渐开始出现针对分析师预测行为的研究</w:t>
      </w:r>
      <w:r w:rsidR="00EC6F06">
        <w:rPr>
          <w:rFonts w:hint="eastAsia"/>
        </w:rPr>
        <w:t>。</w:t>
      </w:r>
      <w:r w:rsidR="002D4999">
        <w:rPr>
          <w:rFonts w:hint="eastAsia"/>
        </w:rPr>
        <w:t>对证券分析师的研究</w:t>
      </w:r>
      <w:r w:rsidR="008B3AFF">
        <w:rPr>
          <w:rFonts w:hint="eastAsia"/>
        </w:rPr>
        <w:t>基本</w:t>
      </w:r>
      <w:r w:rsidR="002E07D0">
        <w:rPr>
          <w:rFonts w:hint="eastAsia"/>
        </w:rPr>
        <w:t>围绕着盈余预测展开，</w:t>
      </w:r>
      <w:r w:rsidR="00592A67">
        <w:rPr>
          <w:rFonts w:hint="eastAsia"/>
        </w:rPr>
        <w:t>许多关于分析师预测质量的研究</w:t>
      </w:r>
      <w:r w:rsidR="00592A67">
        <w:rPr>
          <w:rFonts w:hint="eastAsia"/>
        </w:rPr>
        <w:lastRenderedPageBreak/>
        <w:t>发现</w:t>
      </w:r>
      <w:r w:rsidR="00892CEF">
        <w:rPr>
          <w:rFonts w:hint="eastAsia"/>
        </w:rPr>
        <w:t>，</w:t>
      </w:r>
      <w:r w:rsidR="00592A67">
        <w:rPr>
          <w:rFonts w:hint="eastAsia"/>
        </w:rPr>
        <w:t>随着时间推移</w:t>
      </w:r>
      <w:r w:rsidR="00892CEF">
        <w:rPr>
          <w:rFonts w:hint="eastAsia"/>
        </w:rPr>
        <w:t>，</w:t>
      </w:r>
      <w:r w:rsidR="00592A67">
        <w:rPr>
          <w:rFonts w:hint="eastAsia"/>
        </w:rPr>
        <w:t>分析师预测的准确性也逐渐提高，分析师预测的优势源于分析</w:t>
      </w:r>
      <w:proofErr w:type="gramStart"/>
      <w:r w:rsidR="00592A67">
        <w:rPr>
          <w:rFonts w:hint="eastAsia"/>
        </w:rPr>
        <w:t>师能够</w:t>
      </w:r>
      <w:proofErr w:type="gramEnd"/>
      <w:r w:rsidR="00592A67">
        <w:rPr>
          <w:rFonts w:hint="eastAsia"/>
        </w:rPr>
        <w:t>使用最新的信息，预测发布越晚，则可用的信息越多（</w:t>
      </w:r>
      <w:r w:rsidR="00592A67">
        <w:rPr>
          <w:rFonts w:hint="eastAsia"/>
        </w:rPr>
        <w:t>Brown</w:t>
      </w:r>
      <w:r w:rsidR="00592A67">
        <w:rPr>
          <w:rFonts w:hint="eastAsia"/>
        </w:rPr>
        <w:t>等，</w:t>
      </w:r>
      <w:r w:rsidR="00592A67">
        <w:rPr>
          <w:rFonts w:hint="eastAsia"/>
        </w:rPr>
        <w:t>1987</w:t>
      </w:r>
      <w:r w:rsidR="00592A67">
        <w:rPr>
          <w:rFonts w:hint="eastAsia"/>
        </w:rPr>
        <w:t>）</w:t>
      </w:r>
      <w:r w:rsidR="00592A67">
        <w:rPr>
          <w:rStyle w:val="afa"/>
        </w:rPr>
        <w:t>[</w:t>
      </w:r>
      <w:r w:rsidR="00592A67">
        <w:rPr>
          <w:rStyle w:val="afa"/>
        </w:rPr>
        <w:endnoteReference w:id="5"/>
      </w:r>
      <w:r w:rsidR="00592A67">
        <w:rPr>
          <w:rStyle w:val="afa"/>
        </w:rPr>
        <w:t>]</w:t>
      </w:r>
      <w:r w:rsidR="00592A67">
        <w:rPr>
          <w:rFonts w:hint="eastAsia"/>
        </w:rPr>
        <w:t>，</w:t>
      </w:r>
      <w:r w:rsidR="00592A67">
        <w:t>C</w:t>
      </w:r>
      <w:r w:rsidR="00592A67">
        <w:rPr>
          <w:rFonts w:hint="eastAsia"/>
        </w:rPr>
        <w:t>ooper</w:t>
      </w:r>
      <w:r w:rsidR="00592A67">
        <w:rPr>
          <w:rFonts w:hint="eastAsia"/>
        </w:rPr>
        <w:t>等（</w:t>
      </w:r>
      <w:r w:rsidR="00592A67">
        <w:rPr>
          <w:rFonts w:hint="eastAsia"/>
        </w:rPr>
        <w:t>2001</w:t>
      </w:r>
      <w:r w:rsidR="00592A67">
        <w:rPr>
          <w:rFonts w:hint="eastAsia"/>
        </w:rPr>
        <w:t>）</w:t>
      </w:r>
      <w:r w:rsidR="00592A67">
        <w:rPr>
          <w:rStyle w:val="afa"/>
        </w:rPr>
        <w:t>[</w:t>
      </w:r>
      <w:r w:rsidR="00592A67">
        <w:rPr>
          <w:rStyle w:val="afa"/>
        </w:rPr>
        <w:endnoteReference w:id="6"/>
      </w:r>
      <w:r w:rsidR="00592A67">
        <w:rPr>
          <w:rStyle w:val="afa"/>
        </w:rPr>
        <w:t>]</w:t>
      </w:r>
      <w:r w:rsidR="00592A67">
        <w:rPr>
          <w:rFonts w:hint="eastAsia"/>
        </w:rPr>
        <w:t>基于报告发布的及时性对分析师进行绩效排名，发现领先发布预测的分析师对股价的影响更大，侧面印证了市场对于分析</w:t>
      </w:r>
      <w:proofErr w:type="gramStart"/>
      <w:r w:rsidR="00592A67">
        <w:rPr>
          <w:rFonts w:hint="eastAsia"/>
        </w:rPr>
        <w:t>师发布</w:t>
      </w:r>
      <w:proofErr w:type="gramEnd"/>
      <w:r w:rsidR="00592A67">
        <w:rPr>
          <w:rFonts w:hint="eastAsia"/>
        </w:rPr>
        <w:t>预测的领先</w:t>
      </w:r>
      <w:proofErr w:type="gramStart"/>
      <w:r w:rsidR="00592A67">
        <w:rPr>
          <w:rFonts w:hint="eastAsia"/>
        </w:rPr>
        <w:t>度给予</w:t>
      </w:r>
      <w:proofErr w:type="gramEnd"/>
      <w:r w:rsidR="00592A67">
        <w:rPr>
          <w:rFonts w:hint="eastAsia"/>
        </w:rPr>
        <w:t>一定程度的定价。这些结论是推动其他学者对分析师预测时间模式进行研究的主要动因。</w:t>
      </w:r>
    </w:p>
    <w:p w14:paraId="5B937087" w14:textId="513A0F90" w:rsidR="00173170" w:rsidRPr="00AF25C1" w:rsidRDefault="00592A67" w:rsidP="009E2CF7">
      <w:pPr>
        <w:spacing w:line="240" w:lineRule="auto"/>
        <w:ind w:firstLine="420"/>
      </w:pPr>
      <w:proofErr w:type="spellStart"/>
      <w:r w:rsidRPr="00C55AF4">
        <w:t>I</w:t>
      </w:r>
      <w:r w:rsidRPr="00C55AF4">
        <w:rPr>
          <w:rFonts w:hint="eastAsia"/>
        </w:rPr>
        <w:t>vkovic</w:t>
      </w:r>
      <w:proofErr w:type="spellEnd"/>
      <w:r w:rsidRPr="00C55AF4">
        <w:rPr>
          <w:rFonts w:hint="eastAsia"/>
        </w:rPr>
        <w:t>和</w:t>
      </w:r>
      <w:proofErr w:type="spellStart"/>
      <w:r w:rsidRPr="00C55AF4">
        <w:rPr>
          <w:rFonts w:hint="eastAsia"/>
        </w:rPr>
        <w:t>Jegadeesh</w:t>
      </w:r>
      <w:proofErr w:type="spellEnd"/>
      <w:r w:rsidRPr="00C55AF4">
        <w:rPr>
          <w:rFonts w:hint="eastAsia"/>
        </w:rPr>
        <w:t>（</w:t>
      </w:r>
      <w:r w:rsidRPr="00C55AF4">
        <w:rPr>
          <w:rFonts w:hint="eastAsia"/>
        </w:rPr>
        <w:t>2004</w:t>
      </w:r>
      <w:r w:rsidRPr="00C55AF4">
        <w:rPr>
          <w:rFonts w:hint="eastAsia"/>
        </w:rPr>
        <w:t>）</w:t>
      </w:r>
      <w:r>
        <w:rPr>
          <w:rStyle w:val="afa"/>
        </w:rPr>
        <w:t>[</w:t>
      </w:r>
      <w:bookmarkStart w:id="7" w:name="_Ref510047870"/>
      <w:r w:rsidRPr="00C55AF4">
        <w:rPr>
          <w:rStyle w:val="afa"/>
        </w:rPr>
        <w:endnoteReference w:id="7"/>
      </w:r>
      <w:bookmarkEnd w:id="7"/>
      <w:r>
        <w:rPr>
          <w:rStyle w:val="afa"/>
        </w:rPr>
        <w:t>]</w:t>
      </w:r>
      <w:r w:rsidR="00F30597">
        <w:rPr>
          <w:rFonts w:hint="eastAsia"/>
        </w:rPr>
        <w:t>从</w:t>
      </w:r>
      <w:r w:rsidR="00F30597" w:rsidRPr="00C55AF4">
        <w:rPr>
          <w:rFonts w:hint="eastAsia"/>
        </w:rPr>
        <w:t>分析师</w:t>
      </w:r>
      <w:r w:rsidR="00F30597">
        <w:rPr>
          <w:rFonts w:hint="eastAsia"/>
        </w:rPr>
        <w:t>报告相对于</w:t>
      </w:r>
      <w:r w:rsidR="00F30597" w:rsidRPr="00C55AF4">
        <w:rPr>
          <w:rFonts w:hint="eastAsia"/>
        </w:rPr>
        <w:t>公司财务报告</w:t>
      </w:r>
      <w:r w:rsidR="00F30597">
        <w:rPr>
          <w:rFonts w:hint="eastAsia"/>
        </w:rPr>
        <w:t>的发布时间出发</w:t>
      </w:r>
      <w:r w:rsidR="00F30597" w:rsidRPr="00C55AF4">
        <w:rPr>
          <w:rFonts w:hint="eastAsia"/>
        </w:rPr>
        <w:t>，</w:t>
      </w:r>
      <w:r w:rsidRPr="00C55AF4">
        <w:rPr>
          <w:rFonts w:hint="eastAsia"/>
        </w:rPr>
        <w:t>探究</w:t>
      </w:r>
      <w:r>
        <w:rPr>
          <w:rFonts w:hint="eastAsia"/>
        </w:rPr>
        <w:t>了</w:t>
      </w:r>
      <w:r w:rsidRPr="00C55AF4">
        <w:rPr>
          <w:rFonts w:hint="eastAsia"/>
        </w:rPr>
        <w:t>分析师价值的来源，认为分析师对于财务报告的解读能力并</w:t>
      </w:r>
      <w:r w:rsidR="00892CEF">
        <w:rPr>
          <w:rFonts w:hint="eastAsia"/>
        </w:rPr>
        <w:t>不</w:t>
      </w:r>
      <w:r w:rsidRPr="00C55AF4">
        <w:rPr>
          <w:rFonts w:hint="eastAsia"/>
        </w:rPr>
        <w:t>强于市场，但其在收集和处理信息方面仍然提供了价值。</w:t>
      </w:r>
      <w:r>
        <w:rPr>
          <w:rFonts w:hint="eastAsia"/>
        </w:rPr>
        <w:t>薛祖云和王冲（</w:t>
      </w:r>
      <w:r>
        <w:rPr>
          <w:rFonts w:hint="eastAsia"/>
        </w:rPr>
        <w:t>2011</w:t>
      </w:r>
      <w:r>
        <w:rPr>
          <w:rFonts w:hint="eastAsia"/>
        </w:rPr>
        <w:t>）</w:t>
      </w:r>
      <w:r>
        <w:rPr>
          <w:rStyle w:val="afa"/>
        </w:rPr>
        <w:t>[</w:t>
      </w:r>
      <w:r>
        <w:rPr>
          <w:rStyle w:val="afa"/>
        </w:rPr>
        <w:endnoteReference w:id="8"/>
      </w:r>
      <w:r>
        <w:rPr>
          <w:rStyle w:val="afa"/>
        </w:rPr>
        <w:t>]</w:t>
      </w:r>
      <w:r>
        <w:rPr>
          <w:rFonts w:hint="eastAsia"/>
        </w:rPr>
        <w:t>认为分析师的行为模式在公司的财务报告发布前后存在差异，分析师倾向于选择在公司财务报告公布前向市场披露尚未披露的信息，而在公司财务报告公布后对报告</w:t>
      </w:r>
      <w:r w:rsidRPr="00AF25C1">
        <w:rPr>
          <w:rFonts w:hint="eastAsia"/>
        </w:rPr>
        <w:t>进行解读。</w:t>
      </w:r>
    </w:p>
    <w:p w14:paraId="202B367D" w14:textId="3E7B02D4" w:rsidR="0054005C" w:rsidRPr="008022F8" w:rsidRDefault="00F30597" w:rsidP="009E2CF7">
      <w:pPr>
        <w:spacing w:line="240" w:lineRule="auto"/>
        <w:ind w:firstLine="420"/>
      </w:pPr>
      <w:r>
        <w:rPr>
          <w:rFonts w:hint="eastAsia"/>
        </w:rPr>
        <w:t>另一方面，部分学者</w:t>
      </w:r>
      <w:r w:rsidR="004A3CBB" w:rsidRPr="004A3CBB">
        <w:rPr>
          <w:rFonts w:hint="eastAsia"/>
        </w:rPr>
        <w:t>从分析</w:t>
      </w:r>
      <w:proofErr w:type="gramStart"/>
      <w:r w:rsidR="004A3CBB" w:rsidRPr="004A3CBB">
        <w:rPr>
          <w:rFonts w:hint="eastAsia"/>
        </w:rPr>
        <w:t>师报告</w:t>
      </w:r>
      <w:proofErr w:type="gramEnd"/>
      <w:r w:rsidR="004A3CBB" w:rsidRPr="004A3CBB">
        <w:rPr>
          <w:rFonts w:hint="eastAsia"/>
        </w:rPr>
        <w:t>的</w:t>
      </w:r>
      <w:r w:rsidR="006801CC" w:rsidRPr="004A3CBB">
        <w:t>信息含量及市场反应</w:t>
      </w:r>
      <w:r w:rsidR="004A3CBB" w:rsidRPr="004A3CBB">
        <w:rPr>
          <w:rFonts w:hint="eastAsia"/>
        </w:rPr>
        <w:t>出发</w:t>
      </w:r>
      <w:r w:rsidR="004C2EFD">
        <w:rPr>
          <w:rFonts w:hint="eastAsia"/>
        </w:rPr>
        <w:t>评价</w:t>
      </w:r>
      <w:r>
        <w:rPr>
          <w:rFonts w:hint="eastAsia"/>
        </w:rPr>
        <w:t>了分析师预测的有效性</w:t>
      </w:r>
      <w:r w:rsidR="004A3CBB" w:rsidRPr="004A3CBB">
        <w:rPr>
          <w:rFonts w:hint="eastAsia"/>
        </w:rPr>
        <w:t>，</w:t>
      </w:r>
      <w:r>
        <w:rPr>
          <w:rFonts w:hint="eastAsia"/>
        </w:rPr>
        <w:t>通过</w:t>
      </w:r>
      <w:r w:rsidR="006801CC" w:rsidRPr="004A3CBB">
        <w:t>考察报告发布后的股票价格同步性</w:t>
      </w:r>
      <w:r w:rsidR="00FA7DD7">
        <w:rPr>
          <w:rStyle w:val="afd"/>
        </w:rPr>
        <w:footnoteReference w:id="1"/>
      </w:r>
      <w:r w:rsidR="006801CC" w:rsidRPr="004A3CBB">
        <w:t>、股票超额收益率等指标</w:t>
      </w:r>
      <w:r w:rsidR="006801CC" w:rsidRPr="004A3CBB">
        <w:rPr>
          <w:rFonts w:hint="eastAsia"/>
        </w:rPr>
        <w:t>，从而判断证券分析师</w:t>
      </w:r>
      <w:r w:rsidR="00586F79">
        <w:rPr>
          <w:rFonts w:hint="eastAsia"/>
        </w:rPr>
        <w:t>预测</w:t>
      </w:r>
      <w:r w:rsidR="006801CC" w:rsidRPr="004A3CBB">
        <w:rPr>
          <w:rFonts w:hint="eastAsia"/>
        </w:rPr>
        <w:t>是否向市场提供了增量信息</w:t>
      </w:r>
      <w:r w:rsidR="006801CC" w:rsidRPr="004A3CBB">
        <w:t>。</w:t>
      </w:r>
      <w:r w:rsidR="004C2EFD">
        <w:rPr>
          <w:rFonts w:hint="eastAsia"/>
        </w:rPr>
        <w:t>对</w:t>
      </w:r>
      <w:r w:rsidR="00173170">
        <w:rPr>
          <w:rFonts w:hint="eastAsia"/>
        </w:rPr>
        <w:t>分析师预测是否具有投资价值，大部分研究结果都给出了比较肯定的结果</w:t>
      </w:r>
      <w:r w:rsidR="00173170">
        <w:rPr>
          <w:rStyle w:val="afa"/>
        </w:rPr>
        <w:t>[</w:t>
      </w:r>
      <w:r w:rsidR="00173170">
        <w:rPr>
          <w:rStyle w:val="afa"/>
        </w:rPr>
        <w:endnoteReference w:id="9"/>
      </w:r>
      <w:r w:rsidR="00173170">
        <w:rPr>
          <w:rStyle w:val="afa"/>
        </w:rPr>
        <w:t>][</w:t>
      </w:r>
      <w:r w:rsidR="00173170">
        <w:rPr>
          <w:rStyle w:val="afa"/>
        </w:rPr>
        <w:endnoteReference w:id="10"/>
      </w:r>
      <w:r w:rsidR="00173170">
        <w:rPr>
          <w:rStyle w:val="afa"/>
        </w:rPr>
        <w:t>][</w:t>
      </w:r>
      <w:bookmarkStart w:id="8" w:name="_Ref510047882"/>
      <w:r w:rsidR="00173170">
        <w:rPr>
          <w:rStyle w:val="afa"/>
        </w:rPr>
        <w:endnoteReference w:id="11"/>
      </w:r>
      <w:bookmarkEnd w:id="8"/>
      <w:r w:rsidR="00173170">
        <w:rPr>
          <w:rStyle w:val="afa"/>
        </w:rPr>
        <w:t>]</w:t>
      </w:r>
      <w:r w:rsidRPr="00F30597">
        <w:rPr>
          <w:rStyle w:val="afa"/>
          <w:rFonts w:hint="eastAsia"/>
          <w:vertAlign w:val="baseline"/>
        </w:rPr>
        <w:t>。</w:t>
      </w:r>
      <w:r w:rsidR="00173170">
        <w:rPr>
          <w:rFonts w:hint="eastAsia"/>
        </w:rPr>
        <w:t>但分析师预测的投资价值存</w:t>
      </w:r>
      <w:r w:rsidR="00173170" w:rsidRPr="00EE6484">
        <w:rPr>
          <w:rFonts w:hint="eastAsia"/>
        </w:rPr>
        <w:t>在群体间差异，</w:t>
      </w:r>
      <w:r w:rsidR="00173170">
        <w:rPr>
          <w:rFonts w:hint="eastAsia"/>
        </w:rPr>
        <w:t>来自国外的实证研究表明明星分析师的预测与评级相比非明星分析师有更高的投资价值</w:t>
      </w:r>
      <w:r w:rsidR="00173170">
        <w:rPr>
          <w:rStyle w:val="afa"/>
        </w:rPr>
        <w:t>[</w:t>
      </w:r>
      <w:r w:rsidR="00173170">
        <w:rPr>
          <w:rStyle w:val="afa"/>
        </w:rPr>
        <w:endnoteReference w:id="12"/>
      </w:r>
      <w:r w:rsidR="00173170">
        <w:rPr>
          <w:rStyle w:val="afa"/>
        </w:rPr>
        <w:t>]</w:t>
      </w:r>
      <w:r w:rsidR="00173170">
        <w:rPr>
          <w:rFonts w:hint="eastAsia"/>
        </w:rPr>
        <w:t>，在中国观测到的现象则相反</w:t>
      </w:r>
      <w:r w:rsidR="00173170">
        <w:rPr>
          <w:rStyle w:val="afa"/>
        </w:rPr>
        <w:t>[</w:t>
      </w:r>
      <w:r w:rsidR="00173170" w:rsidRPr="00EE6484">
        <w:rPr>
          <w:rStyle w:val="afa"/>
        </w:rPr>
        <w:endnoteReference w:id="13"/>
      </w:r>
      <w:r w:rsidR="00173170">
        <w:rPr>
          <w:rStyle w:val="afa"/>
        </w:rPr>
        <w:t>][</w:t>
      </w:r>
      <w:r w:rsidR="00173170" w:rsidRPr="00EE6484">
        <w:rPr>
          <w:rStyle w:val="afa"/>
        </w:rPr>
        <w:endnoteReference w:id="14"/>
      </w:r>
      <w:r w:rsidR="00173170">
        <w:rPr>
          <w:rStyle w:val="afa"/>
        </w:rPr>
        <w:t>]</w:t>
      </w:r>
      <w:r w:rsidRPr="00F30597">
        <w:rPr>
          <w:rStyle w:val="afa"/>
          <w:rFonts w:hint="eastAsia"/>
          <w:vertAlign w:val="baseline"/>
        </w:rPr>
        <w:t>，</w:t>
      </w:r>
      <w:r w:rsidR="008022F8" w:rsidRPr="008022F8">
        <w:rPr>
          <w:rFonts w:hint="eastAsia"/>
        </w:rPr>
        <w:t>罗衎</w:t>
      </w:r>
      <w:r w:rsidR="008022F8">
        <w:rPr>
          <w:rFonts w:hint="eastAsia"/>
        </w:rPr>
        <w:t>等（</w:t>
      </w:r>
      <w:r w:rsidR="008022F8">
        <w:rPr>
          <w:rFonts w:hint="eastAsia"/>
        </w:rPr>
        <w:t>2017</w:t>
      </w:r>
      <w:r w:rsidR="008022F8">
        <w:rPr>
          <w:rFonts w:hint="eastAsia"/>
        </w:rPr>
        <w:t>）</w:t>
      </w:r>
      <w:r w:rsidR="00EE48D6">
        <w:rPr>
          <w:rStyle w:val="afa"/>
        </w:rPr>
        <w:t>[</w:t>
      </w:r>
      <w:bookmarkStart w:id="9" w:name="_Ref511743163"/>
      <w:r w:rsidR="00EE48D6">
        <w:rPr>
          <w:rStyle w:val="afa"/>
        </w:rPr>
        <w:endnoteReference w:id="15"/>
      </w:r>
      <w:bookmarkEnd w:id="9"/>
      <w:r w:rsidR="00EE48D6">
        <w:rPr>
          <w:rStyle w:val="afa"/>
        </w:rPr>
        <w:t>]</w:t>
      </w:r>
      <w:r w:rsidR="008022F8">
        <w:rPr>
          <w:rFonts w:hint="eastAsia"/>
        </w:rPr>
        <w:t>使用高频数据进行的微观结构实证研究则发现，因为我国的噪声交易者比例高，因此分析</w:t>
      </w:r>
      <w:proofErr w:type="gramStart"/>
      <w:r w:rsidR="008022F8">
        <w:rPr>
          <w:rFonts w:hint="eastAsia"/>
        </w:rPr>
        <w:t>师报告</w:t>
      </w:r>
      <w:proofErr w:type="gramEnd"/>
      <w:r w:rsidR="008022F8">
        <w:rPr>
          <w:rFonts w:hint="eastAsia"/>
        </w:rPr>
        <w:t>通过提高投资者关注度增加流动性是产生超额收益率的主要原因。</w:t>
      </w:r>
    </w:p>
    <w:p w14:paraId="5EEB8AB2" w14:textId="447DDA28" w:rsidR="0034587D" w:rsidRDefault="00BA2AA2" w:rsidP="009E2CF7">
      <w:pPr>
        <w:spacing w:line="240" w:lineRule="auto"/>
        <w:ind w:firstLine="420"/>
      </w:pPr>
      <w:r>
        <w:rPr>
          <w:rFonts w:hint="eastAsia"/>
        </w:rPr>
        <w:t>分析师对于同步性的影响则结果不一。</w:t>
      </w:r>
      <w:r w:rsidR="006408EE" w:rsidRPr="006408EE">
        <w:rPr>
          <w:rFonts w:hint="eastAsia"/>
        </w:rPr>
        <w:t>Chan</w:t>
      </w:r>
      <w:r w:rsidR="006408EE" w:rsidRPr="006408EE">
        <w:rPr>
          <w:rFonts w:hint="eastAsia"/>
        </w:rPr>
        <w:t>和</w:t>
      </w:r>
      <w:r w:rsidR="006408EE" w:rsidRPr="006408EE">
        <w:rPr>
          <w:rFonts w:hint="eastAsia"/>
        </w:rPr>
        <w:t>Hameed</w:t>
      </w:r>
      <w:r w:rsidR="006408EE" w:rsidRPr="006408EE">
        <w:rPr>
          <w:rFonts w:hint="eastAsia"/>
        </w:rPr>
        <w:t>（</w:t>
      </w:r>
      <w:r w:rsidR="006408EE" w:rsidRPr="006408EE">
        <w:rPr>
          <w:rFonts w:hint="eastAsia"/>
        </w:rPr>
        <w:t>2006</w:t>
      </w:r>
      <w:r w:rsidR="006408EE" w:rsidRPr="006408EE">
        <w:rPr>
          <w:rFonts w:hint="eastAsia"/>
        </w:rPr>
        <w:t>）</w:t>
      </w:r>
      <w:r w:rsidR="00EE48D6">
        <w:rPr>
          <w:rStyle w:val="afa"/>
        </w:rPr>
        <w:t>[</w:t>
      </w:r>
      <w:bookmarkStart w:id="10" w:name="_Ref510047178"/>
      <w:r w:rsidR="00EE48D6">
        <w:rPr>
          <w:rStyle w:val="afa"/>
        </w:rPr>
        <w:endnoteReference w:id="16"/>
      </w:r>
      <w:bookmarkEnd w:id="10"/>
      <w:r w:rsidR="00EE48D6">
        <w:rPr>
          <w:rStyle w:val="afa"/>
        </w:rPr>
        <w:t>]</w:t>
      </w:r>
      <w:r w:rsidR="000D3997">
        <w:rPr>
          <w:rFonts w:hint="eastAsia"/>
        </w:rPr>
        <w:t>针对</w:t>
      </w:r>
      <w:r w:rsidR="006408EE" w:rsidRPr="006408EE">
        <w:rPr>
          <w:rFonts w:hint="eastAsia"/>
        </w:rPr>
        <w:t>新兴证券市场</w:t>
      </w:r>
      <w:r w:rsidR="000D3997">
        <w:rPr>
          <w:rFonts w:hint="eastAsia"/>
        </w:rPr>
        <w:t>的</w:t>
      </w:r>
      <w:r w:rsidR="006408EE" w:rsidRPr="006408EE">
        <w:rPr>
          <w:rFonts w:hint="eastAsia"/>
        </w:rPr>
        <w:t>实证研究发现分析师</w:t>
      </w:r>
      <w:r>
        <w:rPr>
          <w:rFonts w:hint="eastAsia"/>
        </w:rPr>
        <w:t>跟踪人数</w:t>
      </w:r>
      <w:r w:rsidR="006408EE" w:rsidRPr="006408EE">
        <w:rPr>
          <w:rFonts w:hint="eastAsia"/>
        </w:rPr>
        <w:t>越多的公司股价同步性越强，当分析师盈余预测分歧程度提高时，分析师跟随对价格同步性的影响减弱</w:t>
      </w:r>
      <w:r>
        <w:rPr>
          <w:rFonts w:hint="eastAsia"/>
        </w:rPr>
        <w:t>，他们</w:t>
      </w:r>
      <w:r w:rsidR="006408EE" w:rsidRPr="006408EE">
        <w:rPr>
          <w:rFonts w:hint="eastAsia"/>
        </w:rPr>
        <w:t>认为这是由于新兴市场信息披露不充分，公司信息缺乏透明度</w:t>
      </w:r>
      <w:r>
        <w:rPr>
          <w:rFonts w:hint="eastAsia"/>
        </w:rPr>
        <w:t>，</w:t>
      </w:r>
      <w:r w:rsidR="006408EE" w:rsidRPr="006408EE">
        <w:rPr>
          <w:rFonts w:hint="eastAsia"/>
        </w:rPr>
        <w:t>增加了分析师的信息收集成本。</w:t>
      </w:r>
      <w:r>
        <w:rPr>
          <w:rFonts w:hint="eastAsia"/>
        </w:rPr>
        <w:t>国内比较早期的研究</w:t>
      </w:r>
      <w:r w:rsidR="00363B0A">
        <w:rPr>
          <w:rFonts w:hint="eastAsia"/>
        </w:rPr>
        <w:t>发现</w:t>
      </w:r>
      <w:r>
        <w:rPr>
          <w:rFonts w:hint="eastAsia"/>
        </w:rPr>
        <w:t>分析师跟踪人数增加时</w:t>
      </w:r>
      <w:r w:rsidR="00363B0A">
        <w:rPr>
          <w:rFonts w:hint="eastAsia"/>
        </w:rPr>
        <w:t>股票同步性下降，同时盈余公告后漂移现象减弱，这意味着分析师跟踪提高了</w:t>
      </w:r>
      <w:r>
        <w:rPr>
          <w:rFonts w:hint="eastAsia"/>
        </w:rPr>
        <w:t>价格的信息含量</w:t>
      </w:r>
      <w:r w:rsidR="00363B0A">
        <w:rPr>
          <w:rFonts w:hint="eastAsia"/>
        </w:rPr>
        <w:t>（</w:t>
      </w:r>
      <w:r w:rsidR="0034587D">
        <w:rPr>
          <w:rFonts w:hint="eastAsia"/>
        </w:rPr>
        <w:t>朱红军等</w:t>
      </w:r>
      <w:r w:rsidR="00363B0A">
        <w:rPr>
          <w:rFonts w:hint="eastAsia"/>
        </w:rPr>
        <w:t>，</w:t>
      </w:r>
      <w:r w:rsidR="0034587D">
        <w:rPr>
          <w:rFonts w:hint="eastAsia"/>
        </w:rPr>
        <w:t>2007</w:t>
      </w:r>
      <w:r w:rsidR="006A059E">
        <w:rPr>
          <w:rFonts w:hint="eastAsia"/>
        </w:rPr>
        <w:t>）</w:t>
      </w:r>
      <w:r w:rsidR="00EE48D6">
        <w:rPr>
          <w:rStyle w:val="afa"/>
        </w:rPr>
        <w:t>[</w:t>
      </w:r>
      <w:r w:rsidR="00EE48D6">
        <w:rPr>
          <w:rStyle w:val="afa"/>
        </w:rPr>
        <w:endnoteReference w:id="17"/>
      </w:r>
      <w:r w:rsidR="00EE48D6">
        <w:rPr>
          <w:rStyle w:val="afa"/>
        </w:rPr>
        <w:t>]</w:t>
      </w:r>
      <w:r w:rsidR="00363B0A">
        <w:rPr>
          <w:rFonts w:hint="eastAsia"/>
        </w:rPr>
        <w:t>。</w:t>
      </w:r>
      <w:r w:rsidR="00164B60">
        <w:rPr>
          <w:rFonts w:hint="eastAsia"/>
        </w:rPr>
        <w:t>但是</w:t>
      </w:r>
      <w:r w:rsidR="0034587D">
        <w:rPr>
          <w:rFonts w:hint="eastAsia"/>
        </w:rPr>
        <w:t>冯旭南</w:t>
      </w:r>
      <w:r w:rsidR="00363B0A">
        <w:rPr>
          <w:rFonts w:hint="eastAsia"/>
        </w:rPr>
        <w:t>，</w:t>
      </w:r>
      <w:r w:rsidR="0034587D">
        <w:rPr>
          <w:rFonts w:hint="eastAsia"/>
        </w:rPr>
        <w:t>李心愉（</w:t>
      </w:r>
      <w:r w:rsidR="0034587D">
        <w:rPr>
          <w:rFonts w:hint="eastAsia"/>
        </w:rPr>
        <w:t>2011</w:t>
      </w:r>
      <w:r w:rsidR="0034587D">
        <w:rPr>
          <w:rFonts w:hint="eastAsia"/>
        </w:rPr>
        <w:t>）</w:t>
      </w:r>
      <w:r w:rsidR="00EE48D6">
        <w:rPr>
          <w:rStyle w:val="afa"/>
        </w:rPr>
        <w:t>[</w:t>
      </w:r>
      <w:bookmarkStart w:id="11" w:name="_Ref510048003"/>
      <w:r w:rsidR="00EE48D6">
        <w:rPr>
          <w:rStyle w:val="afa"/>
        </w:rPr>
        <w:endnoteReference w:id="18"/>
      </w:r>
      <w:bookmarkEnd w:id="11"/>
      <w:r w:rsidR="00EE48D6">
        <w:rPr>
          <w:rStyle w:val="afa"/>
        </w:rPr>
        <w:t>]</w:t>
      </w:r>
      <w:r w:rsidR="00363B0A">
        <w:rPr>
          <w:rFonts w:hint="eastAsia"/>
        </w:rPr>
        <w:t>在扩大的样本基础上重新</w:t>
      </w:r>
      <w:r w:rsidR="0034587D">
        <w:rPr>
          <w:rFonts w:hint="eastAsia"/>
        </w:rPr>
        <w:t>考察分析师跟进行为对股价同步性的影响</w:t>
      </w:r>
      <w:r w:rsidR="00363B0A">
        <w:rPr>
          <w:rFonts w:hint="eastAsia"/>
        </w:rPr>
        <w:t>，</w:t>
      </w:r>
      <w:r w:rsidR="00164B60">
        <w:rPr>
          <w:rFonts w:hint="eastAsia"/>
        </w:rPr>
        <w:t>采用两阶段最小二乘法控制内生性后，</w:t>
      </w:r>
      <w:r w:rsidR="00363B0A">
        <w:rPr>
          <w:rFonts w:hint="eastAsia"/>
        </w:rPr>
        <w:t>得到了与</w:t>
      </w:r>
      <w:r w:rsidR="00363B0A">
        <w:rPr>
          <w:rFonts w:hint="eastAsia"/>
        </w:rPr>
        <w:t>Chan</w:t>
      </w:r>
      <w:r w:rsidR="00363B0A">
        <w:rPr>
          <w:rFonts w:hint="eastAsia"/>
        </w:rPr>
        <w:t>和</w:t>
      </w:r>
      <w:r w:rsidR="00363B0A">
        <w:rPr>
          <w:rFonts w:hint="eastAsia"/>
        </w:rPr>
        <w:t>Hameed</w:t>
      </w:r>
      <w:r w:rsidR="00363B0A">
        <w:rPr>
          <w:rFonts w:hint="eastAsia"/>
        </w:rPr>
        <w:t>（</w:t>
      </w:r>
      <w:r w:rsidR="00363B0A">
        <w:rPr>
          <w:rFonts w:hint="eastAsia"/>
        </w:rPr>
        <w:t>2006</w:t>
      </w:r>
      <w:r w:rsidR="00363B0A">
        <w:rPr>
          <w:rFonts w:hint="eastAsia"/>
        </w:rPr>
        <w:t>）</w:t>
      </w:r>
      <w:r w:rsidR="00C62595" w:rsidRPr="00C62595">
        <w:rPr>
          <w:rFonts w:hint="eastAsia"/>
          <w:vertAlign w:val="superscript"/>
        </w:rPr>
        <w:t>[</w:t>
      </w:r>
      <w:r w:rsidR="00C62595" w:rsidRPr="00C62595">
        <w:rPr>
          <w:vertAlign w:val="superscript"/>
        </w:rPr>
        <w:fldChar w:fldCharType="begin"/>
      </w:r>
      <w:r w:rsidR="00C62595" w:rsidRPr="00C62595">
        <w:rPr>
          <w:vertAlign w:val="superscript"/>
        </w:rPr>
        <w:instrText xml:space="preserve"> </w:instrText>
      </w:r>
      <w:r w:rsidR="00C62595" w:rsidRPr="00C62595">
        <w:rPr>
          <w:rFonts w:hint="eastAsia"/>
          <w:vertAlign w:val="superscript"/>
        </w:rPr>
        <w:instrText>NOTEREF _Ref510047178 \f \h</w:instrText>
      </w:r>
      <w:r w:rsidR="00C62595" w:rsidRPr="00C62595">
        <w:rPr>
          <w:vertAlign w:val="superscript"/>
        </w:rPr>
        <w:instrText xml:space="preserve"> </w:instrText>
      </w:r>
      <w:r w:rsidR="00C62595">
        <w:rPr>
          <w:vertAlign w:val="superscript"/>
        </w:rPr>
        <w:instrText xml:space="preserve"> \* MERGEFORMAT </w:instrText>
      </w:r>
      <w:r w:rsidR="00C62595" w:rsidRPr="00C62595">
        <w:rPr>
          <w:vertAlign w:val="superscript"/>
        </w:rPr>
      </w:r>
      <w:r w:rsidR="00C62595" w:rsidRPr="00C62595">
        <w:rPr>
          <w:vertAlign w:val="superscript"/>
        </w:rPr>
        <w:fldChar w:fldCharType="separate"/>
      </w:r>
      <w:r w:rsidR="0016113B" w:rsidRPr="0016113B">
        <w:rPr>
          <w:rStyle w:val="afa"/>
        </w:rPr>
        <w:t>15</w:t>
      </w:r>
      <w:r w:rsidR="00C62595" w:rsidRPr="00C62595">
        <w:rPr>
          <w:vertAlign w:val="superscript"/>
        </w:rPr>
        <w:fldChar w:fldCharType="end"/>
      </w:r>
      <w:r w:rsidR="00C62595" w:rsidRPr="00C62595">
        <w:rPr>
          <w:vertAlign w:val="superscript"/>
        </w:rPr>
        <w:t>]</w:t>
      </w:r>
      <w:r w:rsidR="00363B0A">
        <w:rPr>
          <w:rFonts w:hint="eastAsia"/>
        </w:rPr>
        <w:t>类似的</w:t>
      </w:r>
      <w:r w:rsidR="00164B60">
        <w:rPr>
          <w:rFonts w:hint="eastAsia"/>
        </w:rPr>
        <w:t>结论。</w:t>
      </w:r>
      <w:r w:rsidR="00250D99" w:rsidRPr="009C1B6D">
        <w:rPr>
          <w:rFonts w:hint="eastAsia"/>
        </w:rPr>
        <w:t>Xu</w:t>
      </w:r>
      <w:r w:rsidR="00250D99" w:rsidRPr="009C1B6D">
        <w:rPr>
          <w:rFonts w:hint="eastAsia"/>
        </w:rPr>
        <w:t>等（</w:t>
      </w:r>
      <w:r w:rsidR="00250D99" w:rsidRPr="009C1B6D">
        <w:rPr>
          <w:rFonts w:hint="eastAsia"/>
        </w:rPr>
        <w:t>2013</w:t>
      </w:r>
      <w:r w:rsidR="004D1C8E" w:rsidRPr="009C1B6D">
        <w:rPr>
          <w:rFonts w:hint="eastAsia"/>
        </w:rPr>
        <w:t>）</w:t>
      </w:r>
      <w:r w:rsidR="00EE48D6" w:rsidRPr="009C1B6D">
        <w:rPr>
          <w:rStyle w:val="afa"/>
        </w:rPr>
        <w:t>[</w:t>
      </w:r>
      <w:r w:rsidR="00EE48D6" w:rsidRPr="009C1B6D">
        <w:rPr>
          <w:rStyle w:val="afa"/>
        </w:rPr>
        <w:endnoteReference w:id="19"/>
      </w:r>
      <w:r w:rsidR="00EE48D6" w:rsidRPr="009C1B6D">
        <w:rPr>
          <w:rStyle w:val="afa"/>
        </w:rPr>
        <w:t>]</w:t>
      </w:r>
      <w:r w:rsidR="00250D99" w:rsidRPr="009C1B6D">
        <w:rPr>
          <w:rFonts w:hint="eastAsia"/>
        </w:rPr>
        <w:t>发现，明星分析师</w:t>
      </w:r>
      <w:r w:rsidR="00B36CA1" w:rsidRPr="009C1B6D">
        <w:rPr>
          <w:rFonts w:hint="eastAsia"/>
        </w:rPr>
        <w:t>跟踪的公司股价同步性较低。</w:t>
      </w:r>
    </w:p>
    <w:p w14:paraId="5216CA50" w14:textId="6CC31455" w:rsidR="00193EF7" w:rsidRDefault="003770C1" w:rsidP="009E2CF7">
      <w:pPr>
        <w:spacing w:line="240" w:lineRule="auto"/>
        <w:ind w:firstLine="420"/>
      </w:pPr>
      <w:r>
        <w:rPr>
          <w:rFonts w:hint="eastAsia"/>
        </w:rPr>
        <w:t>总体来看，已有的证券分析</w:t>
      </w:r>
      <w:proofErr w:type="gramStart"/>
      <w:r>
        <w:rPr>
          <w:rFonts w:hint="eastAsia"/>
        </w:rPr>
        <w:t>师相关</w:t>
      </w:r>
      <w:proofErr w:type="gramEnd"/>
      <w:r>
        <w:rPr>
          <w:rFonts w:hint="eastAsia"/>
        </w:rPr>
        <w:t>文献在这一领域得到了许多</w:t>
      </w:r>
      <w:r w:rsidR="0020321F">
        <w:rPr>
          <w:rFonts w:hint="eastAsia"/>
        </w:rPr>
        <w:t>富有理论意义和实践意义的结论，但在一些问题上，例如分析师的研究是否具有投资价值</w:t>
      </w:r>
      <w:r w:rsidR="001D46A5">
        <w:rPr>
          <w:rFonts w:hint="eastAsia"/>
        </w:rPr>
        <w:t>、分析师是否能提高市场效率等</w:t>
      </w:r>
      <w:r w:rsidR="0020321F">
        <w:rPr>
          <w:rFonts w:hint="eastAsia"/>
        </w:rPr>
        <w:t>仍然没有定论</w:t>
      </w:r>
      <w:r w:rsidR="00BD13DB">
        <w:rPr>
          <w:rFonts w:hint="eastAsia"/>
        </w:rPr>
        <w:t>，关于</w:t>
      </w:r>
      <w:r w:rsidR="001A1197">
        <w:rPr>
          <w:rFonts w:hint="eastAsia"/>
        </w:rPr>
        <w:t>分析师行为的研究仍然</w:t>
      </w:r>
      <w:r w:rsidR="0052027E">
        <w:rPr>
          <w:rFonts w:hint="eastAsia"/>
        </w:rPr>
        <w:t>较少</w:t>
      </w:r>
      <w:r w:rsidR="001A1197">
        <w:rPr>
          <w:rFonts w:hint="eastAsia"/>
        </w:rPr>
        <w:t>，因此</w:t>
      </w:r>
      <w:r w:rsidR="0020321F">
        <w:rPr>
          <w:rFonts w:hint="eastAsia"/>
        </w:rPr>
        <w:t>本文希望从一个更加动态和前瞻的角度出发，</w:t>
      </w:r>
      <w:r w:rsidR="001A1197">
        <w:rPr>
          <w:rFonts w:hint="eastAsia"/>
        </w:rPr>
        <w:t>基于更长的时间跨度和更精确的样本，</w:t>
      </w:r>
      <w:r w:rsidR="0020321F">
        <w:rPr>
          <w:rFonts w:hint="eastAsia"/>
        </w:rPr>
        <w:t>对分析师研究报告的发布</w:t>
      </w:r>
      <w:r w:rsidR="00893781">
        <w:rPr>
          <w:rFonts w:hint="eastAsia"/>
        </w:rPr>
        <w:t>时间及其动机和结果</w:t>
      </w:r>
      <w:r w:rsidR="0020321F">
        <w:rPr>
          <w:rFonts w:hint="eastAsia"/>
        </w:rPr>
        <w:t>进行探索</w:t>
      </w:r>
      <w:r w:rsidR="001A1197">
        <w:rPr>
          <w:rFonts w:hint="eastAsia"/>
        </w:rPr>
        <w:t>，</w:t>
      </w:r>
      <w:r w:rsidR="00893781">
        <w:rPr>
          <w:rFonts w:hint="eastAsia"/>
        </w:rPr>
        <w:t>以期获得更</w:t>
      </w:r>
      <w:r w:rsidR="00A03264">
        <w:rPr>
          <w:rFonts w:hint="eastAsia"/>
        </w:rPr>
        <w:t>多</w:t>
      </w:r>
      <w:r w:rsidR="00893781">
        <w:rPr>
          <w:rFonts w:hint="eastAsia"/>
        </w:rPr>
        <w:t>关于中国证券分析师行为的经验证据</w:t>
      </w:r>
      <w:r w:rsidR="0020321F">
        <w:rPr>
          <w:rFonts w:hint="eastAsia"/>
        </w:rPr>
        <w:t>。</w:t>
      </w:r>
    </w:p>
    <w:p w14:paraId="311D22E4" w14:textId="5E475029" w:rsidR="00244D8A" w:rsidRDefault="00244D8A" w:rsidP="009E2CF7">
      <w:pPr>
        <w:pStyle w:val="1"/>
        <w:spacing w:line="240" w:lineRule="auto"/>
      </w:pPr>
      <w:bookmarkStart w:id="12" w:name="_Toc510120302"/>
      <w:bookmarkStart w:id="13" w:name="_Toc510121716"/>
      <w:bookmarkStart w:id="14" w:name="_Toc510124635"/>
      <w:bookmarkStart w:id="15" w:name="_Toc510124780"/>
      <w:r>
        <w:rPr>
          <w:rFonts w:hint="eastAsia"/>
        </w:rPr>
        <w:t>研究</w:t>
      </w:r>
      <w:bookmarkEnd w:id="12"/>
      <w:bookmarkEnd w:id="13"/>
      <w:bookmarkEnd w:id="14"/>
      <w:bookmarkEnd w:id="15"/>
      <w:r w:rsidR="003055B2">
        <w:rPr>
          <w:rFonts w:hint="eastAsia"/>
        </w:rPr>
        <w:t>设计</w:t>
      </w:r>
    </w:p>
    <w:p w14:paraId="45D05B25" w14:textId="70DB2DC0" w:rsidR="00C51E79" w:rsidRPr="00592A67" w:rsidRDefault="00C51E79" w:rsidP="009E2CF7">
      <w:pPr>
        <w:pStyle w:val="2"/>
        <w:spacing w:line="240" w:lineRule="auto"/>
      </w:pPr>
      <w:bookmarkStart w:id="16" w:name="_Toc510120303"/>
      <w:bookmarkStart w:id="17" w:name="_Toc510121718"/>
      <w:bookmarkStart w:id="18" w:name="_Toc510124636"/>
      <w:bookmarkStart w:id="19" w:name="_Toc510124782"/>
      <w:r w:rsidRPr="00592A67">
        <w:rPr>
          <w:rFonts w:hint="eastAsia"/>
        </w:rPr>
        <w:t>理论分析与研究假设</w:t>
      </w:r>
      <w:bookmarkEnd w:id="16"/>
      <w:bookmarkEnd w:id="17"/>
      <w:bookmarkEnd w:id="18"/>
      <w:bookmarkEnd w:id="19"/>
    </w:p>
    <w:p w14:paraId="27A6E15F" w14:textId="0EE02B94" w:rsidR="00A74116" w:rsidRDefault="00865B7A" w:rsidP="009E2CF7">
      <w:pPr>
        <w:spacing w:line="240" w:lineRule="auto"/>
        <w:ind w:firstLine="420"/>
      </w:pPr>
      <w:r>
        <w:rPr>
          <w:rFonts w:hint="eastAsia"/>
        </w:rPr>
        <w:t>尽管证券分析师的相关研究已经非常丰富，但大多数文献都假定分析师盈利预测的顺序和时间是外生决定的</w:t>
      </w:r>
      <w:r w:rsidR="009C2F61">
        <w:rPr>
          <w:rFonts w:hint="eastAsia"/>
        </w:rPr>
        <w:t>，</w:t>
      </w:r>
      <w:r w:rsidR="00FE5B99">
        <w:rPr>
          <w:rFonts w:hint="eastAsia"/>
        </w:rPr>
        <w:t>这一假设有其合理性，因为从整体看来</w:t>
      </w:r>
      <w:r w:rsidR="001903D0">
        <w:rPr>
          <w:rFonts w:hint="eastAsia"/>
        </w:rPr>
        <w:t>，</w:t>
      </w:r>
      <w:r w:rsidR="00892CEF">
        <w:rPr>
          <w:rFonts w:hint="eastAsia"/>
        </w:rPr>
        <w:t>从</w:t>
      </w:r>
      <w:r w:rsidR="00892CEF">
        <w:rPr>
          <w:rFonts w:hint="eastAsia"/>
        </w:rPr>
        <w:t>RESSET</w:t>
      </w:r>
      <w:r w:rsidR="00892CEF">
        <w:rPr>
          <w:rFonts w:hint="eastAsia"/>
        </w:rPr>
        <w:t>数据库获取的</w:t>
      </w:r>
      <w:r w:rsidR="00892CEF">
        <w:rPr>
          <w:rFonts w:hint="eastAsia"/>
        </w:rPr>
        <w:lastRenderedPageBreak/>
        <w:t>2009</w:t>
      </w:r>
      <w:r w:rsidR="00892CEF">
        <w:rPr>
          <w:rFonts w:hint="eastAsia"/>
        </w:rPr>
        <w:t>年至</w:t>
      </w:r>
      <w:r w:rsidR="00892CEF">
        <w:rPr>
          <w:rFonts w:hint="eastAsia"/>
        </w:rPr>
        <w:t>2017</w:t>
      </w:r>
      <w:r w:rsidR="00892CEF">
        <w:rPr>
          <w:rFonts w:hint="eastAsia"/>
        </w:rPr>
        <w:t>年共</w:t>
      </w:r>
      <w:r w:rsidR="00892CEF">
        <w:rPr>
          <w:rFonts w:hint="eastAsia"/>
        </w:rPr>
        <w:t>269,623</w:t>
      </w:r>
      <w:r w:rsidR="00892CEF">
        <w:rPr>
          <w:rFonts w:hint="eastAsia"/>
        </w:rPr>
        <w:t>份公司研究报告</w:t>
      </w:r>
      <w:r w:rsidR="00EC3DA2">
        <w:rPr>
          <w:rFonts w:hint="eastAsia"/>
        </w:rPr>
        <w:t>的发布数量</w:t>
      </w:r>
      <w:r w:rsidR="00FE5B99">
        <w:rPr>
          <w:rFonts w:hint="eastAsia"/>
        </w:rPr>
        <w:t>呈现出明显的周期性。</w:t>
      </w:r>
      <w:r w:rsidR="0052027E">
        <w:rPr>
          <w:rFonts w:hint="eastAsia"/>
        </w:rPr>
        <w:t>如</w:t>
      </w:r>
      <w:r w:rsidR="0052027E">
        <w:fldChar w:fldCharType="begin"/>
      </w:r>
      <w:r w:rsidR="0052027E">
        <w:instrText xml:space="preserve"> </w:instrText>
      </w:r>
      <w:r w:rsidR="0052027E">
        <w:rPr>
          <w:rFonts w:hint="eastAsia"/>
        </w:rPr>
        <w:instrText>REF _Ref509091037 \h</w:instrText>
      </w:r>
      <w:r w:rsidR="0052027E">
        <w:instrText xml:space="preserve"> </w:instrText>
      </w:r>
      <w:r w:rsidR="005D4A55">
        <w:instrText xml:space="preserve"> \* MERGEFORMAT </w:instrText>
      </w:r>
      <w:r w:rsidR="0052027E">
        <w:fldChar w:fldCharType="separate"/>
      </w:r>
      <w:r w:rsidR="0016113B">
        <w:rPr>
          <w:rFonts w:hint="eastAsia"/>
        </w:rPr>
        <w:t>图</w:t>
      </w:r>
      <w:r w:rsidR="0016113B">
        <w:rPr>
          <w:noProof/>
        </w:rPr>
        <w:t>1</w:t>
      </w:r>
      <w:r w:rsidR="0052027E">
        <w:fldChar w:fldCharType="end"/>
      </w:r>
      <w:r w:rsidR="0052027E">
        <w:rPr>
          <w:rFonts w:hint="eastAsia"/>
        </w:rPr>
        <w:t>所示，</w:t>
      </w:r>
      <w:r w:rsidR="0052027E" w:rsidRPr="00435C9E">
        <w:rPr>
          <w:rFonts w:hint="eastAsia"/>
        </w:rPr>
        <w:t>每年的三四月</w:t>
      </w:r>
      <w:r w:rsidR="0052027E">
        <w:rPr>
          <w:rFonts w:hint="eastAsia"/>
        </w:rPr>
        <w:t>、</w:t>
      </w:r>
      <w:r w:rsidR="0052027E" w:rsidRPr="00435C9E">
        <w:rPr>
          <w:rFonts w:hint="eastAsia"/>
        </w:rPr>
        <w:t>八月</w:t>
      </w:r>
      <w:r w:rsidR="0052027E">
        <w:rPr>
          <w:rFonts w:hint="eastAsia"/>
        </w:rPr>
        <w:t>和</w:t>
      </w:r>
      <w:r w:rsidR="0052027E" w:rsidRPr="00435C9E">
        <w:rPr>
          <w:rFonts w:hint="eastAsia"/>
        </w:rPr>
        <w:t>十月是</w:t>
      </w:r>
      <w:r w:rsidR="0052027E">
        <w:rPr>
          <w:rFonts w:hint="eastAsia"/>
        </w:rPr>
        <w:t>公司定期</w:t>
      </w:r>
      <w:r w:rsidR="0052027E" w:rsidRPr="00435C9E">
        <w:rPr>
          <w:rFonts w:hint="eastAsia"/>
        </w:rPr>
        <w:t>财务报告</w:t>
      </w:r>
      <w:r w:rsidR="0052027E">
        <w:rPr>
          <w:rFonts w:hint="eastAsia"/>
        </w:rPr>
        <w:t>的</w:t>
      </w:r>
      <w:r w:rsidR="0052027E" w:rsidRPr="00435C9E">
        <w:rPr>
          <w:rFonts w:hint="eastAsia"/>
        </w:rPr>
        <w:t>披露期，分析</w:t>
      </w:r>
      <w:proofErr w:type="gramStart"/>
      <w:r w:rsidR="0052027E" w:rsidRPr="00435C9E">
        <w:rPr>
          <w:rFonts w:hint="eastAsia"/>
        </w:rPr>
        <w:t>师报告</w:t>
      </w:r>
      <w:proofErr w:type="gramEnd"/>
      <w:r w:rsidR="0052027E" w:rsidRPr="00435C9E">
        <w:rPr>
          <w:rFonts w:hint="eastAsia"/>
        </w:rPr>
        <w:t>的发布</w:t>
      </w:r>
      <w:r w:rsidR="0052027E">
        <w:rPr>
          <w:rFonts w:hint="eastAsia"/>
        </w:rPr>
        <w:t>数量</w:t>
      </w:r>
      <w:r w:rsidR="0052027E" w:rsidRPr="00435C9E">
        <w:rPr>
          <w:rFonts w:hint="eastAsia"/>
        </w:rPr>
        <w:t>在这些月份中也达到峰值。</w:t>
      </w:r>
      <w:r w:rsidR="0052027E">
        <w:rPr>
          <w:rFonts w:hint="eastAsia"/>
        </w:rPr>
        <w:t>在分析师的工作中，点评</w:t>
      </w:r>
      <w:r w:rsidR="0052027E" w:rsidRPr="00435C9E">
        <w:rPr>
          <w:rFonts w:hint="eastAsia"/>
        </w:rPr>
        <w:t>公司财务报告以及</w:t>
      </w:r>
      <w:r w:rsidR="0052027E">
        <w:rPr>
          <w:rFonts w:hint="eastAsia"/>
        </w:rPr>
        <w:t>统计月度</w:t>
      </w:r>
      <w:r w:rsidR="0052027E" w:rsidRPr="00435C9E">
        <w:rPr>
          <w:rFonts w:hint="eastAsia"/>
        </w:rPr>
        <w:t>、</w:t>
      </w:r>
      <w:r w:rsidR="0052027E">
        <w:rPr>
          <w:rFonts w:hint="eastAsia"/>
        </w:rPr>
        <w:t>周度行业数据</w:t>
      </w:r>
      <w:r w:rsidR="0052027E" w:rsidRPr="00435C9E">
        <w:rPr>
          <w:rFonts w:hint="eastAsia"/>
        </w:rPr>
        <w:t>占据</w:t>
      </w:r>
      <w:r w:rsidR="0052027E">
        <w:rPr>
          <w:rFonts w:hint="eastAsia"/>
        </w:rPr>
        <w:t>了极大部分，他们对这些报告的发布时间并没有自主决策的权利。</w:t>
      </w:r>
    </w:p>
    <w:p w14:paraId="07C3C246" w14:textId="48F493A6" w:rsidR="0052027E" w:rsidRDefault="0052027E" w:rsidP="009E2CF7">
      <w:pPr>
        <w:spacing w:line="240" w:lineRule="auto"/>
        <w:ind w:firstLine="420"/>
      </w:pPr>
      <w:r>
        <w:rPr>
          <w:rFonts w:hint="eastAsia"/>
        </w:rPr>
        <w:t>另一方面，对于跟踪公司的深度研究分析师却可以自主选择何时发布报告，如</w:t>
      </w:r>
      <w:r>
        <w:fldChar w:fldCharType="begin"/>
      </w:r>
      <w:r>
        <w:instrText xml:space="preserve"> </w:instrText>
      </w:r>
      <w:r>
        <w:rPr>
          <w:rFonts w:hint="eastAsia"/>
        </w:rPr>
        <w:instrText>REF _Ref509091048 \h</w:instrText>
      </w:r>
      <w:r>
        <w:instrText xml:space="preserve"> </w:instrText>
      </w:r>
      <w:r w:rsidR="005D4A55">
        <w:instrText xml:space="preserve"> \* MERGEFORMAT </w:instrText>
      </w:r>
      <w:r>
        <w:fldChar w:fldCharType="separate"/>
      </w:r>
      <w:r w:rsidR="0016113B" w:rsidRPr="004B3EA1">
        <w:rPr>
          <w:rFonts w:hint="eastAsia"/>
        </w:rPr>
        <w:t>图</w:t>
      </w:r>
      <w:r w:rsidR="0016113B">
        <w:rPr>
          <w:noProof/>
        </w:rPr>
        <w:t>2</w:t>
      </w:r>
      <w:r>
        <w:fldChar w:fldCharType="end"/>
      </w:r>
      <w:r>
        <w:rPr>
          <w:rFonts w:hint="eastAsia"/>
        </w:rPr>
        <w:t>所示，</w:t>
      </w:r>
      <w:r>
        <w:rPr>
          <w:rFonts w:hint="eastAsia"/>
        </w:rPr>
        <w:t>2009</w:t>
      </w:r>
      <w:r>
        <w:rPr>
          <w:rFonts w:hint="eastAsia"/>
        </w:rPr>
        <w:t>至</w:t>
      </w:r>
      <w:r>
        <w:rPr>
          <w:rFonts w:hint="eastAsia"/>
        </w:rPr>
        <w:t>2017</w:t>
      </w:r>
      <w:r>
        <w:rPr>
          <w:rFonts w:hint="eastAsia"/>
        </w:rPr>
        <w:t>年间共有</w:t>
      </w:r>
      <w:r>
        <w:rPr>
          <w:rFonts w:hint="eastAsia"/>
        </w:rPr>
        <w:t>21,927</w:t>
      </w:r>
      <w:r>
        <w:rPr>
          <w:rFonts w:hint="eastAsia"/>
        </w:rPr>
        <w:t>份深度公司研究报告，报告发布数量不具有周期性，但总体上呈现逐渐递增趋势，因此后续分析对报告数量进行了标准化处理，剔除了时间趋势。</w:t>
      </w:r>
    </w:p>
    <w:p w14:paraId="38232B2C" w14:textId="77777777" w:rsidR="004B3EA1" w:rsidRDefault="00211741" w:rsidP="009E2CF7">
      <w:pPr>
        <w:keepNext/>
        <w:spacing w:line="240" w:lineRule="auto"/>
        <w:ind w:firstLineChars="0" w:firstLine="0"/>
        <w:jc w:val="center"/>
      </w:pPr>
      <w:r w:rsidRPr="00211741">
        <w:rPr>
          <w:rFonts w:hint="eastAsia"/>
          <w:noProof/>
        </w:rPr>
        <w:drawing>
          <wp:inline distT="0" distB="0" distL="0" distR="0" wp14:anchorId="07EA2F5E" wp14:editId="43327D24">
            <wp:extent cx="5080000" cy="2568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5080000" cy="2568990"/>
                    </a:xfrm>
                    <a:prstGeom prst="rect">
                      <a:avLst/>
                    </a:prstGeom>
                    <a:noFill/>
                    <a:ln>
                      <a:noFill/>
                    </a:ln>
                  </pic:spPr>
                </pic:pic>
              </a:graphicData>
            </a:graphic>
          </wp:inline>
        </w:drawing>
      </w:r>
    </w:p>
    <w:p w14:paraId="3B173882" w14:textId="5FFB9329" w:rsidR="00FE5B99" w:rsidRDefault="004B3EA1" w:rsidP="009E2CF7">
      <w:pPr>
        <w:pStyle w:val="ac"/>
        <w:spacing w:line="240" w:lineRule="auto"/>
      </w:pPr>
      <w:bookmarkStart w:id="20" w:name="_Ref50909103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13B">
        <w:rPr>
          <w:noProof/>
        </w:rPr>
        <w:t>1</w:t>
      </w:r>
      <w:r>
        <w:fldChar w:fldCharType="end"/>
      </w:r>
      <w:bookmarkEnd w:id="20"/>
      <w:r>
        <w:t xml:space="preserve"> </w:t>
      </w:r>
      <w:r>
        <w:rPr>
          <w:rFonts w:hint="eastAsia"/>
        </w:rPr>
        <w:t>2009-2017</w:t>
      </w:r>
      <w:r>
        <w:rPr>
          <w:rFonts w:hint="eastAsia"/>
        </w:rPr>
        <w:t>年全部公司研究报告的时间分布</w:t>
      </w:r>
    </w:p>
    <w:p w14:paraId="4D99AFB6" w14:textId="77777777" w:rsidR="004B3EA1" w:rsidRDefault="00711871" w:rsidP="009E2CF7">
      <w:pPr>
        <w:keepNext/>
        <w:spacing w:line="240" w:lineRule="auto"/>
        <w:ind w:firstLineChars="0" w:firstLine="0"/>
        <w:jc w:val="center"/>
      </w:pPr>
      <w:r w:rsidRPr="00711871">
        <w:rPr>
          <w:noProof/>
        </w:rPr>
        <w:drawing>
          <wp:inline distT="0" distB="0" distL="0" distR="0" wp14:anchorId="50982201" wp14:editId="6FA18EAE">
            <wp:extent cx="5080000" cy="2568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5080000" cy="2568990"/>
                    </a:xfrm>
                    <a:prstGeom prst="rect">
                      <a:avLst/>
                    </a:prstGeom>
                    <a:noFill/>
                    <a:ln>
                      <a:noFill/>
                    </a:ln>
                  </pic:spPr>
                </pic:pic>
              </a:graphicData>
            </a:graphic>
          </wp:inline>
        </w:drawing>
      </w:r>
    </w:p>
    <w:p w14:paraId="50DF721A" w14:textId="1F84CAC2" w:rsidR="00711871" w:rsidRPr="004B3EA1" w:rsidRDefault="004B3EA1" w:rsidP="009E2CF7">
      <w:pPr>
        <w:pStyle w:val="ac"/>
        <w:spacing w:line="240" w:lineRule="auto"/>
      </w:pPr>
      <w:bookmarkStart w:id="21" w:name="_Ref509091048"/>
      <w:r w:rsidRPr="004B3EA1">
        <w:rPr>
          <w:rFonts w:hint="eastAsia"/>
        </w:rPr>
        <w:t>图</w:t>
      </w:r>
      <w:r w:rsidRPr="004B3EA1">
        <w:fldChar w:fldCharType="begin"/>
      </w:r>
      <w:r w:rsidRPr="004B3EA1">
        <w:instrText xml:space="preserve"> </w:instrText>
      </w:r>
      <w:r w:rsidRPr="004B3EA1">
        <w:rPr>
          <w:rFonts w:hint="eastAsia"/>
        </w:rPr>
        <w:instrText xml:space="preserve">SEQ </w:instrText>
      </w:r>
      <w:r w:rsidRPr="004B3EA1">
        <w:rPr>
          <w:rFonts w:hint="eastAsia"/>
        </w:rPr>
        <w:instrText>图</w:instrText>
      </w:r>
      <w:r w:rsidRPr="004B3EA1">
        <w:rPr>
          <w:rFonts w:hint="eastAsia"/>
        </w:rPr>
        <w:instrText xml:space="preserve"> \* ARABIC</w:instrText>
      </w:r>
      <w:r w:rsidRPr="004B3EA1">
        <w:instrText xml:space="preserve"> </w:instrText>
      </w:r>
      <w:r w:rsidRPr="004B3EA1">
        <w:fldChar w:fldCharType="separate"/>
      </w:r>
      <w:r w:rsidR="0016113B">
        <w:rPr>
          <w:noProof/>
        </w:rPr>
        <w:t>2</w:t>
      </w:r>
      <w:r w:rsidRPr="004B3EA1">
        <w:fldChar w:fldCharType="end"/>
      </w:r>
      <w:bookmarkEnd w:id="21"/>
      <w:r w:rsidRPr="004B3EA1">
        <w:t xml:space="preserve"> 2009-2017</w:t>
      </w:r>
      <w:r w:rsidRPr="004B3EA1">
        <w:t>年</w:t>
      </w:r>
      <w:r w:rsidRPr="004B3EA1">
        <w:rPr>
          <w:rFonts w:hint="eastAsia"/>
        </w:rPr>
        <w:t>公司深度研究报告的时间分布</w:t>
      </w:r>
    </w:p>
    <w:p w14:paraId="0A6ED282" w14:textId="6227C9F7" w:rsidR="004B3EA1" w:rsidRDefault="00C773C7" w:rsidP="009E2CF7">
      <w:pPr>
        <w:spacing w:line="240" w:lineRule="auto"/>
        <w:ind w:firstLine="420"/>
      </w:pPr>
      <w:r>
        <w:rPr>
          <w:rFonts w:hint="eastAsia"/>
        </w:rPr>
        <w:t>接下来本文将主要针对公司深度研究报告的发布时间决策进行相关理论分析。</w:t>
      </w:r>
      <w:r w:rsidR="007A72FB">
        <w:rPr>
          <w:rFonts w:hint="eastAsia"/>
        </w:rPr>
        <w:t>由于证券分析师的收益主要基于所推荐公司的市场表现，其在发布报告时有两种可能的动机：其一是向市场提供</w:t>
      </w:r>
      <w:r w:rsidR="004B3EA1">
        <w:rPr>
          <w:rFonts w:hint="eastAsia"/>
        </w:rPr>
        <w:t>新的</w:t>
      </w:r>
      <w:r w:rsidR="007A72FB">
        <w:rPr>
          <w:rFonts w:hint="eastAsia"/>
        </w:rPr>
        <w:t>私人信息以</w:t>
      </w:r>
      <w:r w:rsidR="004B3EA1">
        <w:rPr>
          <w:rFonts w:hint="eastAsia"/>
        </w:rPr>
        <w:t>实现投资价值</w:t>
      </w:r>
      <w:r w:rsidR="009C2F61">
        <w:rPr>
          <w:rFonts w:hint="eastAsia"/>
        </w:rPr>
        <w:t>，</w:t>
      </w:r>
      <w:r w:rsidR="007A72FB">
        <w:rPr>
          <w:rFonts w:hint="eastAsia"/>
        </w:rPr>
        <w:t>其二是通过</w:t>
      </w:r>
      <w:r w:rsidR="005E67D7">
        <w:rPr>
          <w:rFonts w:hint="eastAsia"/>
        </w:rPr>
        <w:t>择时</w:t>
      </w:r>
      <w:r w:rsidR="004B3EA1">
        <w:rPr>
          <w:rFonts w:hint="eastAsia"/>
        </w:rPr>
        <w:t>利用有利的外部市场条件</w:t>
      </w:r>
      <w:r w:rsidR="00611B05">
        <w:rPr>
          <w:rFonts w:hint="eastAsia"/>
        </w:rPr>
        <w:t>“伪造”</w:t>
      </w:r>
      <w:r w:rsidR="009C2F61">
        <w:rPr>
          <w:rFonts w:hint="eastAsia"/>
        </w:rPr>
        <w:t>报告的投资价值</w:t>
      </w:r>
      <w:r w:rsidR="007A72FB">
        <w:rPr>
          <w:rFonts w:hint="eastAsia"/>
        </w:rPr>
        <w:t>。</w:t>
      </w:r>
      <w:r w:rsidR="00865B7A">
        <w:rPr>
          <w:rFonts w:hint="eastAsia"/>
        </w:rPr>
        <w:t>证券分析师</w:t>
      </w:r>
      <w:r w:rsidR="000B552B">
        <w:rPr>
          <w:rFonts w:hint="eastAsia"/>
        </w:rPr>
        <w:t>作为</w:t>
      </w:r>
      <w:r w:rsidR="00865B7A">
        <w:rPr>
          <w:rFonts w:hint="eastAsia"/>
        </w:rPr>
        <w:t>信息的使用者</w:t>
      </w:r>
      <w:r w:rsidR="000B552B">
        <w:rPr>
          <w:rFonts w:hint="eastAsia"/>
        </w:rPr>
        <w:t>和</w:t>
      </w:r>
      <w:r w:rsidR="00865B7A">
        <w:rPr>
          <w:rFonts w:hint="eastAsia"/>
        </w:rPr>
        <w:t>产生者，</w:t>
      </w:r>
      <w:r w:rsidR="009C2F61">
        <w:rPr>
          <w:rFonts w:hint="eastAsia"/>
        </w:rPr>
        <w:t>不同的信息收集和分析能力决定了</w:t>
      </w:r>
      <w:r w:rsidR="000B552B">
        <w:rPr>
          <w:rFonts w:hint="eastAsia"/>
        </w:rPr>
        <w:t>分析师在进行权衡时需要采取不同的策略，</w:t>
      </w:r>
      <w:r w:rsidR="00865B7A">
        <w:rPr>
          <w:rFonts w:hint="eastAsia"/>
        </w:rPr>
        <w:t>拥有更多非公开信息或</w:t>
      </w:r>
      <w:r w:rsidR="00453555">
        <w:rPr>
          <w:rFonts w:hint="eastAsia"/>
        </w:rPr>
        <w:t>信息处理</w:t>
      </w:r>
      <w:r w:rsidR="00865B7A">
        <w:rPr>
          <w:rFonts w:hint="eastAsia"/>
        </w:rPr>
        <w:t>能力更强的分析</w:t>
      </w:r>
      <w:proofErr w:type="gramStart"/>
      <w:r w:rsidR="00865B7A">
        <w:rPr>
          <w:rFonts w:hint="eastAsia"/>
        </w:rPr>
        <w:t>师</w:t>
      </w:r>
      <w:r w:rsidR="000B552B">
        <w:rPr>
          <w:rFonts w:hint="eastAsia"/>
        </w:rPr>
        <w:t>愿意</w:t>
      </w:r>
      <w:proofErr w:type="gramEnd"/>
      <w:r w:rsidR="000B552B">
        <w:rPr>
          <w:rFonts w:hint="eastAsia"/>
        </w:rPr>
        <w:t>尽可能</w:t>
      </w:r>
      <w:r w:rsidR="00865B7A">
        <w:rPr>
          <w:rFonts w:hint="eastAsia"/>
        </w:rPr>
        <w:t>早</w:t>
      </w:r>
      <w:r w:rsidR="000B552B">
        <w:rPr>
          <w:rFonts w:hint="eastAsia"/>
        </w:rPr>
        <w:t>地</w:t>
      </w:r>
      <w:r w:rsidR="00865B7A">
        <w:rPr>
          <w:rFonts w:hint="eastAsia"/>
        </w:rPr>
        <w:t>发布预测，以</w:t>
      </w:r>
      <w:r w:rsidR="000B552B">
        <w:rPr>
          <w:rFonts w:hint="eastAsia"/>
        </w:rPr>
        <w:t>期从</w:t>
      </w:r>
      <w:r w:rsidR="00453555">
        <w:rPr>
          <w:rFonts w:hint="eastAsia"/>
        </w:rPr>
        <w:t>提供增量信息</w:t>
      </w:r>
      <w:r w:rsidR="000B552B">
        <w:rPr>
          <w:rFonts w:hint="eastAsia"/>
        </w:rPr>
        <w:t>中</w:t>
      </w:r>
      <w:r w:rsidR="00865B7A">
        <w:rPr>
          <w:rFonts w:hint="eastAsia"/>
        </w:rPr>
        <w:t>获得更大的收益，</w:t>
      </w:r>
      <w:r w:rsidR="000B552B">
        <w:rPr>
          <w:rFonts w:hint="eastAsia"/>
        </w:rPr>
        <w:t>而</w:t>
      </w:r>
      <w:r w:rsidR="00865B7A">
        <w:rPr>
          <w:rFonts w:hint="eastAsia"/>
        </w:rPr>
        <w:t>其他分析师则</w:t>
      </w:r>
      <w:r w:rsidR="000B552B">
        <w:rPr>
          <w:rFonts w:hint="eastAsia"/>
        </w:rPr>
        <w:t>希望通过</w:t>
      </w:r>
      <w:r w:rsidR="00865B7A">
        <w:rPr>
          <w:rFonts w:hint="eastAsia"/>
        </w:rPr>
        <w:t>跟随预测以掩盖自己预测质量的低下（</w:t>
      </w:r>
      <w:proofErr w:type="spellStart"/>
      <w:r w:rsidR="00865B7A">
        <w:rPr>
          <w:rFonts w:hint="eastAsia"/>
        </w:rPr>
        <w:t>Scharfstein</w:t>
      </w:r>
      <w:proofErr w:type="spellEnd"/>
      <w:r w:rsidR="00865B7A">
        <w:rPr>
          <w:rFonts w:hint="eastAsia"/>
        </w:rPr>
        <w:t>和</w:t>
      </w:r>
      <w:r w:rsidR="00865B7A">
        <w:rPr>
          <w:rFonts w:hint="eastAsia"/>
        </w:rPr>
        <w:t>Stein</w:t>
      </w:r>
      <w:r w:rsidR="00865B7A">
        <w:rPr>
          <w:rFonts w:hint="eastAsia"/>
        </w:rPr>
        <w:t>，</w:t>
      </w:r>
      <w:r w:rsidR="00865B7A">
        <w:rPr>
          <w:rFonts w:hint="eastAsia"/>
        </w:rPr>
        <w:t>19</w:t>
      </w:r>
      <w:r w:rsidR="00F60E5E">
        <w:rPr>
          <w:rFonts w:hint="eastAsia"/>
        </w:rPr>
        <w:t>88</w:t>
      </w:r>
      <w:r w:rsidR="00FC1519">
        <w:rPr>
          <w:rFonts w:hint="eastAsia"/>
        </w:rPr>
        <w:t>）</w:t>
      </w:r>
      <w:r w:rsidR="001F3BC4">
        <w:rPr>
          <w:rStyle w:val="afa"/>
        </w:rPr>
        <w:t>[</w:t>
      </w:r>
      <w:r w:rsidR="001F3BC4">
        <w:rPr>
          <w:rStyle w:val="afa"/>
        </w:rPr>
        <w:endnoteReference w:id="20"/>
      </w:r>
      <w:r w:rsidR="001F3BC4">
        <w:rPr>
          <w:rStyle w:val="afa"/>
        </w:rPr>
        <w:t>]</w:t>
      </w:r>
      <w:r w:rsidR="004B3EA1">
        <w:rPr>
          <w:rFonts w:hint="eastAsia"/>
        </w:rPr>
        <w:t>。</w:t>
      </w:r>
    </w:p>
    <w:p w14:paraId="110586D0" w14:textId="34357983" w:rsidR="00611B05" w:rsidRDefault="004B3EA1" w:rsidP="009E2CF7">
      <w:pPr>
        <w:spacing w:line="240" w:lineRule="auto"/>
        <w:ind w:firstLine="420"/>
      </w:pPr>
      <w:r>
        <w:rPr>
          <w:rFonts w:hint="eastAsia"/>
        </w:rPr>
        <w:lastRenderedPageBreak/>
        <w:t>因此</w:t>
      </w:r>
      <w:r w:rsidR="00453555">
        <w:rPr>
          <w:rFonts w:hint="eastAsia"/>
        </w:rPr>
        <w:t>在没有提供增量</w:t>
      </w:r>
      <w:r w:rsidR="000B552B">
        <w:rPr>
          <w:rFonts w:hint="eastAsia"/>
        </w:rPr>
        <w:t>信息的情况下，</w:t>
      </w:r>
      <w:r w:rsidR="00FF7E36">
        <w:rPr>
          <w:rFonts w:hint="eastAsia"/>
        </w:rPr>
        <w:t>择时策略</w:t>
      </w:r>
      <w:r w:rsidR="000B552B">
        <w:rPr>
          <w:rFonts w:hint="eastAsia"/>
        </w:rPr>
        <w:t>可以在一定程度上</w:t>
      </w:r>
      <w:r w:rsidR="00FF7E36">
        <w:rPr>
          <w:rFonts w:hint="eastAsia"/>
        </w:rPr>
        <w:t>弥补报告信息含量的不足</w:t>
      </w:r>
      <w:r w:rsidR="00611B05">
        <w:rPr>
          <w:rFonts w:hint="eastAsia"/>
        </w:rPr>
        <w:t>，但即使分析师向市场提供增量信息，利用有利的市场条件</w:t>
      </w:r>
      <w:r w:rsidR="00013A04">
        <w:rPr>
          <w:rFonts w:hint="eastAsia"/>
        </w:rPr>
        <w:t>依然</w:t>
      </w:r>
      <w:r w:rsidR="00611B05">
        <w:rPr>
          <w:rFonts w:hint="eastAsia"/>
        </w:rPr>
        <w:t>有助于分析师扩大自己的收益</w:t>
      </w:r>
      <w:r w:rsidR="00865B7A">
        <w:rPr>
          <w:rFonts w:hint="eastAsia"/>
        </w:rPr>
        <w:t>。</w:t>
      </w:r>
      <w:r w:rsidR="00611B05" w:rsidRPr="00E85D40">
        <w:rPr>
          <w:rFonts w:hint="eastAsia"/>
        </w:rPr>
        <w:t>同时</w:t>
      </w:r>
      <w:r w:rsidR="00E85D40" w:rsidRPr="00E85D40">
        <w:rPr>
          <w:rFonts w:hint="eastAsia"/>
        </w:rPr>
        <w:t>，</w:t>
      </w:r>
      <w:r w:rsidR="00E85D40">
        <w:rPr>
          <w:rFonts w:hint="eastAsia"/>
        </w:rPr>
        <w:t>当</w:t>
      </w:r>
      <w:r w:rsidR="00E85D40" w:rsidRPr="00E85D40">
        <w:rPr>
          <w:rFonts w:hint="eastAsia"/>
        </w:rPr>
        <w:t>投资者情绪</w:t>
      </w:r>
      <w:r w:rsidR="00E85D40">
        <w:rPr>
          <w:rFonts w:hint="eastAsia"/>
        </w:rPr>
        <w:t>高涨</w:t>
      </w:r>
      <w:r w:rsidR="00E85D40" w:rsidRPr="00E85D40">
        <w:rPr>
          <w:rFonts w:hint="eastAsia"/>
        </w:rPr>
        <w:t>时，投资者更加看好未来的市场形势，</w:t>
      </w:r>
      <w:r w:rsidR="00E85D40">
        <w:rPr>
          <w:rFonts w:hint="eastAsia"/>
        </w:rPr>
        <w:t>也比较容易接受分析师给出的乐观评级，而投资者情绪低落时，分析</w:t>
      </w:r>
      <w:proofErr w:type="gramStart"/>
      <w:r w:rsidR="00E85D40">
        <w:rPr>
          <w:rFonts w:hint="eastAsia"/>
        </w:rPr>
        <w:t>师</w:t>
      </w:r>
      <w:r w:rsidR="00E85D40" w:rsidRPr="00E85D40">
        <w:rPr>
          <w:rFonts w:hint="eastAsia"/>
        </w:rPr>
        <w:t>很难</w:t>
      </w:r>
      <w:proofErr w:type="gramEnd"/>
      <w:r w:rsidR="00E85D40" w:rsidRPr="00E85D40">
        <w:rPr>
          <w:rFonts w:hint="eastAsia"/>
        </w:rPr>
        <w:t>扭转投资者对公司价值的低估</w:t>
      </w:r>
      <w:r w:rsidR="00E85D40">
        <w:rPr>
          <w:rFonts w:hint="eastAsia"/>
        </w:rPr>
        <w:t>（</w:t>
      </w:r>
      <w:r w:rsidR="00E85D40">
        <w:rPr>
          <w:rFonts w:hint="eastAsia"/>
        </w:rPr>
        <w:t>Bergman</w:t>
      </w:r>
      <w:r w:rsidR="00E85D40">
        <w:rPr>
          <w:rFonts w:hint="eastAsia"/>
        </w:rPr>
        <w:t>和</w:t>
      </w:r>
      <w:proofErr w:type="spellStart"/>
      <w:r w:rsidR="00E85D40">
        <w:rPr>
          <w:rFonts w:hint="eastAsia"/>
        </w:rPr>
        <w:t>Roychowdhury</w:t>
      </w:r>
      <w:proofErr w:type="spellEnd"/>
      <w:r w:rsidR="00E85D40">
        <w:rPr>
          <w:rFonts w:hint="eastAsia"/>
        </w:rPr>
        <w:t>，</w:t>
      </w:r>
      <w:r w:rsidR="00E85D40">
        <w:rPr>
          <w:rFonts w:hint="eastAsia"/>
        </w:rPr>
        <w:t>2008</w:t>
      </w:r>
      <w:r w:rsidR="00FC1519">
        <w:rPr>
          <w:rFonts w:hint="eastAsia"/>
        </w:rPr>
        <w:t>）</w:t>
      </w:r>
      <w:r w:rsidR="001F3BC4">
        <w:rPr>
          <w:rStyle w:val="afa"/>
        </w:rPr>
        <w:t>[</w:t>
      </w:r>
      <w:r w:rsidR="001F3BC4">
        <w:rPr>
          <w:rStyle w:val="afa"/>
        </w:rPr>
        <w:endnoteReference w:id="21"/>
      </w:r>
      <w:r w:rsidR="001F3BC4">
        <w:rPr>
          <w:rStyle w:val="afa"/>
        </w:rPr>
        <w:t>]</w:t>
      </w:r>
      <w:r w:rsidR="00E85D40">
        <w:rPr>
          <w:rFonts w:hint="eastAsia"/>
        </w:rPr>
        <w:t>，由于我国资本市场对卖空的限制，</w:t>
      </w:r>
      <w:r w:rsidR="003E0048">
        <w:rPr>
          <w:rFonts w:hint="eastAsia"/>
        </w:rPr>
        <w:t>卖出</w:t>
      </w:r>
      <w:r w:rsidR="00E85D40">
        <w:rPr>
          <w:rFonts w:hint="eastAsia"/>
        </w:rPr>
        <w:t>推荐</w:t>
      </w:r>
      <w:r w:rsidR="003E0048">
        <w:rPr>
          <w:rFonts w:hint="eastAsia"/>
        </w:rPr>
        <w:t>对分析师而</w:t>
      </w:r>
      <w:r w:rsidR="003E0048" w:rsidRPr="009B206F">
        <w:rPr>
          <w:rFonts w:hint="eastAsia"/>
        </w:rPr>
        <w:t>言基本无利可图</w:t>
      </w:r>
      <w:r w:rsidR="005E67D7" w:rsidRPr="009B206F">
        <w:rPr>
          <w:rFonts w:hint="eastAsia"/>
        </w:rPr>
        <w:t>。</w:t>
      </w:r>
      <w:r w:rsidR="00611B05" w:rsidRPr="009B206F">
        <w:rPr>
          <w:rFonts w:hint="eastAsia"/>
        </w:rPr>
        <w:t>据</w:t>
      </w:r>
      <w:r w:rsidR="00611B05">
        <w:rPr>
          <w:rFonts w:hint="eastAsia"/>
        </w:rPr>
        <w:t>此</w:t>
      </w:r>
      <w:r w:rsidR="003E0048">
        <w:rPr>
          <w:rFonts w:hint="eastAsia"/>
        </w:rPr>
        <w:t>本文</w:t>
      </w:r>
      <w:r w:rsidR="00611B05">
        <w:rPr>
          <w:rFonts w:hint="eastAsia"/>
        </w:rPr>
        <w:t>提出</w:t>
      </w:r>
      <w:r w:rsidR="00FC2693">
        <w:rPr>
          <w:rFonts w:hint="eastAsia"/>
        </w:rPr>
        <w:t>以下</w:t>
      </w:r>
      <w:r w:rsidR="00611B05">
        <w:rPr>
          <w:rFonts w:hint="eastAsia"/>
        </w:rPr>
        <w:t>假设：</w:t>
      </w:r>
    </w:p>
    <w:p w14:paraId="1EED7986" w14:textId="1E957F29" w:rsidR="003E0048" w:rsidRDefault="00FC2693" w:rsidP="009E2CF7">
      <w:pPr>
        <w:spacing w:line="240" w:lineRule="auto"/>
        <w:ind w:firstLine="420"/>
      </w:pPr>
      <w:r>
        <w:rPr>
          <w:rFonts w:ascii="KaiTi" w:eastAsia="KaiTi" w:hAnsi="KaiTi" w:hint="eastAsia"/>
        </w:rPr>
        <w:t>假设1：</w:t>
      </w:r>
      <w:r w:rsidR="003E0048" w:rsidRPr="003E0048">
        <w:rPr>
          <w:rFonts w:ascii="KaiTi" w:eastAsia="KaiTi" w:hAnsi="KaiTi" w:hint="eastAsia"/>
        </w:rPr>
        <w:t>分析师倾向于在投资者情绪高的时期发布研究报告</w:t>
      </w:r>
    </w:p>
    <w:p w14:paraId="7F364701" w14:textId="529F0DDE" w:rsidR="0023674A" w:rsidRDefault="00510B7C" w:rsidP="009E2CF7">
      <w:pPr>
        <w:spacing w:line="240" w:lineRule="auto"/>
        <w:ind w:firstLine="420"/>
      </w:pPr>
      <w:r>
        <w:rPr>
          <w:rFonts w:hint="eastAsia"/>
        </w:rPr>
        <w:t>如前文所分析，无论是否向市场提供新增信息，在投资者情绪较高时发布报告总是有利的，但是</w:t>
      </w:r>
      <w:r w:rsidR="0023674A">
        <w:rPr>
          <w:rFonts w:hint="eastAsia"/>
        </w:rPr>
        <w:t>集中在同一时期发布报告的分析师需要分享这些利益，报告的发布时间越集中，利益的稀释程度越大。因此</w:t>
      </w:r>
      <w:r>
        <w:rPr>
          <w:rFonts w:hint="eastAsia"/>
        </w:rPr>
        <w:t>对于有能力的分析师</w:t>
      </w:r>
      <w:r w:rsidR="0023674A">
        <w:rPr>
          <w:rFonts w:hint="eastAsia"/>
        </w:rPr>
        <w:t>而言</w:t>
      </w:r>
      <w:r>
        <w:rPr>
          <w:rFonts w:hint="eastAsia"/>
        </w:rPr>
        <w:t>，</w:t>
      </w:r>
      <w:r w:rsidR="0023674A">
        <w:rPr>
          <w:rFonts w:hint="eastAsia"/>
        </w:rPr>
        <w:t>由于其可以从为市场提供的增量信息中获益，</w:t>
      </w:r>
      <w:r w:rsidR="00B04C72">
        <w:rPr>
          <w:rFonts w:hint="eastAsia"/>
        </w:rPr>
        <w:t>总是</w:t>
      </w:r>
      <w:r w:rsidR="005E67D7">
        <w:rPr>
          <w:rFonts w:hint="eastAsia"/>
        </w:rPr>
        <w:t>跟风在</w:t>
      </w:r>
      <w:r w:rsidR="0023674A">
        <w:rPr>
          <w:rFonts w:hint="eastAsia"/>
        </w:rPr>
        <w:t>投资者情绪较高的时期</w:t>
      </w:r>
      <w:r w:rsidR="005E67D7">
        <w:rPr>
          <w:rFonts w:hint="eastAsia"/>
        </w:rPr>
        <w:t>发布报告并不一定是一个好的选择。而对于报告缺乏信息含量的分析师而言，“扎堆”发布深度研究报告则只会</w:t>
      </w:r>
      <w:r w:rsidR="00B04C72">
        <w:rPr>
          <w:rFonts w:hint="eastAsia"/>
        </w:rPr>
        <w:t>为其</w:t>
      </w:r>
      <w:r w:rsidR="005E67D7">
        <w:rPr>
          <w:rFonts w:hint="eastAsia"/>
        </w:rPr>
        <w:t>带来好处</w:t>
      </w:r>
      <w:r w:rsidR="00D67AB3">
        <w:rPr>
          <w:rFonts w:hint="eastAsia"/>
        </w:rPr>
        <w:t>，即报告信息含量与投资者情绪负相关</w:t>
      </w:r>
      <w:r w:rsidR="0023674A">
        <w:rPr>
          <w:rFonts w:hint="eastAsia"/>
        </w:rPr>
        <w:t>。</w:t>
      </w:r>
      <w:r w:rsidR="005E67D7">
        <w:rPr>
          <w:rFonts w:hint="eastAsia"/>
        </w:rPr>
        <w:t>据此本文提出以下假设：</w:t>
      </w:r>
    </w:p>
    <w:p w14:paraId="1564BA2C" w14:textId="396E3897" w:rsidR="005E67D7" w:rsidRPr="00FC2693" w:rsidRDefault="005E67D7" w:rsidP="009E2CF7">
      <w:pPr>
        <w:spacing w:line="240" w:lineRule="auto"/>
        <w:ind w:firstLine="420"/>
        <w:rPr>
          <w:rFonts w:ascii="KaiTi" w:eastAsia="KaiTi" w:hAnsi="KaiTi"/>
        </w:rPr>
      </w:pPr>
      <w:r w:rsidRPr="00FC2693">
        <w:rPr>
          <w:rFonts w:ascii="KaiTi" w:eastAsia="KaiTi" w:hAnsi="KaiTi" w:hint="eastAsia"/>
        </w:rPr>
        <w:t>假设</w:t>
      </w:r>
      <w:r>
        <w:rPr>
          <w:rFonts w:ascii="KaiTi" w:eastAsia="KaiTi" w:hAnsi="KaiTi" w:hint="eastAsia"/>
        </w:rPr>
        <w:t>2-1</w:t>
      </w:r>
      <w:r w:rsidRPr="00FC2693">
        <w:rPr>
          <w:rFonts w:ascii="KaiTi" w:eastAsia="KaiTi" w:hAnsi="KaiTi" w:hint="eastAsia"/>
        </w:rPr>
        <w:t>：</w:t>
      </w:r>
      <w:r>
        <w:rPr>
          <w:rFonts w:ascii="KaiTi" w:eastAsia="KaiTi" w:hAnsi="KaiTi" w:hint="eastAsia"/>
        </w:rPr>
        <w:t>未</w:t>
      </w:r>
      <w:r w:rsidRPr="00FC2693">
        <w:rPr>
          <w:rFonts w:ascii="KaiTi" w:eastAsia="KaiTi" w:hAnsi="KaiTi" w:hint="eastAsia"/>
        </w:rPr>
        <w:t>提供增量信息</w:t>
      </w:r>
      <w:r w:rsidR="00D67AB3">
        <w:rPr>
          <w:rFonts w:ascii="KaiTi" w:eastAsia="KaiTi" w:hAnsi="KaiTi" w:hint="eastAsia"/>
        </w:rPr>
        <w:t>的</w:t>
      </w:r>
      <w:r w:rsidR="00D67AB3" w:rsidRPr="00FC2693">
        <w:rPr>
          <w:rFonts w:ascii="KaiTi" w:eastAsia="KaiTi" w:hAnsi="KaiTi" w:hint="eastAsia"/>
        </w:rPr>
        <w:t>分析师</w:t>
      </w:r>
      <w:r w:rsidRPr="00FC2693">
        <w:rPr>
          <w:rFonts w:ascii="KaiTi" w:eastAsia="KaiTi" w:hAnsi="KaiTi" w:hint="eastAsia"/>
        </w:rPr>
        <w:t>倾向于在</w:t>
      </w:r>
      <w:r w:rsidR="00D67AB3">
        <w:rPr>
          <w:rFonts w:ascii="KaiTi" w:eastAsia="KaiTi" w:hAnsi="KaiTi" w:hint="eastAsia"/>
        </w:rPr>
        <w:t>高</w:t>
      </w:r>
      <w:r w:rsidRPr="00FC2693">
        <w:rPr>
          <w:rFonts w:ascii="KaiTi" w:eastAsia="KaiTi" w:hAnsi="KaiTi" w:hint="eastAsia"/>
        </w:rPr>
        <w:t>投资者情绪时期发布报告</w:t>
      </w:r>
    </w:p>
    <w:p w14:paraId="72FED93D" w14:textId="24B89755" w:rsidR="00FC2693" w:rsidRDefault="005E67D7" w:rsidP="009E2CF7">
      <w:pPr>
        <w:spacing w:line="240" w:lineRule="auto"/>
        <w:ind w:firstLine="420"/>
        <w:rPr>
          <w:rFonts w:ascii="KaiTi" w:eastAsia="KaiTi" w:hAnsi="KaiTi"/>
        </w:rPr>
      </w:pPr>
      <w:r w:rsidRPr="00D67AB3">
        <w:rPr>
          <w:rFonts w:ascii="KaiTi" w:eastAsia="KaiTi" w:hAnsi="KaiTi" w:hint="eastAsia"/>
        </w:rPr>
        <w:t>假设2-2</w:t>
      </w:r>
      <w:r w:rsidR="00D67AB3" w:rsidRPr="00D67AB3">
        <w:rPr>
          <w:rFonts w:ascii="KaiTi" w:eastAsia="KaiTi" w:hAnsi="KaiTi" w:hint="eastAsia"/>
        </w:rPr>
        <w:t>：提供增量信息</w:t>
      </w:r>
      <w:r w:rsidR="00D67AB3">
        <w:rPr>
          <w:rFonts w:ascii="KaiTi" w:eastAsia="KaiTi" w:hAnsi="KaiTi" w:hint="eastAsia"/>
        </w:rPr>
        <w:t>的分析师没有基于投资者情绪的择时行为</w:t>
      </w:r>
    </w:p>
    <w:p w14:paraId="5892625B" w14:textId="77777777" w:rsidR="00D67AB3" w:rsidRPr="00D67AB3" w:rsidRDefault="00D67AB3" w:rsidP="009E2CF7">
      <w:pPr>
        <w:spacing w:line="240" w:lineRule="auto"/>
        <w:ind w:firstLine="420"/>
        <w:rPr>
          <w:rFonts w:ascii="KaiTi" w:eastAsia="KaiTi" w:hAnsi="KaiTi"/>
        </w:rPr>
      </w:pPr>
    </w:p>
    <w:p w14:paraId="1BFF3D75" w14:textId="23771E6E" w:rsidR="00C51E79" w:rsidRDefault="00C51E79" w:rsidP="009E2CF7">
      <w:pPr>
        <w:pStyle w:val="2"/>
        <w:spacing w:line="240" w:lineRule="auto"/>
      </w:pPr>
      <w:bookmarkStart w:id="22" w:name="_Toc510120304"/>
      <w:bookmarkStart w:id="23" w:name="_Toc510121720"/>
      <w:bookmarkStart w:id="24" w:name="_Toc510124637"/>
      <w:bookmarkStart w:id="25" w:name="_Toc510124784"/>
      <w:r>
        <w:rPr>
          <w:rFonts w:hint="eastAsia"/>
        </w:rPr>
        <w:t>样本与描述性统计</w:t>
      </w:r>
      <w:bookmarkEnd w:id="22"/>
      <w:bookmarkEnd w:id="23"/>
      <w:bookmarkEnd w:id="24"/>
      <w:bookmarkEnd w:id="25"/>
    </w:p>
    <w:p w14:paraId="29E58427" w14:textId="2BD72938" w:rsidR="00802D07" w:rsidRDefault="00802D07" w:rsidP="009E2CF7">
      <w:pPr>
        <w:pStyle w:val="3"/>
        <w:numPr>
          <w:ilvl w:val="0"/>
          <w:numId w:val="11"/>
        </w:numPr>
        <w:spacing w:line="240" w:lineRule="auto"/>
        <w:ind w:firstLineChars="0"/>
      </w:pPr>
      <w:bookmarkStart w:id="26" w:name="_Toc510120305"/>
      <w:bookmarkStart w:id="27" w:name="_Toc510121722"/>
      <w:bookmarkStart w:id="28" w:name="_Toc510124638"/>
      <w:bookmarkStart w:id="29" w:name="_Toc510124786"/>
      <w:r>
        <w:rPr>
          <w:rFonts w:hint="eastAsia"/>
        </w:rPr>
        <w:t>样本选择</w:t>
      </w:r>
      <w:bookmarkEnd w:id="26"/>
      <w:bookmarkEnd w:id="27"/>
      <w:bookmarkEnd w:id="28"/>
      <w:bookmarkEnd w:id="29"/>
    </w:p>
    <w:p w14:paraId="21651503" w14:textId="1D7DE72C" w:rsidR="00866466" w:rsidRDefault="00321B1D" w:rsidP="009E2CF7">
      <w:pPr>
        <w:spacing w:line="240" w:lineRule="auto"/>
        <w:ind w:firstLine="420"/>
      </w:pPr>
      <w:r>
        <w:rPr>
          <w:rFonts w:hint="eastAsia"/>
        </w:rPr>
        <w:t>由于过往的研究发现市场周期会影响分析师行为及预测质量，为了避免市场周期因素对结果的干扰，本文拟选择</w:t>
      </w:r>
      <w:r>
        <w:rPr>
          <w:rFonts w:hint="eastAsia"/>
        </w:rPr>
        <w:t>2009</w:t>
      </w:r>
      <w:r>
        <w:rPr>
          <w:rFonts w:hint="eastAsia"/>
        </w:rPr>
        <w:t>年</w:t>
      </w:r>
      <w:r>
        <w:rPr>
          <w:rFonts w:hint="eastAsia"/>
        </w:rPr>
        <w:t>1</w:t>
      </w:r>
      <w:r>
        <w:rPr>
          <w:rFonts w:hint="eastAsia"/>
        </w:rPr>
        <w:t>月</w:t>
      </w:r>
      <w:r>
        <w:rPr>
          <w:rFonts w:hint="eastAsia"/>
        </w:rPr>
        <w:t>1</w:t>
      </w:r>
      <w:r>
        <w:rPr>
          <w:rFonts w:hint="eastAsia"/>
        </w:rPr>
        <w:t>日至</w:t>
      </w:r>
      <w:r>
        <w:rPr>
          <w:rFonts w:hint="eastAsia"/>
        </w:rPr>
        <w:t>2017</w:t>
      </w:r>
      <w:r>
        <w:rPr>
          <w:rFonts w:hint="eastAsia"/>
        </w:rPr>
        <w:t>年</w:t>
      </w:r>
      <w:r>
        <w:rPr>
          <w:rFonts w:hint="eastAsia"/>
        </w:rPr>
        <w:t>12</w:t>
      </w:r>
      <w:r>
        <w:rPr>
          <w:rFonts w:hint="eastAsia"/>
        </w:rPr>
        <w:t>月</w:t>
      </w:r>
      <w:r>
        <w:rPr>
          <w:rFonts w:hint="eastAsia"/>
        </w:rPr>
        <w:t>31</w:t>
      </w:r>
      <w:r>
        <w:rPr>
          <w:rFonts w:hint="eastAsia"/>
        </w:rPr>
        <w:t>日的所有公司深度研究报告为样本</w:t>
      </w:r>
      <w:r w:rsidR="006C312F">
        <w:rPr>
          <w:rFonts w:hint="eastAsia"/>
        </w:rPr>
        <w:t>，</w:t>
      </w:r>
      <w:r w:rsidR="00B437ED">
        <w:rPr>
          <w:rFonts w:hint="eastAsia"/>
        </w:rPr>
        <w:t>为了便于样本范围的确定，</w:t>
      </w:r>
      <w:r>
        <w:rPr>
          <w:rFonts w:hint="eastAsia"/>
        </w:rPr>
        <w:t>采用的分析师预测数据全部</w:t>
      </w:r>
      <w:proofErr w:type="gramStart"/>
      <w:r>
        <w:rPr>
          <w:rFonts w:hint="eastAsia"/>
        </w:rPr>
        <w:t>来自锐思</w:t>
      </w:r>
      <w:proofErr w:type="gramEnd"/>
      <w:r>
        <w:rPr>
          <w:rFonts w:hint="eastAsia"/>
        </w:rPr>
        <w:t>RESSET</w:t>
      </w:r>
      <w:r>
        <w:rPr>
          <w:rFonts w:hint="eastAsia"/>
        </w:rPr>
        <w:t>数据库</w:t>
      </w:r>
      <w:r w:rsidR="004C2EFD">
        <w:rPr>
          <w:rFonts w:hint="eastAsia"/>
        </w:rPr>
        <w:t>，</w:t>
      </w:r>
      <w:r>
        <w:rPr>
          <w:rFonts w:hint="eastAsia"/>
        </w:rPr>
        <w:t>投资者情绪和收益率等</w:t>
      </w:r>
      <w:r w:rsidR="006461EA">
        <w:rPr>
          <w:rFonts w:hint="eastAsia"/>
        </w:rPr>
        <w:t>其他</w:t>
      </w:r>
      <w:r>
        <w:rPr>
          <w:rFonts w:hint="eastAsia"/>
        </w:rPr>
        <w:t>数据来自</w:t>
      </w:r>
      <w:r>
        <w:rPr>
          <w:rFonts w:hint="eastAsia"/>
        </w:rPr>
        <w:t>CSMAR</w:t>
      </w:r>
      <w:r>
        <w:rPr>
          <w:rFonts w:hint="eastAsia"/>
        </w:rPr>
        <w:t>数据库。剔除了关键变量如投资评级</w:t>
      </w:r>
      <w:r w:rsidR="0074510F">
        <w:rPr>
          <w:rFonts w:hint="eastAsia"/>
        </w:rPr>
        <w:t>、报告作者</w:t>
      </w:r>
      <w:r>
        <w:rPr>
          <w:rFonts w:hint="eastAsia"/>
        </w:rPr>
        <w:t>缺失的样本</w:t>
      </w:r>
      <w:r w:rsidR="001903D0">
        <w:rPr>
          <w:rFonts w:hint="eastAsia"/>
        </w:rPr>
        <w:t>，以及</w:t>
      </w:r>
      <w:r>
        <w:rPr>
          <w:rFonts w:hint="eastAsia"/>
        </w:rPr>
        <w:t>剔除了窗口期内</w:t>
      </w:r>
      <w:r w:rsidR="00071BDA">
        <w:rPr>
          <w:rFonts w:hint="eastAsia"/>
        </w:rPr>
        <w:t>股票</w:t>
      </w:r>
      <w:r>
        <w:rPr>
          <w:rFonts w:hint="eastAsia"/>
        </w:rPr>
        <w:t>长期停牌导致</w:t>
      </w:r>
      <w:r w:rsidR="001B22E0">
        <w:rPr>
          <w:rFonts w:hint="eastAsia"/>
        </w:rPr>
        <w:t>投资者情绪和</w:t>
      </w:r>
      <w:r>
        <w:rPr>
          <w:rFonts w:hint="eastAsia"/>
        </w:rPr>
        <w:t>价格信息含量无法测量的样本</w:t>
      </w:r>
      <w:r w:rsidR="001903D0">
        <w:rPr>
          <w:rFonts w:hint="eastAsia"/>
        </w:rPr>
        <w:t>后，</w:t>
      </w:r>
      <w:r w:rsidR="00BA74B5">
        <w:rPr>
          <w:rFonts w:hint="eastAsia"/>
        </w:rPr>
        <w:t>最终剩余来自</w:t>
      </w:r>
      <w:r w:rsidR="0074510F">
        <w:rPr>
          <w:rFonts w:hint="eastAsia"/>
        </w:rPr>
        <w:t>100</w:t>
      </w:r>
      <w:r>
        <w:rPr>
          <w:rFonts w:hint="eastAsia"/>
        </w:rPr>
        <w:t>家机构</w:t>
      </w:r>
      <w:r w:rsidR="001B22E0">
        <w:rPr>
          <w:rFonts w:hint="eastAsia"/>
        </w:rPr>
        <w:t>2</w:t>
      </w:r>
      <w:r w:rsidR="00BA74B5">
        <w:t>,</w:t>
      </w:r>
      <w:r w:rsidR="001903D0">
        <w:rPr>
          <w:rFonts w:hint="eastAsia"/>
        </w:rPr>
        <w:t>558</w:t>
      </w:r>
      <w:r>
        <w:rPr>
          <w:rFonts w:hint="eastAsia"/>
        </w:rPr>
        <w:t>名分析师的</w:t>
      </w:r>
      <w:r w:rsidR="00722213">
        <w:rPr>
          <w:rFonts w:hint="eastAsia"/>
        </w:rPr>
        <w:t>2</w:t>
      </w:r>
      <w:r w:rsidR="001903D0">
        <w:rPr>
          <w:rFonts w:hint="eastAsia"/>
        </w:rPr>
        <w:t>1</w:t>
      </w:r>
      <w:r w:rsidR="001B22E0">
        <w:t>,</w:t>
      </w:r>
      <w:r w:rsidR="001903D0">
        <w:rPr>
          <w:rFonts w:hint="eastAsia"/>
        </w:rPr>
        <w:t>238</w:t>
      </w:r>
      <w:r>
        <w:rPr>
          <w:rFonts w:hint="eastAsia"/>
        </w:rPr>
        <w:t>份公司深度研究报告报告，涉及沪深两市的</w:t>
      </w:r>
      <w:r w:rsidR="0074510F">
        <w:rPr>
          <w:rFonts w:hint="eastAsia"/>
        </w:rPr>
        <w:t>2</w:t>
      </w:r>
      <w:r w:rsidR="0074510F">
        <w:t>,</w:t>
      </w:r>
      <w:r w:rsidR="001903D0">
        <w:rPr>
          <w:rFonts w:hint="eastAsia"/>
        </w:rPr>
        <w:t>209</w:t>
      </w:r>
      <w:r>
        <w:rPr>
          <w:rFonts w:hint="eastAsia"/>
        </w:rPr>
        <w:t>只股票，样本</w:t>
      </w:r>
      <w:r w:rsidR="00B437ED">
        <w:rPr>
          <w:rFonts w:hint="eastAsia"/>
        </w:rPr>
        <w:t>的投资评级分布</w:t>
      </w:r>
      <w:r>
        <w:rPr>
          <w:rFonts w:hint="eastAsia"/>
        </w:rPr>
        <w:t>情况</w:t>
      </w:r>
      <w:r w:rsidR="00A8116B">
        <w:rPr>
          <w:rFonts w:hint="eastAsia"/>
        </w:rPr>
        <w:t>分布</w:t>
      </w:r>
      <w:r>
        <w:rPr>
          <w:rFonts w:hint="eastAsia"/>
        </w:rPr>
        <w:t>如</w:t>
      </w:r>
      <w:r w:rsidR="00A8116B">
        <w:fldChar w:fldCharType="begin"/>
      </w:r>
      <w:r w:rsidR="00A8116B">
        <w:instrText xml:space="preserve"> </w:instrText>
      </w:r>
      <w:r w:rsidR="00A8116B">
        <w:rPr>
          <w:rFonts w:hint="eastAsia"/>
        </w:rPr>
        <w:instrText>REF _Ref509227872 \h</w:instrText>
      </w:r>
      <w:r w:rsidR="00A8116B">
        <w:instrText xml:space="preserve"> </w:instrText>
      </w:r>
      <w:r w:rsidR="005D4A55">
        <w:instrText xml:space="preserve"> \* MERGEFORMAT </w:instrText>
      </w:r>
      <w:r w:rsidR="00A8116B">
        <w:fldChar w:fldCharType="separate"/>
      </w:r>
      <w:r w:rsidR="0016113B">
        <w:rPr>
          <w:rFonts w:hint="eastAsia"/>
        </w:rPr>
        <w:t>表</w:t>
      </w:r>
      <w:r w:rsidR="0016113B">
        <w:rPr>
          <w:noProof/>
        </w:rPr>
        <w:t>1</w:t>
      </w:r>
      <w:r w:rsidR="00A8116B">
        <w:fldChar w:fldCharType="end"/>
      </w:r>
      <w:r>
        <w:rPr>
          <w:rFonts w:hint="eastAsia"/>
        </w:rPr>
        <w:t>所示。</w:t>
      </w:r>
    </w:p>
    <w:p w14:paraId="41546280" w14:textId="4742DB2A" w:rsidR="00576CFC" w:rsidRDefault="0052027E" w:rsidP="009E2CF7">
      <w:pPr>
        <w:spacing w:line="240" w:lineRule="auto"/>
        <w:ind w:firstLine="420"/>
      </w:pPr>
      <w:r>
        <w:rPr>
          <w:rFonts w:hint="eastAsia"/>
        </w:rPr>
        <w:t>从报告的评级分布来看，</w:t>
      </w:r>
      <w:r>
        <w:rPr>
          <w:rFonts w:hint="eastAsia"/>
        </w:rPr>
        <w:t>95%</w:t>
      </w:r>
      <w:r>
        <w:rPr>
          <w:rFonts w:hint="eastAsia"/>
        </w:rPr>
        <w:t>以上的公司深度研究报告给出了买入和增持评级，一方面是因为分析师评级存在乐观偏差，另一方面也因为我国目前尚缺少做空机制，因此分析师偏好于挖掘上涨机会大的股票，研究报告评级整体偏高。从报告的评级变动来看，属于首次覆盖的报告为</w:t>
      </w:r>
      <w:r>
        <w:t>10,006</w:t>
      </w:r>
      <w:r>
        <w:rPr>
          <w:rFonts w:hint="eastAsia"/>
        </w:rPr>
        <w:t>份，占总样本的</w:t>
      </w:r>
      <w:r>
        <w:t>47.</w:t>
      </w:r>
      <w:r>
        <w:rPr>
          <w:rFonts w:hint="eastAsia"/>
        </w:rPr>
        <w:t>11%</w:t>
      </w:r>
      <w:r>
        <w:rPr>
          <w:rFonts w:hint="eastAsia"/>
        </w:rPr>
        <w:t>；属于跟踪评级的报告为</w:t>
      </w:r>
      <w:r>
        <w:t>11,232</w:t>
      </w:r>
      <w:r>
        <w:rPr>
          <w:rFonts w:hint="eastAsia"/>
        </w:rPr>
        <w:t>份，其中上调</w:t>
      </w:r>
      <w:r>
        <w:rPr>
          <w:rFonts w:hint="eastAsia"/>
        </w:rPr>
        <w:t>1</w:t>
      </w:r>
      <w:r>
        <w:t>,018</w:t>
      </w:r>
      <w:r>
        <w:rPr>
          <w:rFonts w:hint="eastAsia"/>
        </w:rPr>
        <w:t>份，维持</w:t>
      </w:r>
      <w:r>
        <w:t>10,081</w:t>
      </w:r>
      <w:r>
        <w:rPr>
          <w:rFonts w:hint="eastAsia"/>
        </w:rPr>
        <w:t>份，下调</w:t>
      </w:r>
      <w:r>
        <w:rPr>
          <w:rFonts w:hint="eastAsia"/>
        </w:rPr>
        <w:t>1</w:t>
      </w:r>
      <w:r>
        <w:t>33</w:t>
      </w:r>
      <w:r>
        <w:rPr>
          <w:rFonts w:hint="eastAsia"/>
        </w:rPr>
        <w:t>份。可见证券分析师在发布跟踪报告时大多维持了首次评级的结果。</w:t>
      </w:r>
    </w:p>
    <w:p w14:paraId="6ADEBE23" w14:textId="77777777" w:rsidR="0052027E" w:rsidRDefault="0052027E" w:rsidP="009E2CF7">
      <w:pPr>
        <w:spacing w:line="240" w:lineRule="auto"/>
        <w:ind w:firstLine="420"/>
      </w:pPr>
    </w:p>
    <w:p w14:paraId="464FBF89" w14:textId="5C43AAA2" w:rsidR="00903852" w:rsidRDefault="00903852" w:rsidP="009E2CF7">
      <w:pPr>
        <w:pStyle w:val="ac"/>
        <w:spacing w:line="240" w:lineRule="auto"/>
      </w:pPr>
      <w:bookmarkStart w:id="30" w:name="_Ref5092278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1</w:t>
      </w:r>
      <w:r>
        <w:fldChar w:fldCharType="end"/>
      </w:r>
      <w:bookmarkEnd w:id="30"/>
      <w:r>
        <w:t xml:space="preserve"> </w:t>
      </w:r>
      <w:r w:rsidR="00A74116">
        <w:rPr>
          <w:rFonts w:hint="eastAsia"/>
        </w:rPr>
        <w:t>样本</w:t>
      </w:r>
      <w:r>
        <w:rPr>
          <w:rFonts w:hint="eastAsia"/>
        </w:rPr>
        <w:t>投资评级分布情况</w:t>
      </w:r>
    </w:p>
    <w:tbl>
      <w:tblPr>
        <w:tblStyle w:val="6"/>
        <w:tblW w:w="5000" w:type="pct"/>
        <w:jc w:val="center"/>
        <w:tblLook w:val="07E0" w:firstRow="1" w:lastRow="1" w:firstColumn="1" w:lastColumn="1" w:noHBand="1" w:noVBand="1"/>
      </w:tblPr>
      <w:tblGrid>
        <w:gridCol w:w="1190"/>
        <w:gridCol w:w="1131"/>
        <w:gridCol w:w="980"/>
        <w:gridCol w:w="1131"/>
        <w:gridCol w:w="1131"/>
        <w:gridCol w:w="1374"/>
        <w:gridCol w:w="1369"/>
      </w:tblGrid>
      <w:tr w:rsidR="00BA74B5" w:rsidRPr="0052027E" w14:paraId="61FA0AD6" w14:textId="77777777" w:rsidTr="005D4A55">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single" w:sz="4" w:space="0" w:color="auto"/>
              <w:bottom w:val="nil"/>
            </w:tcBorders>
            <w:noWrap/>
            <w:vAlign w:val="center"/>
            <w:hideMark/>
          </w:tcPr>
          <w:p w14:paraId="3DC3D9CB" w14:textId="77777777" w:rsidR="00BA74B5" w:rsidRPr="0052027E" w:rsidRDefault="00BA74B5" w:rsidP="009E2CF7">
            <w:pPr>
              <w:spacing w:line="240" w:lineRule="auto"/>
              <w:ind w:firstLineChars="0" w:firstLine="0"/>
              <w:jc w:val="center"/>
              <w:rPr>
                <w:szCs w:val="21"/>
              </w:rPr>
            </w:pPr>
            <w:r w:rsidRPr="0052027E">
              <w:rPr>
                <w:rFonts w:hint="eastAsia"/>
                <w:szCs w:val="21"/>
              </w:rPr>
              <w:t>修正方向</w:t>
            </w:r>
          </w:p>
        </w:tc>
        <w:tc>
          <w:tcPr>
            <w:tcW w:w="3460" w:type="pct"/>
            <w:gridSpan w:val="5"/>
            <w:tcBorders>
              <w:top w:val="single" w:sz="4" w:space="0" w:color="auto"/>
              <w:bottom w:val="single" w:sz="4" w:space="0" w:color="auto"/>
            </w:tcBorders>
            <w:noWrap/>
            <w:vAlign w:val="center"/>
            <w:hideMark/>
          </w:tcPr>
          <w:p w14:paraId="5F734DDE" w14:textId="77777777" w:rsidR="00BA74B5" w:rsidRPr="0052027E" w:rsidRDefault="00BA74B5"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Cs w:val="21"/>
              </w:rPr>
            </w:pPr>
            <w:r w:rsidRPr="0052027E">
              <w:rPr>
                <w:rFonts w:hint="eastAsia"/>
                <w:szCs w:val="21"/>
              </w:rPr>
              <w:t>投资评级</w:t>
            </w:r>
          </w:p>
        </w:tc>
        <w:tc>
          <w:tcPr>
            <w:cnfStyle w:val="000100000000" w:firstRow="0" w:lastRow="0" w:firstColumn="0" w:lastColumn="1" w:oddVBand="0" w:evenVBand="0" w:oddHBand="0" w:evenHBand="0" w:firstRowFirstColumn="0" w:firstRowLastColumn="0" w:lastRowFirstColumn="0" w:lastRowLastColumn="0"/>
            <w:tcW w:w="824" w:type="pct"/>
            <w:vMerge w:val="restart"/>
            <w:tcBorders>
              <w:top w:val="single" w:sz="4" w:space="0" w:color="auto"/>
            </w:tcBorders>
            <w:vAlign w:val="center"/>
          </w:tcPr>
          <w:p w14:paraId="1D87133F" w14:textId="2FEE868B" w:rsidR="00BA74B5" w:rsidRPr="0052027E" w:rsidRDefault="00BA74B5" w:rsidP="009E2CF7">
            <w:pPr>
              <w:spacing w:line="240" w:lineRule="auto"/>
              <w:ind w:firstLineChars="0" w:firstLine="0"/>
              <w:jc w:val="center"/>
              <w:rPr>
                <w:szCs w:val="21"/>
              </w:rPr>
            </w:pPr>
            <w:r w:rsidRPr="0052027E">
              <w:rPr>
                <w:rFonts w:hint="eastAsia"/>
                <w:szCs w:val="21"/>
              </w:rPr>
              <w:t>合计</w:t>
            </w:r>
          </w:p>
        </w:tc>
      </w:tr>
      <w:tr w:rsidR="00BA74B5" w:rsidRPr="0052027E" w14:paraId="11AD1955"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top w:val="nil"/>
              <w:bottom w:val="single" w:sz="4" w:space="0" w:color="auto"/>
            </w:tcBorders>
            <w:vAlign w:val="center"/>
            <w:hideMark/>
          </w:tcPr>
          <w:p w14:paraId="507EA15D" w14:textId="77777777" w:rsidR="00BA74B5" w:rsidRPr="0052027E" w:rsidRDefault="00BA74B5" w:rsidP="009E2CF7">
            <w:pPr>
              <w:spacing w:line="240" w:lineRule="auto"/>
              <w:ind w:firstLineChars="0" w:firstLine="0"/>
              <w:jc w:val="center"/>
              <w:rPr>
                <w:szCs w:val="21"/>
              </w:rPr>
            </w:pPr>
          </w:p>
        </w:tc>
        <w:tc>
          <w:tcPr>
            <w:tcW w:w="681" w:type="pct"/>
            <w:tcBorders>
              <w:top w:val="single" w:sz="4" w:space="0" w:color="auto"/>
              <w:bottom w:val="single" w:sz="4" w:space="0" w:color="auto"/>
            </w:tcBorders>
            <w:noWrap/>
            <w:vAlign w:val="center"/>
            <w:hideMark/>
          </w:tcPr>
          <w:p w14:paraId="25013CA9" w14:textId="35E1C10A" w:rsidR="00BA74B5" w:rsidRPr="0052027E" w:rsidRDefault="00BA74B5"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rFonts w:hint="eastAsia"/>
                <w:b/>
                <w:szCs w:val="21"/>
              </w:rPr>
              <w:t>卖出</w:t>
            </w:r>
          </w:p>
        </w:tc>
        <w:tc>
          <w:tcPr>
            <w:tcW w:w="590" w:type="pct"/>
            <w:tcBorders>
              <w:top w:val="single" w:sz="4" w:space="0" w:color="auto"/>
              <w:bottom w:val="single" w:sz="4" w:space="0" w:color="auto"/>
            </w:tcBorders>
            <w:noWrap/>
            <w:vAlign w:val="center"/>
            <w:hideMark/>
          </w:tcPr>
          <w:p w14:paraId="3B80EAFF" w14:textId="6121A0A3" w:rsidR="00BA74B5" w:rsidRPr="0052027E" w:rsidRDefault="00BA74B5"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rFonts w:hint="eastAsia"/>
                <w:b/>
                <w:szCs w:val="21"/>
              </w:rPr>
              <w:t>减持</w:t>
            </w:r>
          </w:p>
        </w:tc>
        <w:tc>
          <w:tcPr>
            <w:tcW w:w="681" w:type="pct"/>
            <w:tcBorders>
              <w:top w:val="single" w:sz="4" w:space="0" w:color="auto"/>
              <w:bottom w:val="single" w:sz="4" w:space="0" w:color="auto"/>
            </w:tcBorders>
            <w:noWrap/>
            <w:vAlign w:val="center"/>
            <w:hideMark/>
          </w:tcPr>
          <w:p w14:paraId="5BC41D0A" w14:textId="77777777" w:rsidR="00BA74B5" w:rsidRPr="0052027E" w:rsidRDefault="00BA74B5"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rFonts w:hint="eastAsia"/>
                <w:b/>
                <w:szCs w:val="21"/>
              </w:rPr>
              <w:t>中性</w:t>
            </w:r>
          </w:p>
        </w:tc>
        <w:tc>
          <w:tcPr>
            <w:tcW w:w="681" w:type="pct"/>
            <w:tcBorders>
              <w:top w:val="single" w:sz="4" w:space="0" w:color="auto"/>
              <w:bottom w:val="single" w:sz="4" w:space="0" w:color="auto"/>
            </w:tcBorders>
            <w:noWrap/>
            <w:vAlign w:val="center"/>
            <w:hideMark/>
          </w:tcPr>
          <w:p w14:paraId="0D9AF1C3" w14:textId="1DAD18D0" w:rsidR="00BA74B5" w:rsidRPr="0052027E" w:rsidRDefault="00BA74B5"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rFonts w:hint="eastAsia"/>
                <w:b/>
                <w:szCs w:val="21"/>
              </w:rPr>
              <w:t>增持</w:t>
            </w:r>
          </w:p>
        </w:tc>
        <w:tc>
          <w:tcPr>
            <w:tcW w:w="827" w:type="pct"/>
            <w:tcBorders>
              <w:top w:val="single" w:sz="4" w:space="0" w:color="auto"/>
              <w:bottom w:val="single" w:sz="4" w:space="0" w:color="auto"/>
            </w:tcBorders>
            <w:noWrap/>
            <w:vAlign w:val="center"/>
            <w:hideMark/>
          </w:tcPr>
          <w:p w14:paraId="0C397340" w14:textId="69C705FB" w:rsidR="00BA74B5" w:rsidRPr="0052027E" w:rsidRDefault="00BA74B5"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rFonts w:hint="eastAsia"/>
                <w:b/>
                <w:szCs w:val="21"/>
              </w:rPr>
              <w:t>买入</w:t>
            </w:r>
          </w:p>
        </w:tc>
        <w:tc>
          <w:tcPr>
            <w:cnfStyle w:val="000100000000" w:firstRow="0" w:lastRow="0" w:firstColumn="0" w:lastColumn="1" w:oddVBand="0" w:evenVBand="0" w:oddHBand="0" w:evenHBand="0" w:firstRowFirstColumn="0" w:firstRowLastColumn="0" w:lastRowFirstColumn="0" w:lastRowLastColumn="0"/>
            <w:tcW w:w="824" w:type="pct"/>
            <w:vMerge/>
            <w:tcBorders>
              <w:bottom w:val="single" w:sz="4" w:space="0" w:color="auto"/>
            </w:tcBorders>
            <w:noWrap/>
            <w:vAlign w:val="center"/>
            <w:hideMark/>
          </w:tcPr>
          <w:p w14:paraId="13071493" w14:textId="693EF94A" w:rsidR="00BA74B5" w:rsidRPr="0052027E" w:rsidRDefault="00BA74B5" w:rsidP="009E2CF7">
            <w:pPr>
              <w:spacing w:line="240" w:lineRule="auto"/>
              <w:ind w:firstLineChars="0" w:firstLine="0"/>
              <w:jc w:val="center"/>
              <w:rPr>
                <w:szCs w:val="21"/>
              </w:rPr>
            </w:pPr>
          </w:p>
        </w:tc>
      </w:tr>
      <w:tr w:rsidR="001903D0" w:rsidRPr="0052027E" w14:paraId="1570B4B7"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single" w:sz="4" w:space="0" w:color="auto"/>
            </w:tcBorders>
            <w:noWrap/>
            <w:vAlign w:val="center"/>
            <w:hideMark/>
          </w:tcPr>
          <w:p w14:paraId="38B181C2" w14:textId="5BD60368" w:rsidR="001903D0" w:rsidRPr="0052027E" w:rsidRDefault="001903D0" w:rsidP="009E2CF7">
            <w:pPr>
              <w:spacing w:line="240" w:lineRule="auto"/>
              <w:ind w:firstLineChars="0" w:firstLine="0"/>
              <w:jc w:val="center"/>
              <w:rPr>
                <w:szCs w:val="21"/>
              </w:rPr>
            </w:pPr>
            <w:r w:rsidRPr="0052027E">
              <w:rPr>
                <w:szCs w:val="21"/>
              </w:rPr>
              <w:t>F</w:t>
            </w:r>
            <w:r w:rsidRPr="0052027E">
              <w:rPr>
                <w:rFonts w:hint="eastAsia"/>
                <w:szCs w:val="21"/>
              </w:rPr>
              <w:t>irst</w:t>
            </w:r>
          </w:p>
        </w:tc>
        <w:tc>
          <w:tcPr>
            <w:tcW w:w="681" w:type="pct"/>
            <w:tcBorders>
              <w:top w:val="single" w:sz="4" w:space="0" w:color="auto"/>
            </w:tcBorders>
            <w:noWrap/>
            <w:vAlign w:val="center"/>
            <w:hideMark/>
          </w:tcPr>
          <w:p w14:paraId="0CCBCBF1" w14:textId="73EC7699"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13</w:t>
            </w:r>
          </w:p>
        </w:tc>
        <w:tc>
          <w:tcPr>
            <w:tcW w:w="590" w:type="pct"/>
            <w:tcBorders>
              <w:top w:val="single" w:sz="4" w:space="0" w:color="auto"/>
            </w:tcBorders>
            <w:noWrap/>
            <w:vAlign w:val="center"/>
            <w:hideMark/>
          </w:tcPr>
          <w:p w14:paraId="015B9593" w14:textId="6CB9E086"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2</w:t>
            </w:r>
          </w:p>
        </w:tc>
        <w:tc>
          <w:tcPr>
            <w:tcW w:w="681" w:type="pct"/>
            <w:tcBorders>
              <w:top w:val="single" w:sz="4" w:space="0" w:color="auto"/>
            </w:tcBorders>
            <w:noWrap/>
            <w:vAlign w:val="center"/>
            <w:hideMark/>
          </w:tcPr>
          <w:p w14:paraId="3185E4A5" w14:textId="12EFA84E"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319</w:t>
            </w:r>
          </w:p>
        </w:tc>
        <w:tc>
          <w:tcPr>
            <w:tcW w:w="681" w:type="pct"/>
            <w:tcBorders>
              <w:top w:val="single" w:sz="4" w:space="0" w:color="auto"/>
            </w:tcBorders>
            <w:noWrap/>
            <w:vAlign w:val="center"/>
            <w:hideMark/>
          </w:tcPr>
          <w:p w14:paraId="78A16947" w14:textId="361B05AD"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3,210</w:t>
            </w:r>
          </w:p>
        </w:tc>
        <w:tc>
          <w:tcPr>
            <w:tcW w:w="827" w:type="pct"/>
            <w:tcBorders>
              <w:top w:val="single" w:sz="4" w:space="0" w:color="auto"/>
            </w:tcBorders>
            <w:noWrap/>
            <w:vAlign w:val="center"/>
            <w:hideMark/>
          </w:tcPr>
          <w:p w14:paraId="6350BE3E" w14:textId="618EF7DC"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6,462</w:t>
            </w:r>
          </w:p>
        </w:tc>
        <w:tc>
          <w:tcPr>
            <w:cnfStyle w:val="000100000000" w:firstRow="0" w:lastRow="0" w:firstColumn="0" w:lastColumn="1" w:oddVBand="0" w:evenVBand="0" w:oddHBand="0" w:evenHBand="0" w:firstRowFirstColumn="0" w:firstRowLastColumn="0" w:lastRowFirstColumn="0" w:lastRowLastColumn="0"/>
            <w:tcW w:w="824" w:type="pct"/>
            <w:tcBorders>
              <w:top w:val="single" w:sz="4" w:space="0" w:color="auto"/>
            </w:tcBorders>
            <w:noWrap/>
            <w:vAlign w:val="center"/>
            <w:hideMark/>
          </w:tcPr>
          <w:p w14:paraId="2B9F32E8" w14:textId="385B7066" w:rsidR="001903D0" w:rsidRPr="0052027E" w:rsidRDefault="001903D0" w:rsidP="009E2CF7">
            <w:pPr>
              <w:spacing w:line="240" w:lineRule="auto"/>
              <w:ind w:firstLineChars="0" w:firstLine="0"/>
              <w:jc w:val="center"/>
              <w:rPr>
                <w:szCs w:val="21"/>
              </w:rPr>
            </w:pPr>
            <w:r w:rsidRPr="0052027E">
              <w:rPr>
                <w:szCs w:val="21"/>
              </w:rPr>
              <w:t>10,006</w:t>
            </w:r>
          </w:p>
        </w:tc>
      </w:tr>
      <w:tr w:rsidR="001903D0" w:rsidRPr="0052027E" w14:paraId="409D4A48"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ign w:val="center"/>
            <w:hideMark/>
          </w:tcPr>
          <w:p w14:paraId="1FD1A06E" w14:textId="77777777" w:rsidR="001903D0" w:rsidRPr="0052027E" w:rsidRDefault="001903D0" w:rsidP="009E2CF7">
            <w:pPr>
              <w:spacing w:line="240" w:lineRule="auto"/>
              <w:ind w:firstLineChars="0" w:firstLine="0"/>
              <w:jc w:val="center"/>
              <w:rPr>
                <w:szCs w:val="21"/>
              </w:rPr>
            </w:pPr>
          </w:p>
        </w:tc>
        <w:tc>
          <w:tcPr>
            <w:tcW w:w="681" w:type="pct"/>
            <w:noWrap/>
            <w:vAlign w:val="center"/>
            <w:hideMark/>
          </w:tcPr>
          <w:p w14:paraId="48046E88" w14:textId="70BDE614"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0.06%</w:t>
            </w:r>
          </w:p>
        </w:tc>
        <w:tc>
          <w:tcPr>
            <w:tcW w:w="590" w:type="pct"/>
            <w:noWrap/>
            <w:vAlign w:val="center"/>
            <w:hideMark/>
          </w:tcPr>
          <w:p w14:paraId="6D1137B0" w14:textId="21512AAF"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0.01%</w:t>
            </w:r>
          </w:p>
        </w:tc>
        <w:tc>
          <w:tcPr>
            <w:tcW w:w="681" w:type="pct"/>
            <w:noWrap/>
            <w:vAlign w:val="center"/>
            <w:hideMark/>
          </w:tcPr>
          <w:p w14:paraId="48924470" w14:textId="2F443C09"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1.50%</w:t>
            </w:r>
          </w:p>
        </w:tc>
        <w:tc>
          <w:tcPr>
            <w:tcW w:w="681" w:type="pct"/>
            <w:noWrap/>
            <w:vAlign w:val="center"/>
            <w:hideMark/>
          </w:tcPr>
          <w:p w14:paraId="2E584CF0" w14:textId="49D61BEC"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15.11%</w:t>
            </w:r>
          </w:p>
        </w:tc>
        <w:tc>
          <w:tcPr>
            <w:tcW w:w="827" w:type="pct"/>
            <w:noWrap/>
            <w:vAlign w:val="center"/>
            <w:hideMark/>
          </w:tcPr>
          <w:p w14:paraId="0C8C5B46" w14:textId="56B80618"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30.43%</w:t>
            </w:r>
          </w:p>
        </w:tc>
        <w:tc>
          <w:tcPr>
            <w:cnfStyle w:val="000100000000" w:firstRow="0" w:lastRow="0" w:firstColumn="0" w:lastColumn="1" w:oddVBand="0" w:evenVBand="0" w:oddHBand="0" w:evenHBand="0" w:firstRowFirstColumn="0" w:firstRowLastColumn="0" w:lastRowFirstColumn="0" w:lastRowLastColumn="0"/>
            <w:tcW w:w="824" w:type="pct"/>
            <w:noWrap/>
            <w:vAlign w:val="center"/>
            <w:hideMark/>
          </w:tcPr>
          <w:p w14:paraId="7F9635DD" w14:textId="515F182D" w:rsidR="001903D0" w:rsidRPr="0052027E" w:rsidRDefault="001903D0" w:rsidP="009E2CF7">
            <w:pPr>
              <w:spacing w:line="240" w:lineRule="auto"/>
              <w:ind w:firstLineChars="0" w:firstLine="0"/>
              <w:jc w:val="center"/>
              <w:rPr>
                <w:szCs w:val="21"/>
              </w:rPr>
            </w:pPr>
            <w:r w:rsidRPr="0052027E">
              <w:rPr>
                <w:szCs w:val="21"/>
              </w:rPr>
              <w:t>47.11%</w:t>
            </w:r>
          </w:p>
        </w:tc>
      </w:tr>
      <w:tr w:rsidR="001903D0" w:rsidRPr="0052027E" w14:paraId="57BD6778"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vAlign w:val="center"/>
            <w:hideMark/>
          </w:tcPr>
          <w:p w14:paraId="6D3794AE" w14:textId="0F225FAD" w:rsidR="001903D0" w:rsidRPr="0052027E" w:rsidRDefault="001903D0" w:rsidP="009E2CF7">
            <w:pPr>
              <w:spacing w:line="240" w:lineRule="auto"/>
              <w:ind w:firstLineChars="0" w:firstLine="0"/>
              <w:jc w:val="center"/>
              <w:rPr>
                <w:szCs w:val="21"/>
              </w:rPr>
            </w:pPr>
            <w:r w:rsidRPr="0052027E">
              <w:rPr>
                <w:rFonts w:hint="eastAsia"/>
                <w:szCs w:val="21"/>
              </w:rPr>
              <w:t>Keep</w:t>
            </w:r>
          </w:p>
        </w:tc>
        <w:tc>
          <w:tcPr>
            <w:tcW w:w="681" w:type="pct"/>
            <w:noWrap/>
            <w:vAlign w:val="center"/>
            <w:hideMark/>
          </w:tcPr>
          <w:p w14:paraId="084FBFF7" w14:textId="5B71841B"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17</w:t>
            </w:r>
          </w:p>
        </w:tc>
        <w:tc>
          <w:tcPr>
            <w:tcW w:w="590" w:type="pct"/>
            <w:noWrap/>
            <w:vAlign w:val="center"/>
            <w:hideMark/>
          </w:tcPr>
          <w:p w14:paraId="768417CE" w14:textId="0BE3A410"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w:t>
            </w:r>
          </w:p>
        </w:tc>
        <w:tc>
          <w:tcPr>
            <w:tcW w:w="681" w:type="pct"/>
            <w:noWrap/>
            <w:vAlign w:val="center"/>
            <w:hideMark/>
          </w:tcPr>
          <w:p w14:paraId="44923910" w14:textId="6F02C296"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256</w:t>
            </w:r>
          </w:p>
        </w:tc>
        <w:tc>
          <w:tcPr>
            <w:tcW w:w="681" w:type="pct"/>
            <w:noWrap/>
            <w:vAlign w:val="center"/>
            <w:hideMark/>
          </w:tcPr>
          <w:p w14:paraId="38A40523" w14:textId="2AAAEC80"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2,237</w:t>
            </w:r>
          </w:p>
        </w:tc>
        <w:tc>
          <w:tcPr>
            <w:tcW w:w="827" w:type="pct"/>
            <w:noWrap/>
            <w:vAlign w:val="center"/>
            <w:hideMark/>
          </w:tcPr>
          <w:p w14:paraId="0765DFE4" w14:textId="78C40D26"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7,571</w:t>
            </w:r>
          </w:p>
        </w:tc>
        <w:tc>
          <w:tcPr>
            <w:cnfStyle w:val="000100000000" w:firstRow="0" w:lastRow="0" w:firstColumn="0" w:lastColumn="1" w:oddVBand="0" w:evenVBand="0" w:oddHBand="0" w:evenHBand="0" w:firstRowFirstColumn="0" w:firstRowLastColumn="0" w:lastRowFirstColumn="0" w:lastRowLastColumn="0"/>
            <w:tcW w:w="824" w:type="pct"/>
            <w:noWrap/>
            <w:vAlign w:val="center"/>
            <w:hideMark/>
          </w:tcPr>
          <w:p w14:paraId="6A4AEEF0" w14:textId="78AB8A67" w:rsidR="001903D0" w:rsidRPr="0052027E" w:rsidRDefault="001903D0" w:rsidP="009E2CF7">
            <w:pPr>
              <w:spacing w:line="240" w:lineRule="auto"/>
              <w:ind w:firstLineChars="0" w:firstLine="0"/>
              <w:jc w:val="center"/>
              <w:rPr>
                <w:szCs w:val="21"/>
              </w:rPr>
            </w:pPr>
            <w:r w:rsidRPr="0052027E">
              <w:rPr>
                <w:szCs w:val="21"/>
              </w:rPr>
              <w:t>10,081</w:t>
            </w:r>
          </w:p>
        </w:tc>
      </w:tr>
      <w:tr w:rsidR="001903D0" w:rsidRPr="0052027E" w14:paraId="0F92064A"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ign w:val="center"/>
            <w:hideMark/>
          </w:tcPr>
          <w:p w14:paraId="18375138" w14:textId="77777777" w:rsidR="001903D0" w:rsidRPr="0052027E" w:rsidRDefault="001903D0" w:rsidP="009E2CF7">
            <w:pPr>
              <w:spacing w:line="240" w:lineRule="auto"/>
              <w:ind w:firstLineChars="0" w:firstLine="0"/>
              <w:jc w:val="center"/>
              <w:rPr>
                <w:szCs w:val="21"/>
              </w:rPr>
            </w:pPr>
          </w:p>
        </w:tc>
        <w:tc>
          <w:tcPr>
            <w:tcW w:w="681" w:type="pct"/>
            <w:noWrap/>
            <w:vAlign w:val="center"/>
            <w:hideMark/>
          </w:tcPr>
          <w:p w14:paraId="1D339708" w14:textId="0602F868"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0.08%</w:t>
            </w:r>
          </w:p>
        </w:tc>
        <w:tc>
          <w:tcPr>
            <w:tcW w:w="590" w:type="pct"/>
            <w:noWrap/>
            <w:vAlign w:val="center"/>
            <w:hideMark/>
          </w:tcPr>
          <w:p w14:paraId="5F35BE88" w14:textId="19B1065D"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w:t>
            </w:r>
          </w:p>
        </w:tc>
        <w:tc>
          <w:tcPr>
            <w:tcW w:w="681" w:type="pct"/>
            <w:noWrap/>
            <w:vAlign w:val="center"/>
            <w:hideMark/>
          </w:tcPr>
          <w:p w14:paraId="2BDB6330" w14:textId="43E27527"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1.21%</w:t>
            </w:r>
          </w:p>
        </w:tc>
        <w:tc>
          <w:tcPr>
            <w:tcW w:w="681" w:type="pct"/>
            <w:noWrap/>
            <w:vAlign w:val="center"/>
            <w:hideMark/>
          </w:tcPr>
          <w:p w14:paraId="1A7904FA" w14:textId="7EF14B37"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10.53%</w:t>
            </w:r>
          </w:p>
        </w:tc>
        <w:tc>
          <w:tcPr>
            <w:tcW w:w="827" w:type="pct"/>
            <w:noWrap/>
            <w:vAlign w:val="center"/>
            <w:hideMark/>
          </w:tcPr>
          <w:p w14:paraId="2FC0AACF" w14:textId="5CCCB183"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35.65%</w:t>
            </w:r>
          </w:p>
        </w:tc>
        <w:tc>
          <w:tcPr>
            <w:cnfStyle w:val="000100000000" w:firstRow="0" w:lastRow="0" w:firstColumn="0" w:lastColumn="1" w:oddVBand="0" w:evenVBand="0" w:oddHBand="0" w:evenHBand="0" w:firstRowFirstColumn="0" w:firstRowLastColumn="0" w:lastRowFirstColumn="0" w:lastRowLastColumn="0"/>
            <w:tcW w:w="824" w:type="pct"/>
            <w:noWrap/>
            <w:vAlign w:val="center"/>
            <w:hideMark/>
          </w:tcPr>
          <w:p w14:paraId="0D65A5B0" w14:textId="56F3E311" w:rsidR="001903D0" w:rsidRPr="0052027E" w:rsidRDefault="001903D0" w:rsidP="009E2CF7">
            <w:pPr>
              <w:spacing w:line="240" w:lineRule="auto"/>
              <w:ind w:firstLineChars="0" w:firstLine="0"/>
              <w:jc w:val="center"/>
              <w:rPr>
                <w:szCs w:val="21"/>
              </w:rPr>
            </w:pPr>
            <w:r w:rsidRPr="0052027E">
              <w:rPr>
                <w:szCs w:val="21"/>
              </w:rPr>
              <w:t>47.47%</w:t>
            </w:r>
          </w:p>
        </w:tc>
      </w:tr>
      <w:tr w:rsidR="001903D0" w:rsidRPr="0052027E" w14:paraId="207F9D00"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vAlign w:val="center"/>
            <w:hideMark/>
          </w:tcPr>
          <w:p w14:paraId="700804F2" w14:textId="77777777" w:rsidR="001903D0" w:rsidRPr="0052027E" w:rsidRDefault="001903D0" w:rsidP="009E2CF7">
            <w:pPr>
              <w:spacing w:line="240" w:lineRule="auto"/>
              <w:ind w:firstLineChars="0" w:firstLine="0"/>
              <w:jc w:val="center"/>
              <w:rPr>
                <w:szCs w:val="21"/>
              </w:rPr>
            </w:pPr>
            <w:r w:rsidRPr="0052027E">
              <w:rPr>
                <w:rFonts w:hint="eastAsia"/>
                <w:szCs w:val="21"/>
              </w:rPr>
              <w:t>Up</w:t>
            </w:r>
          </w:p>
        </w:tc>
        <w:tc>
          <w:tcPr>
            <w:tcW w:w="681" w:type="pct"/>
            <w:noWrap/>
            <w:vAlign w:val="center"/>
            <w:hideMark/>
          </w:tcPr>
          <w:p w14:paraId="7EB29D5D" w14:textId="69C99507"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w:t>
            </w:r>
          </w:p>
        </w:tc>
        <w:tc>
          <w:tcPr>
            <w:tcW w:w="590" w:type="pct"/>
            <w:noWrap/>
            <w:vAlign w:val="center"/>
            <w:hideMark/>
          </w:tcPr>
          <w:p w14:paraId="254BF6E4" w14:textId="10D47B43"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w:t>
            </w:r>
          </w:p>
        </w:tc>
        <w:tc>
          <w:tcPr>
            <w:tcW w:w="681" w:type="pct"/>
            <w:noWrap/>
            <w:vAlign w:val="center"/>
            <w:hideMark/>
          </w:tcPr>
          <w:p w14:paraId="6E4B5747" w14:textId="2EB88D3C"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19</w:t>
            </w:r>
          </w:p>
        </w:tc>
        <w:tc>
          <w:tcPr>
            <w:tcW w:w="681" w:type="pct"/>
            <w:noWrap/>
            <w:vAlign w:val="center"/>
            <w:hideMark/>
          </w:tcPr>
          <w:p w14:paraId="5B601F73" w14:textId="50772079"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59</w:t>
            </w:r>
          </w:p>
        </w:tc>
        <w:tc>
          <w:tcPr>
            <w:tcW w:w="827" w:type="pct"/>
            <w:noWrap/>
            <w:vAlign w:val="center"/>
            <w:hideMark/>
          </w:tcPr>
          <w:p w14:paraId="11A364E8" w14:textId="124C0AF4"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940</w:t>
            </w:r>
          </w:p>
        </w:tc>
        <w:tc>
          <w:tcPr>
            <w:cnfStyle w:val="000100000000" w:firstRow="0" w:lastRow="0" w:firstColumn="0" w:lastColumn="1" w:oddVBand="0" w:evenVBand="0" w:oddHBand="0" w:evenHBand="0" w:firstRowFirstColumn="0" w:firstRowLastColumn="0" w:lastRowFirstColumn="0" w:lastRowLastColumn="0"/>
            <w:tcW w:w="824" w:type="pct"/>
            <w:noWrap/>
            <w:vAlign w:val="center"/>
            <w:hideMark/>
          </w:tcPr>
          <w:p w14:paraId="4462E1DC" w14:textId="42952509" w:rsidR="001903D0" w:rsidRPr="0052027E" w:rsidRDefault="001903D0" w:rsidP="009E2CF7">
            <w:pPr>
              <w:spacing w:line="240" w:lineRule="auto"/>
              <w:ind w:firstLineChars="0" w:firstLine="0"/>
              <w:jc w:val="center"/>
              <w:rPr>
                <w:szCs w:val="21"/>
              </w:rPr>
            </w:pPr>
            <w:r w:rsidRPr="0052027E">
              <w:rPr>
                <w:szCs w:val="21"/>
              </w:rPr>
              <w:t>1,018</w:t>
            </w:r>
          </w:p>
        </w:tc>
      </w:tr>
      <w:tr w:rsidR="001903D0" w:rsidRPr="0052027E" w14:paraId="5275A2A6"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ign w:val="center"/>
            <w:hideMark/>
          </w:tcPr>
          <w:p w14:paraId="5AB6C7F0" w14:textId="77777777" w:rsidR="001903D0" w:rsidRPr="0052027E" w:rsidRDefault="001903D0" w:rsidP="009E2CF7">
            <w:pPr>
              <w:spacing w:line="240" w:lineRule="auto"/>
              <w:ind w:firstLineChars="0" w:firstLine="0"/>
              <w:jc w:val="center"/>
              <w:rPr>
                <w:szCs w:val="21"/>
              </w:rPr>
            </w:pPr>
          </w:p>
        </w:tc>
        <w:tc>
          <w:tcPr>
            <w:tcW w:w="681" w:type="pct"/>
            <w:noWrap/>
            <w:vAlign w:val="center"/>
            <w:hideMark/>
          </w:tcPr>
          <w:p w14:paraId="31213235" w14:textId="0B47800D"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w:t>
            </w:r>
          </w:p>
        </w:tc>
        <w:tc>
          <w:tcPr>
            <w:tcW w:w="590" w:type="pct"/>
            <w:noWrap/>
            <w:vAlign w:val="center"/>
            <w:hideMark/>
          </w:tcPr>
          <w:p w14:paraId="618FE3EF" w14:textId="41FBB533"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w:t>
            </w:r>
          </w:p>
        </w:tc>
        <w:tc>
          <w:tcPr>
            <w:tcW w:w="681" w:type="pct"/>
            <w:noWrap/>
            <w:vAlign w:val="center"/>
            <w:hideMark/>
          </w:tcPr>
          <w:p w14:paraId="68282901" w14:textId="27CB2A1E"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0.09%</w:t>
            </w:r>
          </w:p>
        </w:tc>
        <w:tc>
          <w:tcPr>
            <w:tcW w:w="681" w:type="pct"/>
            <w:noWrap/>
            <w:vAlign w:val="center"/>
            <w:hideMark/>
          </w:tcPr>
          <w:p w14:paraId="67B9FBC1" w14:textId="15F5175F"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0.28%</w:t>
            </w:r>
          </w:p>
        </w:tc>
        <w:tc>
          <w:tcPr>
            <w:tcW w:w="827" w:type="pct"/>
            <w:noWrap/>
            <w:vAlign w:val="center"/>
            <w:hideMark/>
          </w:tcPr>
          <w:p w14:paraId="64FC06A2" w14:textId="4AFF67AB"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4.43%</w:t>
            </w:r>
          </w:p>
        </w:tc>
        <w:tc>
          <w:tcPr>
            <w:cnfStyle w:val="000100000000" w:firstRow="0" w:lastRow="0" w:firstColumn="0" w:lastColumn="1" w:oddVBand="0" w:evenVBand="0" w:oddHBand="0" w:evenHBand="0" w:firstRowFirstColumn="0" w:firstRowLastColumn="0" w:lastRowFirstColumn="0" w:lastRowLastColumn="0"/>
            <w:tcW w:w="824" w:type="pct"/>
            <w:noWrap/>
            <w:vAlign w:val="center"/>
            <w:hideMark/>
          </w:tcPr>
          <w:p w14:paraId="339767CB" w14:textId="7AD0EAB9" w:rsidR="001903D0" w:rsidRPr="0052027E" w:rsidRDefault="001903D0" w:rsidP="009E2CF7">
            <w:pPr>
              <w:spacing w:line="240" w:lineRule="auto"/>
              <w:ind w:firstLineChars="0" w:firstLine="0"/>
              <w:jc w:val="center"/>
              <w:rPr>
                <w:szCs w:val="21"/>
              </w:rPr>
            </w:pPr>
            <w:r w:rsidRPr="0052027E">
              <w:rPr>
                <w:szCs w:val="21"/>
              </w:rPr>
              <w:t>4.79%</w:t>
            </w:r>
          </w:p>
        </w:tc>
      </w:tr>
      <w:tr w:rsidR="001903D0" w:rsidRPr="0052027E" w14:paraId="71B46C5D"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vAlign w:val="center"/>
            <w:hideMark/>
          </w:tcPr>
          <w:p w14:paraId="05ED9439" w14:textId="77777777" w:rsidR="001903D0" w:rsidRPr="0052027E" w:rsidRDefault="001903D0" w:rsidP="009E2CF7">
            <w:pPr>
              <w:spacing w:line="240" w:lineRule="auto"/>
              <w:ind w:firstLineChars="0" w:firstLine="0"/>
              <w:jc w:val="center"/>
              <w:rPr>
                <w:szCs w:val="21"/>
              </w:rPr>
            </w:pPr>
            <w:r w:rsidRPr="0052027E">
              <w:rPr>
                <w:rFonts w:hint="eastAsia"/>
                <w:szCs w:val="21"/>
              </w:rPr>
              <w:t>Down</w:t>
            </w:r>
          </w:p>
        </w:tc>
        <w:tc>
          <w:tcPr>
            <w:tcW w:w="681" w:type="pct"/>
            <w:noWrap/>
            <w:vAlign w:val="center"/>
            <w:hideMark/>
          </w:tcPr>
          <w:p w14:paraId="065C00FD" w14:textId="43F6CA9A"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8</w:t>
            </w:r>
          </w:p>
        </w:tc>
        <w:tc>
          <w:tcPr>
            <w:tcW w:w="590" w:type="pct"/>
            <w:noWrap/>
            <w:vAlign w:val="center"/>
            <w:hideMark/>
          </w:tcPr>
          <w:p w14:paraId="129E98D2" w14:textId="0FC0210D"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w:t>
            </w:r>
          </w:p>
        </w:tc>
        <w:tc>
          <w:tcPr>
            <w:tcW w:w="681" w:type="pct"/>
            <w:noWrap/>
            <w:vAlign w:val="center"/>
            <w:hideMark/>
          </w:tcPr>
          <w:p w14:paraId="69595886" w14:textId="7369945E"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90</w:t>
            </w:r>
          </w:p>
        </w:tc>
        <w:tc>
          <w:tcPr>
            <w:tcW w:w="681" w:type="pct"/>
            <w:noWrap/>
            <w:vAlign w:val="center"/>
            <w:hideMark/>
          </w:tcPr>
          <w:p w14:paraId="23A5FB47" w14:textId="71B56A99"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35</w:t>
            </w:r>
          </w:p>
        </w:tc>
        <w:tc>
          <w:tcPr>
            <w:tcW w:w="827" w:type="pct"/>
            <w:noWrap/>
            <w:vAlign w:val="center"/>
            <w:hideMark/>
          </w:tcPr>
          <w:p w14:paraId="31A58A2B" w14:textId="1A2F1726"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w:t>
            </w:r>
          </w:p>
        </w:tc>
        <w:tc>
          <w:tcPr>
            <w:cnfStyle w:val="000100000000" w:firstRow="0" w:lastRow="0" w:firstColumn="0" w:lastColumn="1" w:oddVBand="0" w:evenVBand="0" w:oddHBand="0" w:evenHBand="0" w:firstRowFirstColumn="0" w:firstRowLastColumn="0" w:lastRowFirstColumn="0" w:lastRowLastColumn="0"/>
            <w:tcW w:w="824" w:type="pct"/>
            <w:noWrap/>
            <w:vAlign w:val="center"/>
            <w:hideMark/>
          </w:tcPr>
          <w:p w14:paraId="36B25004" w14:textId="2AFCD632" w:rsidR="001903D0" w:rsidRPr="0052027E" w:rsidRDefault="001903D0" w:rsidP="009E2CF7">
            <w:pPr>
              <w:spacing w:line="240" w:lineRule="auto"/>
              <w:ind w:firstLineChars="0" w:firstLine="0"/>
              <w:jc w:val="center"/>
              <w:rPr>
                <w:szCs w:val="21"/>
              </w:rPr>
            </w:pPr>
            <w:r w:rsidRPr="0052027E">
              <w:rPr>
                <w:szCs w:val="21"/>
              </w:rPr>
              <w:t>133</w:t>
            </w:r>
          </w:p>
        </w:tc>
      </w:tr>
      <w:tr w:rsidR="001903D0" w:rsidRPr="0052027E" w14:paraId="67A57F10"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bottom w:val="double" w:sz="4" w:space="0" w:color="auto"/>
            </w:tcBorders>
            <w:vAlign w:val="center"/>
            <w:hideMark/>
          </w:tcPr>
          <w:p w14:paraId="31AE0D7E" w14:textId="77777777" w:rsidR="001903D0" w:rsidRPr="0052027E" w:rsidRDefault="001903D0" w:rsidP="009E2CF7">
            <w:pPr>
              <w:spacing w:line="240" w:lineRule="auto"/>
              <w:ind w:firstLineChars="0" w:firstLine="0"/>
              <w:jc w:val="center"/>
              <w:rPr>
                <w:szCs w:val="21"/>
              </w:rPr>
            </w:pPr>
          </w:p>
        </w:tc>
        <w:tc>
          <w:tcPr>
            <w:tcW w:w="681" w:type="pct"/>
            <w:tcBorders>
              <w:bottom w:val="double" w:sz="4" w:space="0" w:color="auto"/>
            </w:tcBorders>
            <w:noWrap/>
            <w:vAlign w:val="center"/>
            <w:hideMark/>
          </w:tcPr>
          <w:p w14:paraId="7D486F37" w14:textId="09736804"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0.04%</w:t>
            </w:r>
          </w:p>
        </w:tc>
        <w:tc>
          <w:tcPr>
            <w:tcW w:w="590" w:type="pct"/>
            <w:tcBorders>
              <w:bottom w:val="double" w:sz="4" w:space="0" w:color="auto"/>
            </w:tcBorders>
            <w:noWrap/>
            <w:vAlign w:val="center"/>
            <w:hideMark/>
          </w:tcPr>
          <w:p w14:paraId="5EDF8604" w14:textId="1F3BE570"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w:t>
            </w:r>
          </w:p>
        </w:tc>
        <w:tc>
          <w:tcPr>
            <w:tcW w:w="681" w:type="pct"/>
            <w:tcBorders>
              <w:bottom w:val="double" w:sz="4" w:space="0" w:color="auto"/>
            </w:tcBorders>
            <w:noWrap/>
            <w:vAlign w:val="center"/>
            <w:hideMark/>
          </w:tcPr>
          <w:p w14:paraId="40253D2A" w14:textId="708ABBEF"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0.42%</w:t>
            </w:r>
          </w:p>
        </w:tc>
        <w:tc>
          <w:tcPr>
            <w:tcW w:w="681" w:type="pct"/>
            <w:tcBorders>
              <w:bottom w:val="double" w:sz="4" w:space="0" w:color="auto"/>
            </w:tcBorders>
            <w:noWrap/>
            <w:vAlign w:val="center"/>
            <w:hideMark/>
          </w:tcPr>
          <w:p w14:paraId="6FA85BCE" w14:textId="05536655"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0.16%</w:t>
            </w:r>
          </w:p>
        </w:tc>
        <w:tc>
          <w:tcPr>
            <w:tcW w:w="827" w:type="pct"/>
            <w:tcBorders>
              <w:bottom w:val="double" w:sz="4" w:space="0" w:color="auto"/>
            </w:tcBorders>
            <w:noWrap/>
            <w:vAlign w:val="center"/>
            <w:hideMark/>
          </w:tcPr>
          <w:p w14:paraId="28D6EF17" w14:textId="122378DE"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2027E">
              <w:rPr>
                <w:szCs w:val="21"/>
              </w:rPr>
              <w:t>-</w:t>
            </w:r>
          </w:p>
        </w:tc>
        <w:tc>
          <w:tcPr>
            <w:cnfStyle w:val="000100000000" w:firstRow="0" w:lastRow="0" w:firstColumn="0" w:lastColumn="1" w:oddVBand="0" w:evenVBand="0" w:oddHBand="0" w:evenHBand="0" w:firstRowFirstColumn="0" w:firstRowLastColumn="0" w:lastRowFirstColumn="0" w:lastRowLastColumn="0"/>
            <w:tcW w:w="824" w:type="pct"/>
            <w:tcBorders>
              <w:bottom w:val="double" w:sz="4" w:space="0" w:color="auto"/>
            </w:tcBorders>
            <w:noWrap/>
            <w:vAlign w:val="center"/>
            <w:hideMark/>
          </w:tcPr>
          <w:p w14:paraId="589F0591" w14:textId="4322AC01" w:rsidR="001903D0" w:rsidRPr="0052027E" w:rsidRDefault="001903D0" w:rsidP="009E2CF7">
            <w:pPr>
              <w:spacing w:line="240" w:lineRule="auto"/>
              <w:ind w:firstLineChars="0" w:firstLine="0"/>
              <w:jc w:val="center"/>
              <w:rPr>
                <w:szCs w:val="21"/>
              </w:rPr>
            </w:pPr>
            <w:r w:rsidRPr="0052027E">
              <w:rPr>
                <w:szCs w:val="21"/>
              </w:rPr>
              <w:t>0.63%</w:t>
            </w:r>
          </w:p>
        </w:tc>
      </w:tr>
      <w:tr w:rsidR="001903D0" w:rsidRPr="0052027E" w14:paraId="539F7F64" w14:textId="77777777" w:rsidTr="005D4A5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double" w:sz="4" w:space="0" w:color="auto"/>
            </w:tcBorders>
            <w:noWrap/>
            <w:vAlign w:val="center"/>
            <w:hideMark/>
          </w:tcPr>
          <w:p w14:paraId="53087E86" w14:textId="77777777" w:rsidR="001903D0" w:rsidRPr="0052027E" w:rsidRDefault="001903D0" w:rsidP="009E2CF7">
            <w:pPr>
              <w:spacing w:line="240" w:lineRule="auto"/>
              <w:ind w:firstLineChars="0" w:firstLine="0"/>
              <w:jc w:val="center"/>
              <w:rPr>
                <w:szCs w:val="21"/>
              </w:rPr>
            </w:pPr>
            <w:r w:rsidRPr="0052027E">
              <w:rPr>
                <w:rFonts w:hint="eastAsia"/>
                <w:szCs w:val="21"/>
              </w:rPr>
              <w:t>合计</w:t>
            </w:r>
          </w:p>
        </w:tc>
        <w:tc>
          <w:tcPr>
            <w:tcW w:w="681" w:type="pct"/>
            <w:tcBorders>
              <w:top w:val="double" w:sz="4" w:space="0" w:color="auto"/>
              <w:bottom w:val="nil"/>
            </w:tcBorders>
            <w:noWrap/>
            <w:vAlign w:val="center"/>
            <w:hideMark/>
          </w:tcPr>
          <w:p w14:paraId="07EAC23C" w14:textId="7F842E40"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b/>
                <w:szCs w:val="21"/>
              </w:rPr>
              <w:t>38</w:t>
            </w:r>
          </w:p>
        </w:tc>
        <w:tc>
          <w:tcPr>
            <w:tcW w:w="590" w:type="pct"/>
            <w:tcBorders>
              <w:top w:val="double" w:sz="4" w:space="0" w:color="auto"/>
              <w:bottom w:val="nil"/>
            </w:tcBorders>
            <w:noWrap/>
            <w:vAlign w:val="center"/>
            <w:hideMark/>
          </w:tcPr>
          <w:p w14:paraId="542A2C52" w14:textId="51D77FC5"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b/>
                <w:szCs w:val="21"/>
              </w:rPr>
              <w:t>2</w:t>
            </w:r>
          </w:p>
        </w:tc>
        <w:tc>
          <w:tcPr>
            <w:tcW w:w="681" w:type="pct"/>
            <w:tcBorders>
              <w:top w:val="double" w:sz="4" w:space="0" w:color="auto"/>
              <w:bottom w:val="nil"/>
            </w:tcBorders>
            <w:noWrap/>
            <w:vAlign w:val="center"/>
            <w:hideMark/>
          </w:tcPr>
          <w:p w14:paraId="70F32C4A" w14:textId="5EB90B27"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b/>
                <w:szCs w:val="21"/>
              </w:rPr>
              <w:t>684</w:t>
            </w:r>
          </w:p>
        </w:tc>
        <w:tc>
          <w:tcPr>
            <w:tcW w:w="681" w:type="pct"/>
            <w:tcBorders>
              <w:top w:val="double" w:sz="4" w:space="0" w:color="auto"/>
              <w:bottom w:val="nil"/>
            </w:tcBorders>
            <w:noWrap/>
            <w:vAlign w:val="center"/>
            <w:hideMark/>
          </w:tcPr>
          <w:p w14:paraId="3BF6FF4E" w14:textId="68EE886C"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b/>
                <w:szCs w:val="21"/>
              </w:rPr>
              <w:t>5,541</w:t>
            </w:r>
          </w:p>
        </w:tc>
        <w:tc>
          <w:tcPr>
            <w:tcW w:w="827" w:type="pct"/>
            <w:tcBorders>
              <w:top w:val="double" w:sz="4" w:space="0" w:color="auto"/>
              <w:bottom w:val="nil"/>
            </w:tcBorders>
            <w:noWrap/>
            <w:vAlign w:val="center"/>
            <w:hideMark/>
          </w:tcPr>
          <w:p w14:paraId="0DAD26E2" w14:textId="3C9F552D" w:rsidR="001903D0" w:rsidRPr="0052027E" w:rsidRDefault="001903D0"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2027E">
              <w:rPr>
                <w:b/>
                <w:szCs w:val="21"/>
              </w:rPr>
              <w:t>14,973</w:t>
            </w:r>
          </w:p>
        </w:tc>
        <w:tc>
          <w:tcPr>
            <w:cnfStyle w:val="000100000000" w:firstRow="0" w:lastRow="0" w:firstColumn="0" w:lastColumn="1" w:oddVBand="0" w:evenVBand="0" w:oddHBand="0" w:evenHBand="0" w:firstRowFirstColumn="0" w:firstRowLastColumn="0" w:lastRowFirstColumn="0" w:lastRowLastColumn="0"/>
            <w:tcW w:w="824" w:type="pct"/>
            <w:tcBorders>
              <w:top w:val="double" w:sz="4" w:space="0" w:color="auto"/>
              <w:bottom w:val="nil"/>
            </w:tcBorders>
            <w:noWrap/>
            <w:vAlign w:val="center"/>
            <w:hideMark/>
          </w:tcPr>
          <w:p w14:paraId="46B973E2" w14:textId="7C3E9EE7" w:rsidR="001903D0" w:rsidRPr="0052027E" w:rsidRDefault="001903D0" w:rsidP="009E2CF7">
            <w:pPr>
              <w:spacing w:line="240" w:lineRule="auto"/>
              <w:ind w:firstLineChars="0" w:firstLine="0"/>
              <w:jc w:val="center"/>
              <w:rPr>
                <w:szCs w:val="21"/>
              </w:rPr>
            </w:pPr>
            <w:r w:rsidRPr="0052027E">
              <w:rPr>
                <w:szCs w:val="21"/>
              </w:rPr>
              <w:t>21,238</w:t>
            </w:r>
          </w:p>
        </w:tc>
      </w:tr>
      <w:tr w:rsidR="001903D0" w:rsidRPr="0052027E" w14:paraId="7B6B54C6" w14:textId="77777777" w:rsidTr="005D4A55">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bottom w:val="single" w:sz="12" w:space="0" w:color="auto"/>
            </w:tcBorders>
            <w:vAlign w:val="center"/>
            <w:hideMark/>
          </w:tcPr>
          <w:p w14:paraId="28E6F473" w14:textId="77777777" w:rsidR="001903D0" w:rsidRPr="0052027E" w:rsidRDefault="001903D0" w:rsidP="009E2CF7">
            <w:pPr>
              <w:spacing w:line="240" w:lineRule="auto"/>
              <w:ind w:firstLineChars="0" w:firstLine="0"/>
              <w:jc w:val="center"/>
              <w:rPr>
                <w:szCs w:val="21"/>
              </w:rPr>
            </w:pPr>
          </w:p>
        </w:tc>
        <w:tc>
          <w:tcPr>
            <w:tcW w:w="681" w:type="pct"/>
            <w:tcBorders>
              <w:top w:val="nil"/>
              <w:bottom w:val="single" w:sz="12" w:space="0" w:color="auto"/>
            </w:tcBorders>
            <w:noWrap/>
            <w:vAlign w:val="center"/>
            <w:hideMark/>
          </w:tcPr>
          <w:p w14:paraId="3F3CA071" w14:textId="37DE1CC9" w:rsidR="001903D0" w:rsidRPr="0052027E" w:rsidRDefault="001903D0" w:rsidP="009E2CF7">
            <w:pPr>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szCs w:val="21"/>
              </w:rPr>
            </w:pPr>
            <w:r w:rsidRPr="0052027E">
              <w:rPr>
                <w:szCs w:val="21"/>
              </w:rPr>
              <w:t>0.18%</w:t>
            </w:r>
          </w:p>
        </w:tc>
        <w:tc>
          <w:tcPr>
            <w:tcW w:w="590" w:type="pct"/>
            <w:tcBorders>
              <w:top w:val="nil"/>
              <w:bottom w:val="single" w:sz="12" w:space="0" w:color="auto"/>
            </w:tcBorders>
            <w:noWrap/>
            <w:vAlign w:val="center"/>
            <w:hideMark/>
          </w:tcPr>
          <w:p w14:paraId="13E3DF87" w14:textId="12F26867" w:rsidR="001903D0" w:rsidRPr="0052027E" w:rsidRDefault="001903D0" w:rsidP="009E2CF7">
            <w:pPr>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szCs w:val="21"/>
              </w:rPr>
            </w:pPr>
            <w:r w:rsidRPr="0052027E">
              <w:rPr>
                <w:szCs w:val="21"/>
              </w:rPr>
              <w:t>0.01%</w:t>
            </w:r>
          </w:p>
        </w:tc>
        <w:tc>
          <w:tcPr>
            <w:tcW w:w="681" w:type="pct"/>
            <w:tcBorders>
              <w:top w:val="nil"/>
              <w:bottom w:val="single" w:sz="12" w:space="0" w:color="auto"/>
            </w:tcBorders>
            <w:noWrap/>
            <w:vAlign w:val="center"/>
            <w:hideMark/>
          </w:tcPr>
          <w:p w14:paraId="2802F4AB" w14:textId="13B120C9" w:rsidR="001903D0" w:rsidRPr="0052027E" w:rsidRDefault="001903D0" w:rsidP="009E2CF7">
            <w:pPr>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szCs w:val="21"/>
              </w:rPr>
            </w:pPr>
            <w:r w:rsidRPr="0052027E">
              <w:rPr>
                <w:szCs w:val="21"/>
              </w:rPr>
              <w:t>3.22%</w:t>
            </w:r>
          </w:p>
        </w:tc>
        <w:tc>
          <w:tcPr>
            <w:tcW w:w="681" w:type="pct"/>
            <w:tcBorders>
              <w:top w:val="nil"/>
              <w:bottom w:val="single" w:sz="12" w:space="0" w:color="auto"/>
            </w:tcBorders>
            <w:noWrap/>
            <w:vAlign w:val="center"/>
            <w:hideMark/>
          </w:tcPr>
          <w:p w14:paraId="1471078F" w14:textId="6FA90283" w:rsidR="001903D0" w:rsidRPr="0052027E" w:rsidRDefault="001903D0" w:rsidP="009E2CF7">
            <w:pPr>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szCs w:val="21"/>
              </w:rPr>
            </w:pPr>
            <w:r w:rsidRPr="0052027E">
              <w:rPr>
                <w:szCs w:val="21"/>
              </w:rPr>
              <w:t>26.09%</w:t>
            </w:r>
          </w:p>
        </w:tc>
        <w:tc>
          <w:tcPr>
            <w:tcW w:w="827" w:type="pct"/>
            <w:tcBorders>
              <w:top w:val="nil"/>
              <w:bottom w:val="single" w:sz="12" w:space="0" w:color="auto"/>
            </w:tcBorders>
            <w:noWrap/>
            <w:vAlign w:val="center"/>
            <w:hideMark/>
          </w:tcPr>
          <w:p w14:paraId="4F3BBEB5" w14:textId="3D99D22F" w:rsidR="001903D0" w:rsidRPr="0052027E" w:rsidRDefault="001903D0" w:rsidP="009E2CF7">
            <w:pPr>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szCs w:val="21"/>
              </w:rPr>
            </w:pPr>
            <w:r w:rsidRPr="0052027E">
              <w:rPr>
                <w:szCs w:val="21"/>
              </w:rPr>
              <w:t>70.50%</w:t>
            </w:r>
          </w:p>
        </w:tc>
        <w:tc>
          <w:tcPr>
            <w:cnfStyle w:val="000100000000" w:firstRow="0" w:lastRow="0" w:firstColumn="0" w:lastColumn="1" w:oddVBand="0" w:evenVBand="0" w:oddHBand="0" w:evenHBand="0" w:firstRowFirstColumn="0" w:firstRowLastColumn="0" w:lastRowFirstColumn="0" w:lastRowLastColumn="0"/>
            <w:tcW w:w="824" w:type="pct"/>
            <w:tcBorders>
              <w:top w:val="nil"/>
              <w:bottom w:val="single" w:sz="12" w:space="0" w:color="auto"/>
            </w:tcBorders>
            <w:noWrap/>
            <w:vAlign w:val="center"/>
            <w:hideMark/>
          </w:tcPr>
          <w:p w14:paraId="421003B7" w14:textId="00793F8A" w:rsidR="001903D0" w:rsidRPr="0052027E" w:rsidRDefault="001903D0" w:rsidP="009E2CF7">
            <w:pPr>
              <w:spacing w:line="240" w:lineRule="auto"/>
              <w:ind w:firstLineChars="0" w:firstLine="0"/>
              <w:jc w:val="center"/>
              <w:rPr>
                <w:szCs w:val="21"/>
              </w:rPr>
            </w:pPr>
            <w:r w:rsidRPr="0052027E">
              <w:rPr>
                <w:szCs w:val="21"/>
              </w:rPr>
              <w:t>100%</w:t>
            </w:r>
          </w:p>
        </w:tc>
      </w:tr>
    </w:tbl>
    <w:p w14:paraId="23CD37E6" w14:textId="4309C7C4" w:rsidR="00447DB7" w:rsidRPr="00447DB7" w:rsidRDefault="00447DB7" w:rsidP="009E2CF7">
      <w:pPr>
        <w:pStyle w:val="ad"/>
        <w:spacing w:line="240" w:lineRule="auto"/>
      </w:pPr>
      <w:r w:rsidRPr="00447DB7">
        <w:rPr>
          <w:rFonts w:hint="eastAsia"/>
        </w:rPr>
        <w:t>资料来源：</w:t>
      </w:r>
      <w:r w:rsidR="00903852">
        <w:rPr>
          <w:rFonts w:hint="eastAsia"/>
        </w:rPr>
        <w:t>R</w:t>
      </w:r>
      <w:r w:rsidR="00903852">
        <w:t>ESSET</w:t>
      </w:r>
      <w:r w:rsidRPr="00447DB7">
        <w:rPr>
          <w:rFonts w:hint="eastAsia"/>
        </w:rPr>
        <w:t>数据库</w:t>
      </w:r>
    </w:p>
    <w:p w14:paraId="1353EB6C" w14:textId="2016E75C" w:rsidR="00DD7EA5" w:rsidRDefault="008B410E" w:rsidP="009E2CF7">
      <w:pPr>
        <w:pStyle w:val="3"/>
        <w:spacing w:line="240" w:lineRule="auto"/>
        <w:ind w:firstLine="422"/>
      </w:pPr>
      <w:bookmarkStart w:id="31" w:name="_Toc510120306"/>
      <w:bookmarkStart w:id="32" w:name="_Toc510121724"/>
      <w:bookmarkStart w:id="33" w:name="_Toc510124639"/>
      <w:bookmarkStart w:id="34" w:name="_Toc510124788"/>
      <w:r>
        <w:rPr>
          <w:rFonts w:hint="eastAsia"/>
        </w:rPr>
        <w:t>关键</w:t>
      </w:r>
      <w:r w:rsidR="00777457">
        <w:rPr>
          <w:rFonts w:hint="eastAsia"/>
        </w:rPr>
        <w:t>变量</w:t>
      </w:r>
      <w:r>
        <w:rPr>
          <w:rFonts w:hint="eastAsia"/>
        </w:rPr>
        <w:t>的计算</w:t>
      </w:r>
      <w:bookmarkEnd w:id="31"/>
      <w:bookmarkEnd w:id="32"/>
      <w:bookmarkEnd w:id="33"/>
      <w:bookmarkEnd w:id="34"/>
    </w:p>
    <w:p w14:paraId="605912C7" w14:textId="77777777" w:rsidR="00777457" w:rsidRPr="008B410E" w:rsidRDefault="00777457" w:rsidP="009E2CF7">
      <w:pPr>
        <w:pStyle w:val="4"/>
        <w:numPr>
          <w:ilvl w:val="0"/>
          <w:numId w:val="20"/>
        </w:numPr>
        <w:spacing w:line="240" w:lineRule="auto"/>
      </w:pPr>
      <w:r w:rsidRPr="008B410E">
        <w:rPr>
          <w:rFonts w:hint="eastAsia"/>
        </w:rPr>
        <w:t>综合投资者情绪</w:t>
      </w:r>
    </w:p>
    <w:p w14:paraId="7C8BFE52" w14:textId="6DC9A6CA" w:rsidR="00A74116" w:rsidRDefault="00E20294" w:rsidP="009E2CF7">
      <w:pPr>
        <w:spacing w:line="240" w:lineRule="auto"/>
        <w:ind w:firstLine="420"/>
      </w:pPr>
      <w:r>
        <w:rPr>
          <w:rFonts w:hint="eastAsia"/>
        </w:rPr>
        <w:t>本文</w:t>
      </w:r>
      <w:r w:rsidR="00777457">
        <w:rPr>
          <w:rFonts w:hint="eastAsia"/>
        </w:rPr>
        <w:t>参照</w:t>
      </w:r>
      <w:r w:rsidR="00777457">
        <w:rPr>
          <w:rFonts w:hint="eastAsia"/>
        </w:rPr>
        <w:t>Baker</w:t>
      </w:r>
      <w:r w:rsidR="00777457">
        <w:rPr>
          <w:rFonts w:hint="eastAsia"/>
        </w:rPr>
        <w:t>和</w:t>
      </w:r>
      <w:proofErr w:type="spellStart"/>
      <w:r w:rsidR="00777457">
        <w:rPr>
          <w:rFonts w:hint="eastAsia"/>
        </w:rPr>
        <w:t>Wurgler</w:t>
      </w:r>
      <w:proofErr w:type="spellEnd"/>
      <w:r w:rsidR="00777457">
        <w:rPr>
          <w:rFonts w:hint="eastAsia"/>
        </w:rPr>
        <w:t>（</w:t>
      </w:r>
      <w:r w:rsidR="00777457">
        <w:rPr>
          <w:rFonts w:hint="eastAsia"/>
        </w:rPr>
        <w:t>2006</w:t>
      </w:r>
      <w:r w:rsidR="00777457">
        <w:rPr>
          <w:rFonts w:hint="eastAsia"/>
        </w:rPr>
        <w:t>）</w:t>
      </w:r>
      <w:r w:rsidR="00EE48D6" w:rsidRPr="00ED7411">
        <w:rPr>
          <w:rStyle w:val="afa"/>
        </w:rPr>
        <w:t>[</w:t>
      </w:r>
      <w:r w:rsidR="00EE48D6" w:rsidRPr="00ED7411">
        <w:rPr>
          <w:rStyle w:val="afa"/>
        </w:rPr>
        <w:endnoteReference w:id="22"/>
      </w:r>
      <w:r w:rsidR="00EE48D6" w:rsidRPr="00ED7411">
        <w:rPr>
          <w:rStyle w:val="afa"/>
        </w:rPr>
        <w:t>]</w:t>
      </w:r>
      <w:r w:rsidRPr="00E20294">
        <w:rPr>
          <w:rStyle w:val="afa"/>
          <w:rFonts w:hint="eastAsia"/>
          <w:vertAlign w:val="baseline"/>
        </w:rPr>
        <w:t>，</w:t>
      </w:r>
      <w:proofErr w:type="gramStart"/>
      <w:r w:rsidR="007549BC">
        <w:rPr>
          <w:rFonts w:hint="eastAsia"/>
        </w:rPr>
        <w:t>伍燕然</w:t>
      </w:r>
      <w:proofErr w:type="gramEnd"/>
      <w:r w:rsidR="007549BC">
        <w:rPr>
          <w:rFonts w:hint="eastAsia"/>
        </w:rPr>
        <w:t>等（</w:t>
      </w:r>
      <w:r w:rsidR="007549BC">
        <w:rPr>
          <w:rFonts w:hint="eastAsia"/>
        </w:rPr>
        <w:t>2012</w:t>
      </w:r>
      <w:r w:rsidR="007549BC">
        <w:rPr>
          <w:rFonts w:hint="eastAsia"/>
        </w:rPr>
        <w:t>）</w:t>
      </w:r>
      <w:r w:rsidR="006657AC">
        <w:rPr>
          <w:rStyle w:val="afa"/>
        </w:rPr>
        <w:t>[</w:t>
      </w:r>
      <w:r w:rsidR="006657AC">
        <w:rPr>
          <w:rStyle w:val="afa"/>
        </w:rPr>
        <w:endnoteReference w:id="23"/>
      </w:r>
      <w:r w:rsidR="006657AC">
        <w:rPr>
          <w:rStyle w:val="afa"/>
        </w:rPr>
        <w:t>]</w:t>
      </w:r>
      <w:r w:rsidR="007549BC">
        <w:rPr>
          <w:rFonts w:hint="eastAsia"/>
        </w:rPr>
        <w:t>的</w:t>
      </w:r>
      <w:r w:rsidR="00DA6928">
        <w:rPr>
          <w:rFonts w:hint="eastAsia"/>
        </w:rPr>
        <w:t>研究，选择</w:t>
      </w:r>
      <w:r w:rsidR="007549BC">
        <w:rPr>
          <w:rFonts w:hint="eastAsia"/>
        </w:rPr>
        <w:t>滞后一期的</w:t>
      </w:r>
      <w:r w:rsidR="00777457">
        <w:rPr>
          <w:rFonts w:hint="eastAsia"/>
        </w:rPr>
        <w:t>封闭式基金折价率</w:t>
      </w:r>
      <m:oMath>
        <m:sSub>
          <m:sSubPr>
            <m:ctrlPr>
              <w:rPr>
                <w:rFonts w:ascii="Cambria Math" w:hAnsi="Cambria Math"/>
              </w:rPr>
            </m:ctrlPr>
          </m:sSubPr>
          <m:e>
            <m:r>
              <w:rPr>
                <w:rFonts w:ascii="Cambria Math" w:hAnsi="Cambria Math"/>
              </w:rPr>
              <m:t>DCEF</m:t>
            </m:r>
          </m:e>
          <m:sub>
            <m:r>
              <w:rPr>
                <w:rFonts w:ascii="Cambria Math" w:hAnsi="Cambria Math" w:hint="eastAsia"/>
              </w:rPr>
              <m:t>t</m:t>
            </m:r>
            <m:r>
              <w:rPr>
                <w:rFonts w:ascii="Cambria Math" w:hAnsi="Cambria Math"/>
              </w:rPr>
              <m:t>-1</m:t>
            </m:r>
          </m:sub>
        </m:sSub>
      </m:oMath>
      <w:r w:rsidR="00777457">
        <w:rPr>
          <w:rFonts w:hint="eastAsia"/>
        </w:rPr>
        <w:t>、</w:t>
      </w:r>
      <w:r w:rsidR="007549BC">
        <w:rPr>
          <w:rFonts w:hint="eastAsia"/>
        </w:rPr>
        <w:t>同期</w:t>
      </w:r>
      <w:r w:rsidR="00777457">
        <w:rPr>
          <w:rFonts w:hint="eastAsia"/>
        </w:rPr>
        <w:t>换手率</w:t>
      </w:r>
      <m:oMath>
        <m:sSub>
          <m:sSubPr>
            <m:ctrlPr>
              <w:rPr>
                <w:rFonts w:ascii="Cambria Math" w:hAnsi="Cambria Math"/>
              </w:rPr>
            </m:ctrlPr>
          </m:sSubPr>
          <m:e>
            <m:r>
              <w:rPr>
                <w:rFonts w:ascii="Cambria Math" w:hAnsi="Cambria Math"/>
              </w:rPr>
              <m:t>TURN</m:t>
            </m:r>
          </m:e>
          <m:sub>
            <m:r>
              <w:rPr>
                <w:rFonts w:ascii="Cambria Math" w:hAnsi="Cambria Math" w:hint="eastAsia"/>
              </w:rPr>
              <m:t>t</m:t>
            </m:r>
          </m:sub>
        </m:sSub>
      </m:oMath>
      <w:r w:rsidR="00777457">
        <w:rPr>
          <w:rFonts w:hint="eastAsia"/>
        </w:rPr>
        <w:t>、</w:t>
      </w:r>
      <w:r w:rsidR="007549BC">
        <w:rPr>
          <w:rFonts w:hint="eastAsia"/>
        </w:rPr>
        <w:t>滞后一期的</w:t>
      </w:r>
      <w:r w:rsidR="00777457">
        <w:t>IPO</w:t>
      </w:r>
      <w:r w:rsidR="00DA6928">
        <w:rPr>
          <w:rFonts w:hint="eastAsia"/>
        </w:rPr>
        <w:t>首日收益率</w:t>
      </w:r>
      <m:oMath>
        <m:sSub>
          <m:sSubPr>
            <m:ctrlPr>
              <w:rPr>
                <w:rFonts w:ascii="Cambria Math" w:hAnsi="Cambria Math"/>
              </w:rPr>
            </m:ctrlPr>
          </m:sSubPr>
          <m:e>
            <m:r>
              <w:rPr>
                <w:rFonts w:ascii="Cambria Math" w:hAnsi="Cambria Math"/>
              </w:rPr>
              <m:t>IPOR</m:t>
            </m:r>
          </m:e>
          <m:sub>
            <m:r>
              <w:rPr>
                <w:rFonts w:ascii="Cambria Math" w:hAnsi="Cambria Math" w:hint="eastAsia"/>
              </w:rPr>
              <m:t>t</m:t>
            </m:r>
            <m:r>
              <w:rPr>
                <w:rFonts w:ascii="Cambria Math" w:eastAsia="微软雅黑" w:hAnsi="Cambria Math" w:cs="微软雅黑" w:hint="eastAsia"/>
              </w:rPr>
              <m:t>-</m:t>
            </m:r>
            <m:r>
              <w:rPr>
                <w:rFonts w:ascii="Cambria Math" w:hAnsi="Cambria Math"/>
              </w:rPr>
              <m:t>1</m:t>
            </m:r>
          </m:sub>
        </m:sSub>
      </m:oMath>
      <w:r w:rsidR="00DA6928">
        <w:rPr>
          <w:rFonts w:hint="eastAsia"/>
        </w:rPr>
        <w:t>和</w:t>
      </w:r>
      <w:r w:rsidR="007549BC">
        <w:rPr>
          <w:rFonts w:hint="eastAsia"/>
        </w:rPr>
        <w:t>同期</w:t>
      </w:r>
      <w:r w:rsidR="00777457">
        <w:rPr>
          <w:rFonts w:hint="eastAsia"/>
        </w:rPr>
        <w:t>新增投资者开户数量</w:t>
      </w:r>
      <m:oMath>
        <m:sSub>
          <m:sSubPr>
            <m:ctrlPr>
              <w:rPr>
                <w:rFonts w:ascii="Cambria Math" w:hAnsi="Cambria Math"/>
              </w:rPr>
            </m:ctrlPr>
          </m:sSubPr>
          <m:e>
            <m:r>
              <w:rPr>
                <w:rFonts w:ascii="Cambria Math" w:hAnsi="Cambria Math"/>
              </w:rPr>
              <m:t>NIA</m:t>
            </m:r>
          </m:e>
          <m:sub>
            <m:r>
              <w:rPr>
                <w:rFonts w:ascii="Cambria Math" w:hAnsi="Cambria Math"/>
              </w:rPr>
              <m:t>t</m:t>
            </m:r>
          </m:sub>
        </m:sSub>
      </m:oMath>
      <w:r w:rsidR="005717F7">
        <w:rPr>
          <w:rFonts w:hint="eastAsia"/>
        </w:rPr>
        <w:t>共四个变量</w:t>
      </w:r>
      <w:r w:rsidR="006C312F">
        <w:rPr>
          <w:rFonts w:hint="eastAsia"/>
        </w:rPr>
        <w:t>，</w:t>
      </w:r>
      <w:r w:rsidR="00A449C2">
        <w:rPr>
          <w:rFonts w:hint="eastAsia"/>
        </w:rPr>
        <w:t>首先对</w:t>
      </w:r>
      <w:r w:rsidR="00A449C2">
        <w:rPr>
          <w:rFonts w:hint="eastAsia"/>
        </w:rPr>
        <w:t>2009</w:t>
      </w:r>
      <w:r w:rsidR="00A449C2">
        <w:rPr>
          <w:rFonts w:hint="eastAsia"/>
        </w:rPr>
        <w:t>年</w:t>
      </w:r>
      <w:r w:rsidR="00A449C2">
        <w:rPr>
          <w:rFonts w:hint="eastAsia"/>
        </w:rPr>
        <w:t>1</w:t>
      </w:r>
      <w:r w:rsidR="00A449C2">
        <w:rPr>
          <w:rFonts w:hint="eastAsia"/>
        </w:rPr>
        <w:t>月至</w:t>
      </w:r>
      <w:r w:rsidR="00A449C2">
        <w:rPr>
          <w:rFonts w:hint="eastAsia"/>
        </w:rPr>
        <w:t>2017</w:t>
      </w:r>
      <w:r w:rsidR="00A449C2">
        <w:rPr>
          <w:rFonts w:hint="eastAsia"/>
        </w:rPr>
        <w:t>年</w:t>
      </w:r>
      <w:r w:rsidR="00A449C2">
        <w:rPr>
          <w:rFonts w:hint="eastAsia"/>
        </w:rPr>
        <w:t>12</w:t>
      </w:r>
      <w:r w:rsidR="00A449C2">
        <w:rPr>
          <w:rFonts w:hint="eastAsia"/>
        </w:rPr>
        <w:t>月的所有指标进行主成分分析，选取特征根大于</w:t>
      </w:r>
      <w:r w:rsidR="00A449C2">
        <w:rPr>
          <w:rFonts w:hint="eastAsia"/>
        </w:rPr>
        <w:t>1</w:t>
      </w:r>
      <w:r w:rsidR="00A449C2">
        <w:rPr>
          <w:rFonts w:hint="eastAsia"/>
        </w:rPr>
        <w:t>的主成分，计算各自的主成分得分，再与其方差贡献率相乘加总，得到最终的综合投资者情绪指数。</w:t>
      </w:r>
    </w:p>
    <w:p w14:paraId="6C1091EF" w14:textId="1F587CC4" w:rsidR="00576CFC" w:rsidRPr="00576CFC" w:rsidRDefault="00576CFC" w:rsidP="009E2CF7">
      <w:pPr>
        <w:spacing w:line="240" w:lineRule="auto"/>
        <w:ind w:firstLine="420"/>
      </w:pPr>
      <w:r>
        <w:rPr>
          <w:rFonts w:hint="eastAsia"/>
        </w:rPr>
        <w:t>如</w:t>
      </w:r>
      <w:r>
        <w:fldChar w:fldCharType="begin"/>
      </w:r>
      <w:r>
        <w:instrText xml:space="preserve"> </w:instrText>
      </w:r>
      <w:r>
        <w:rPr>
          <w:rFonts w:hint="eastAsia"/>
        </w:rPr>
        <w:instrText>REF _Ref509481588 \h</w:instrText>
      </w:r>
      <w:r>
        <w:instrText xml:space="preserve"> </w:instrText>
      </w:r>
      <w:r w:rsidR="009E2CF7">
        <w:instrText xml:space="preserve"> \* MERGEFORMAT </w:instrText>
      </w:r>
      <w:r>
        <w:fldChar w:fldCharType="separate"/>
      </w:r>
      <w:r w:rsidR="0016113B">
        <w:rPr>
          <w:rFonts w:hint="eastAsia"/>
        </w:rPr>
        <w:t>表</w:t>
      </w:r>
      <w:r w:rsidR="0016113B">
        <w:rPr>
          <w:noProof/>
        </w:rPr>
        <w:t>2</w:t>
      </w:r>
      <w:r>
        <w:fldChar w:fldCharType="end"/>
      </w:r>
      <w:r>
        <w:rPr>
          <w:rFonts w:hint="eastAsia"/>
        </w:rPr>
        <w:t>所示，根据特征根大于</w:t>
      </w:r>
      <w:r>
        <w:rPr>
          <w:rFonts w:hint="eastAsia"/>
        </w:rPr>
        <w:t>1</w:t>
      </w:r>
      <w:r>
        <w:rPr>
          <w:rFonts w:hint="eastAsia"/>
        </w:rPr>
        <w:t>的原则，本文提取了前</w:t>
      </w:r>
      <w:r>
        <w:rPr>
          <w:rFonts w:hint="eastAsia"/>
        </w:rPr>
        <w:t>2</w:t>
      </w:r>
      <w:r>
        <w:rPr>
          <w:rFonts w:hint="eastAsia"/>
        </w:rPr>
        <w:t>个主成分，累计贡献率为</w:t>
      </w:r>
      <w:r>
        <w:rPr>
          <w:rFonts w:hint="eastAsia"/>
        </w:rPr>
        <w:t>72.94%</w:t>
      </w:r>
      <w:r>
        <w:rPr>
          <w:rFonts w:hint="eastAsia"/>
        </w:rPr>
        <w:t>，可以认为已经能较好地解释变量含有的信息。</w:t>
      </w:r>
    </w:p>
    <w:p w14:paraId="7C2D183E" w14:textId="3296A98D" w:rsidR="00A449C2" w:rsidRDefault="00A449C2" w:rsidP="009E2CF7">
      <w:pPr>
        <w:pStyle w:val="ac"/>
        <w:spacing w:line="240" w:lineRule="auto"/>
      </w:pPr>
      <w:bookmarkStart w:id="35" w:name="_Ref5094815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2</w:t>
      </w:r>
      <w:r>
        <w:fldChar w:fldCharType="end"/>
      </w:r>
      <w:bookmarkEnd w:id="35"/>
      <w:r>
        <w:rPr>
          <w:noProof/>
        </w:rPr>
        <w:t xml:space="preserve"> </w:t>
      </w:r>
      <w:r>
        <w:rPr>
          <w:rFonts w:hint="eastAsia"/>
          <w:noProof/>
        </w:rPr>
        <w:t>综合投资者情绪指数</w:t>
      </w:r>
    </w:p>
    <w:tbl>
      <w:tblPr>
        <w:tblStyle w:val="6"/>
        <w:tblW w:w="5000" w:type="pct"/>
        <w:tblLook w:val="06A0" w:firstRow="1" w:lastRow="0" w:firstColumn="1" w:lastColumn="0" w:noHBand="1" w:noVBand="1"/>
      </w:tblPr>
      <w:tblGrid>
        <w:gridCol w:w="1266"/>
        <w:gridCol w:w="972"/>
        <w:gridCol w:w="1517"/>
        <w:gridCol w:w="1517"/>
        <w:gridCol w:w="1517"/>
        <w:gridCol w:w="1517"/>
      </w:tblGrid>
      <w:tr w:rsidR="007549BC" w:rsidRPr="003634A8" w14:paraId="4505FDAE" w14:textId="77777777" w:rsidTr="00A449C2">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47" w:type="pct"/>
            <w:gridSpan w:val="2"/>
            <w:noWrap/>
            <w:vAlign w:val="center"/>
            <w:hideMark/>
          </w:tcPr>
          <w:p w14:paraId="4ACA13D8" w14:textId="77777777" w:rsidR="007549BC" w:rsidRPr="003634A8" w:rsidRDefault="007549BC" w:rsidP="009E2CF7">
            <w:pPr>
              <w:spacing w:line="240" w:lineRule="auto"/>
              <w:ind w:firstLineChars="0" w:firstLine="0"/>
              <w:jc w:val="center"/>
              <w:rPr>
                <w:szCs w:val="21"/>
              </w:rPr>
            </w:pPr>
          </w:p>
        </w:tc>
        <w:tc>
          <w:tcPr>
            <w:tcW w:w="913" w:type="pct"/>
            <w:noWrap/>
            <w:vAlign w:val="center"/>
            <w:hideMark/>
          </w:tcPr>
          <w:p w14:paraId="45683556" w14:textId="77777777" w:rsidR="007549BC" w:rsidRPr="003634A8" w:rsidRDefault="007549BC"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1</w:t>
            </w:r>
            <w:r w:rsidRPr="003634A8">
              <w:rPr>
                <w:rFonts w:hint="eastAsia"/>
                <w:szCs w:val="21"/>
              </w:rPr>
              <w:t>主成分</w:t>
            </w:r>
          </w:p>
        </w:tc>
        <w:tc>
          <w:tcPr>
            <w:tcW w:w="913" w:type="pct"/>
            <w:noWrap/>
            <w:vAlign w:val="center"/>
            <w:hideMark/>
          </w:tcPr>
          <w:p w14:paraId="49D30559" w14:textId="77777777" w:rsidR="007549BC" w:rsidRPr="003634A8" w:rsidRDefault="007549BC"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2</w:t>
            </w:r>
            <w:r w:rsidRPr="003634A8">
              <w:rPr>
                <w:rFonts w:hint="eastAsia"/>
                <w:szCs w:val="21"/>
              </w:rPr>
              <w:t>主成分</w:t>
            </w:r>
          </w:p>
        </w:tc>
        <w:tc>
          <w:tcPr>
            <w:tcW w:w="913" w:type="pct"/>
            <w:noWrap/>
            <w:vAlign w:val="center"/>
            <w:hideMark/>
          </w:tcPr>
          <w:p w14:paraId="3F8110C2" w14:textId="77777777" w:rsidR="007549BC" w:rsidRPr="003634A8" w:rsidRDefault="007549BC"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3</w:t>
            </w:r>
            <w:r w:rsidRPr="003634A8">
              <w:rPr>
                <w:rFonts w:hint="eastAsia"/>
                <w:szCs w:val="21"/>
              </w:rPr>
              <w:t>主成分</w:t>
            </w:r>
          </w:p>
        </w:tc>
        <w:tc>
          <w:tcPr>
            <w:tcW w:w="913" w:type="pct"/>
            <w:noWrap/>
            <w:vAlign w:val="center"/>
            <w:hideMark/>
          </w:tcPr>
          <w:p w14:paraId="556CABC1" w14:textId="77777777" w:rsidR="007549BC" w:rsidRPr="003634A8" w:rsidRDefault="007549BC"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4</w:t>
            </w:r>
            <w:r w:rsidRPr="003634A8">
              <w:rPr>
                <w:rFonts w:hint="eastAsia"/>
                <w:szCs w:val="21"/>
              </w:rPr>
              <w:t>主成分</w:t>
            </w:r>
          </w:p>
        </w:tc>
      </w:tr>
      <w:tr w:rsidR="007549BC" w:rsidRPr="003634A8" w14:paraId="25482A1F"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restart"/>
            <w:noWrap/>
            <w:vAlign w:val="center"/>
            <w:hideMark/>
          </w:tcPr>
          <w:p w14:paraId="78A16BC9" w14:textId="77777777" w:rsidR="00A449C2" w:rsidRPr="003634A8" w:rsidRDefault="007549BC" w:rsidP="009E2CF7">
            <w:pPr>
              <w:spacing w:line="240" w:lineRule="auto"/>
              <w:ind w:firstLineChars="0" w:firstLine="0"/>
              <w:jc w:val="center"/>
              <w:rPr>
                <w:szCs w:val="21"/>
              </w:rPr>
            </w:pPr>
            <w:r w:rsidRPr="003634A8">
              <w:rPr>
                <w:rFonts w:hint="eastAsia"/>
                <w:szCs w:val="21"/>
              </w:rPr>
              <w:t>特</w:t>
            </w:r>
          </w:p>
          <w:p w14:paraId="191B36C3" w14:textId="77777777" w:rsidR="00A449C2" w:rsidRPr="003634A8" w:rsidRDefault="007549BC" w:rsidP="009E2CF7">
            <w:pPr>
              <w:spacing w:line="240" w:lineRule="auto"/>
              <w:ind w:firstLineChars="0" w:firstLine="0"/>
              <w:jc w:val="center"/>
              <w:rPr>
                <w:szCs w:val="21"/>
              </w:rPr>
            </w:pPr>
            <w:r w:rsidRPr="003634A8">
              <w:rPr>
                <w:rFonts w:hint="eastAsia"/>
                <w:szCs w:val="21"/>
              </w:rPr>
              <w:t>征</w:t>
            </w:r>
          </w:p>
          <w:p w14:paraId="4CE710F2" w14:textId="77777777" w:rsidR="00A449C2" w:rsidRPr="003634A8" w:rsidRDefault="007549BC" w:rsidP="009E2CF7">
            <w:pPr>
              <w:spacing w:line="240" w:lineRule="auto"/>
              <w:ind w:firstLineChars="0" w:firstLine="0"/>
              <w:jc w:val="center"/>
              <w:rPr>
                <w:szCs w:val="21"/>
              </w:rPr>
            </w:pPr>
            <w:r w:rsidRPr="003634A8">
              <w:rPr>
                <w:rFonts w:hint="eastAsia"/>
                <w:szCs w:val="21"/>
              </w:rPr>
              <w:t>向</w:t>
            </w:r>
          </w:p>
          <w:p w14:paraId="11E1CBA3" w14:textId="4410A06B" w:rsidR="007549BC" w:rsidRPr="003634A8" w:rsidRDefault="007549BC" w:rsidP="009E2CF7">
            <w:pPr>
              <w:spacing w:line="240" w:lineRule="auto"/>
              <w:ind w:firstLineChars="0" w:firstLine="0"/>
              <w:jc w:val="center"/>
              <w:rPr>
                <w:szCs w:val="21"/>
              </w:rPr>
            </w:pPr>
            <w:r w:rsidRPr="003634A8">
              <w:rPr>
                <w:rFonts w:hint="eastAsia"/>
                <w:szCs w:val="21"/>
              </w:rPr>
              <w:t>量</w:t>
            </w:r>
          </w:p>
        </w:tc>
        <w:tc>
          <w:tcPr>
            <w:tcW w:w="585" w:type="pct"/>
            <w:noWrap/>
            <w:vAlign w:val="center"/>
            <w:hideMark/>
          </w:tcPr>
          <w:p w14:paraId="1E4DF460" w14:textId="1C40E3C4"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3634A8">
              <w:rPr>
                <w:rFonts w:hint="eastAsia"/>
                <w:b/>
                <w:szCs w:val="21"/>
              </w:rPr>
              <w:t>DCEF</w:t>
            </w:r>
            <w:r w:rsidR="00A449C2" w:rsidRPr="003634A8">
              <w:rPr>
                <w:b/>
                <w:szCs w:val="21"/>
                <w:vertAlign w:val="subscript"/>
              </w:rPr>
              <w:t>t-1</w:t>
            </w:r>
          </w:p>
        </w:tc>
        <w:tc>
          <w:tcPr>
            <w:tcW w:w="913" w:type="pct"/>
            <w:noWrap/>
            <w:vAlign w:val="center"/>
            <w:hideMark/>
          </w:tcPr>
          <w:p w14:paraId="2FA4B748"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-0.1071</w:t>
            </w:r>
          </w:p>
        </w:tc>
        <w:tc>
          <w:tcPr>
            <w:tcW w:w="913" w:type="pct"/>
            <w:noWrap/>
            <w:vAlign w:val="center"/>
            <w:hideMark/>
          </w:tcPr>
          <w:p w14:paraId="5D1805AB"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0.7874</w:t>
            </w:r>
          </w:p>
        </w:tc>
        <w:tc>
          <w:tcPr>
            <w:tcW w:w="913" w:type="pct"/>
            <w:noWrap/>
            <w:vAlign w:val="center"/>
            <w:hideMark/>
          </w:tcPr>
          <w:p w14:paraId="7D9E5A04"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0.6007</w:t>
            </w:r>
          </w:p>
        </w:tc>
        <w:tc>
          <w:tcPr>
            <w:tcW w:w="913" w:type="pct"/>
            <w:noWrap/>
            <w:vAlign w:val="center"/>
            <w:hideMark/>
          </w:tcPr>
          <w:p w14:paraId="3EF0570C"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0.0881</w:t>
            </w:r>
          </w:p>
        </w:tc>
      </w:tr>
      <w:tr w:rsidR="007549BC" w:rsidRPr="003634A8" w14:paraId="2AA03746"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ign w:val="center"/>
            <w:hideMark/>
          </w:tcPr>
          <w:p w14:paraId="5C84BB08" w14:textId="77777777" w:rsidR="007549BC" w:rsidRPr="003634A8" w:rsidRDefault="007549BC" w:rsidP="009E2CF7">
            <w:pPr>
              <w:spacing w:line="240" w:lineRule="auto"/>
              <w:ind w:firstLineChars="0" w:firstLine="0"/>
              <w:jc w:val="center"/>
              <w:rPr>
                <w:szCs w:val="21"/>
              </w:rPr>
            </w:pPr>
          </w:p>
        </w:tc>
        <w:tc>
          <w:tcPr>
            <w:tcW w:w="585" w:type="pct"/>
            <w:noWrap/>
            <w:vAlign w:val="center"/>
            <w:hideMark/>
          </w:tcPr>
          <w:p w14:paraId="6B07FE97" w14:textId="006E88DC"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proofErr w:type="spellStart"/>
            <w:r w:rsidRPr="003634A8">
              <w:rPr>
                <w:rFonts w:hint="eastAsia"/>
                <w:b/>
                <w:szCs w:val="21"/>
              </w:rPr>
              <w:t>TURN</w:t>
            </w:r>
            <w:r w:rsidR="00A449C2" w:rsidRPr="003634A8">
              <w:rPr>
                <w:b/>
                <w:szCs w:val="21"/>
                <w:vertAlign w:val="subscript"/>
              </w:rPr>
              <w:t>t</w:t>
            </w:r>
            <w:proofErr w:type="spellEnd"/>
          </w:p>
        </w:tc>
        <w:tc>
          <w:tcPr>
            <w:tcW w:w="913" w:type="pct"/>
            <w:noWrap/>
            <w:vAlign w:val="center"/>
            <w:hideMark/>
          </w:tcPr>
          <w:p w14:paraId="2CBEDB25"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0.6684</w:t>
            </w:r>
          </w:p>
        </w:tc>
        <w:tc>
          <w:tcPr>
            <w:tcW w:w="913" w:type="pct"/>
            <w:noWrap/>
            <w:vAlign w:val="center"/>
            <w:hideMark/>
          </w:tcPr>
          <w:p w14:paraId="30E9F0AF"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-0.1570</w:t>
            </w:r>
          </w:p>
        </w:tc>
        <w:tc>
          <w:tcPr>
            <w:tcW w:w="913" w:type="pct"/>
            <w:noWrap/>
            <w:vAlign w:val="center"/>
            <w:hideMark/>
          </w:tcPr>
          <w:p w14:paraId="19C3460A"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0.2234</w:t>
            </w:r>
          </w:p>
        </w:tc>
        <w:tc>
          <w:tcPr>
            <w:tcW w:w="913" w:type="pct"/>
            <w:noWrap/>
            <w:vAlign w:val="center"/>
            <w:hideMark/>
          </w:tcPr>
          <w:p w14:paraId="7362A6A7"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0.6919</w:t>
            </w:r>
          </w:p>
        </w:tc>
      </w:tr>
      <w:tr w:rsidR="007549BC" w:rsidRPr="003634A8" w14:paraId="28982413"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ign w:val="center"/>
            <w:hideMark/>
          </w:tcPr>
          <w:p w14:paraId="5F7553C4" w14:textId="77777777" w:rsidR="007549BC" w:rsidRPr="003634A8" w:rsidRDefault="007549BC" w:rsidP="009E2CF7">
            <w:pPr>
              <w:spacing w:line="240" w:lineRule="auto"/>
              <w:ind w:firstLineChars="0" w:firstLine="0"/>
              <w:jc w:val="center"/>
              <w:rPr>
                <w:szCs w:val="21"/>
              </w:rPr>
            </w:pPr>
          </w:p>
        </w:tc>
        <w:tc>
          <w:tcPr>
            <w:tcW w:w="585" w:type="pct"/>
            <w:noWrap/>
            <w:vAlign w:val="center"/>
            <w:hideMark/>
          </w:tcPr>
          <w:p w14:paraId="331B7027" w14:textId="263FAFAA"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3634A8">
              <w:rPr>
                <w:rFonts w:hint="eastAsia"/>
                <w:b/>
                <w:szCs w:val="21"/>
              </w:rPr>
              <w:t>IPOR</w:t>
            </w:r>
            <w:r w:rsidR="00A449C2" w:rsidRPr="003634A8">
              <w:rPr>
                <w:b/>
                <w:szCs w:val="21"/>
                <w:vertAlign w:val="subscript"/>
              </w:rPr>
              <w:t>t-1</w:t>
            </w:r>
          </w:p>
        </w:tc>
        <w:tc>
          <w:tcPr>
            <w:tcW w:w="913" w:type="pct"/>
            <w:noWrap/>
            <w:vAlign w:val="center"/>
            <w:hideMark/>
          </w:tcPr>
          <w:p w14:paraId="3EAA5BDD"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0.2747</w:t>
            </w:r>
          </w:p>
        </w:tc>
        <w:tc>
          <w:tcPr>
            <w:tcW w:w="913" w:type="pct"/>
            <w:noWrap/>
            <w:vAlign w:val="center"/>
            <w:hideMark/>
          </w:tcPr>
          <w:p w14:paraId="28930301"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0.5950</w:t>
            </w:r>
          </w:p>
        </w:tc>
        <w:tc>
          <w:tcPr>
            <w:tcW w:w="913" w:type="pct"/>
            <w:noWrap/>
            <w:vAlign w:val="center"/>
            <w:hideMark/>
          </w:tcPr>
          <w:p w14:paraId="2AE70F69"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-0.7472</w:t>
            </w:r>
          </w:p>
        </w:tc>
        <w:tc>
          <w:tcPr>
            <w:tcW w:w="913" w:type="pct"/>
            <w:noWrap/>
            <w:vAlign w:val="center"/>
            <w:hideMark/>
          </w:tcPr>
          <w:p w14:paraId="7D470502"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0.1109</w:t>
            </w:r>
          </w:p>
        </w:tc>
      </w:tr>
      <w:tr w:rsidR="007549BC" w:rsidRPr="003634A8" w14:paraId="3AC137C7"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tcBorders>
              <w:bottom w:val="double" w:sz="4" w:space="0" w:color="auto"/>
            </w:tcBorders>
            <w:vAlign w:val="center"/>
            <w:hideMark/>
          </w:tcPr>
          <w:p w14:paraId="6FACBA9A" w14:textId="77777777" w:rsidR="007549BC" w:rsidRPr="003634A8" w:rsidRDefault="007549BC" w:rsidP="009E2CF7">
            <w:pPr>
              <w:spacing w:line="240" w:lineRule="auto"/>
              <w:ind w:firstLineChars="0" w:firstLine="0"/>
              <w:jc w:val="center"/>
              <w:rPr>
                <w:szCs w:val="21"/>
              </w:rPr>
            </w:pPr>
          </w:p>
        </w:tc>
        <w:tc>
          <w:tcPr>
            <w:tcW w:w="585" w:type="pct"/>
            <w:tcBorders>
              <w:bottom w:val="double" w:sz="4" w:space="0" w:color="auto"/>
            </w:tcBorders>
            <w:noWrap/>
            <w:vAlign w:val="center"/>
            <w:hideMark/>
          </w:tcPr>
          <w:p w14:paraId="507F8DA5" w14:textId="0987B2D8"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proofErr w:type="spellStart"/>
            <w:r w:rsidRPr="003634A8">
              <w:rPr>
                <w:rFonts w:hint="eastAsia"/>
                <w:b/>
                <w:szCs w:val="21"/>
              </w:rPr>
              <w:t>NIA</w:t>
            </w:r>
            <w:r w:rsidR="00A449C2" w:rsidRPr="003634A8">
              <w:rPr>
                <w:b/>
                <w:szCs w:val="21"/>
                <w:vertAlign w:val="subscript"/>
              </w:rPr>
              <w:t>t</w:t>
            </w:r>
            <w:proofErr w:type="spellEnd"/>
          </w:p>
        </w:tc>
        <w:tc>
          <w:tcPr>
            <w:tcW w:w="913" w:type="pct"/>
            <w:tcBorders>
              <w:bottom w:val="double" w:sz="4" w:space="0" w:color="auto"/>
            </w:tcBorders>
            <w:noWrap/>
            <w:vAlign w:val="center"/>
            <w:hideMark/>
          </w:tcPr>
          <w:p w14:paraId="4869DBC4"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0.6829</w:t>
            </w:r>
          </w:p>
        </w:tc>
        <w:tc>
          <w:tcPr>
            <w:tcW w:w="913" w:type="pct"/>
            <w:tcBorders>
              <w:bottom w:val="double" w:sz="4" w:space="0" w:color="auto"/>
            </w:tcBorders>
            <w:noWrap/>
            <w:vAlign w:val="center"/>
            <w:hideMark/>
          </w:tcPr>
          <w:p w14:paraId="2020CC77"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0.0377</w:t>
            </w:r>
          </w:p>
        </w:tc>
        <w:tc>
          <w:tcPr>
            <w:tcW w:w="913" w:type="pct"/>
            <w:tcBorders>
              <w:bottom w:val="double" w:sz="4" w:space="0" w:color="auto"/>
            </w:tcBorders>
            <w:noWrap/>
            <w:vAlign w:val="center"/>
            <w:hideMark/>
          </w:tcPr>
          <w:p w14:paraId="2550B80A"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0.1761</w:t>
            </w:r>
          </w:p>
        </w:tc>
        <w:tc>
          <w:tcPr>
            <w:tcW w:w="913" w:type="pct"/>
            <w:tcBorders>
              <w:bottom w:val="double" w:sz="4" w:space="0" w:color="auto"/>
            </w:tcBorders>
            <w:noWrap/>
            <w:vAlign w:val="center"/>
            <w:hideMark/>
          </w:tcPr>
          <w:p w14:paraId="24B12410"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-0.7080</w:t>
            </w:r>
          </w:p>
        </w:tc>
      </w:tr>
      <w:tr w:rsidR="007549BC" w:rsidRPr="003634A8" w14:paraId="2C47B599"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tcBorders>
              <w:top w:val="double" w:sz="4" w:space="0" w:color="auto"/>
              <w:bottom w:val="nil"/>
            </w:tcBorders>
            <w:noWrap/>
            <w:vAlign w:val="center"/>
            <w:hideMark/>
          </w:tcPr>
          <w:p w14:paraId="2185AF74" w14:textId="77777777" w:rsidR="007549BC" w:rsidRPr="003634A8" w:rsidRDefault="007549BC" w:rsidP="009E2CF7">
            <w:pPr>
              <w:spacing w:line="240" w:lineRule="auto"/>
              <w:ind w:firstLineChars="0" w:firstLine="0"/>
              <w:jc w:val="center"/>
              <w:rPr>
                <w:szCs w:val="21"/>
              </w:rPr>
            </w:pPr>
            <w:r w:rsidRPr="003634A8">
              <w:rPr>
                <w:rFonts w:hint="eastAsia"/>
                <w:szCs w:val="21"/>
              </w:rPr>
              <w:t>特征根</w:t>
            </w:r>
          </w:p>
        </w:tc>
        <w:tc>
          <w:tcPr>
            <w:tcW w:w="913" w:type="pct"/>
            <w:tcBorders>
              <w:top w:val="double" w:sz="4" w:space="0" w:color="auto"/>
              <w:bottom w:val="nil"/>
            </w:tcBorders>
            <w:noWrap/>
            <w:vAlign w:val="center"/>
            <w:hideMark/>
          </w:tcPr>
          <w:p w14:paraId="20A8A6AC"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1.8382</w:t>
            </w:r>
          </w:p>
        </w:tc>
        <w:tc>
          <w:tcPr>
            <w:tcW w:w="913" w:type="pct"/>
            <w:tcBorders>
              <w:top w:val="double" w:sz="4" w:space="0" w:color="auto"/>
              <w:bottom w:val="nil"/>
            </w:tcBorders>
            <w:noWrap/>
            <w:vAlign w:val="center"/>
            <w:hideMark/>
          </w:tcPr>
          <w:p w14:paraId="010ECA70"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1.0796</w:t>
            </w:r>
          </w:p>
        </w:tc>
        <w:tc>
          <w:tcPr>
            <w:tcW w:w="913" w:type="pct"/>
            <w:tcBorders>
              <w:top w:val="double" w:sz="4" w:space="0" w:color="auto"/>
              <w:bottom w:val="nil"/>
            </w:tcBorders>
            <w:noWrap/>
            <w:vAlign w:val="center"/>
            <w:hideMark/>
          </w:tcPr>
          <w:p w14:paraId="2F78D5C6"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0.8532</w:t>
            </w:r>
          </w:p>
        </w:tc>
        <w:tc>
          <w:tcPr>
            <w:tcW w:w="913" w:type="pct"/>
            <w:tcBorders>
              <w:top w:val="double" w:sz="4" w:space="0" w:color="auto"/>
              <w:bottom w:val="nil"/>
            </w:tcBorders>
            <w:noWrap/>
            <w:vAlign w:val="center"/>
            <w:hideMark/>
          </w:tcPr>
          <w:p w14:paraId="49ADD16A"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0.2291</w:t>
            </w:r>
          </w:p>
        </w:tc>
      </w:tr>
      <w:tr w:rsidR="007549BC" w:rsidRPr="003634A8" w14:paraId="5F9BD3A5"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tcBorders>
              <w:top w:val="nil"/>
            </w:tcBorders>
            <w:noWrap/>
            <w:vAlign w:val="center"/>
            <w:hideMark/>
          </w:tcPr>
          <w:p w14:paraId="560E87E5" w14:textId="77777777" w:rsidR="007549BC" w:rsidRPr="003634A8" w:rsidRDefault="007549BC" w:rsidP="009E2CF7">
            <w:pPr>
              <w:spacing w:line="240" w:lineRule="auto"/>
              <w:ind w:firstLineChars="0" w:firstLine="0"/>
              <w:jc w:val="center"/>
              <w:rPr>
                <w:szCs w:val="21"/>
              </w:rPr>
            </w:pPr>
            <w:r w:rsidRPr="003634A8">
              <w:rPr>
                <w:rFonts w:hint="eastAsia"/>
                <w:szCs w:val="21"/>
              </w:rPr>
              <w:t>贡献率</w:t>
            </w:r>
          </w:p>
        </w:tc>
        <w:tc>
          <w:tcPr>
            <w:tcW w:w="913" w:type="pct"/>
            <w:tcBorders>
              <w:top w:val="nil"/>
            </w:tcBorders>
            <w:noWrap/>
            <w:vAlign w:val="center"/>
            <w:hideMark/>
          </w:tcPr>
          <w:p w14:paraId="068049D1"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45.95%</w:t>
            </w:r>
          </w:p>
        </w:tc>
        <w:tc>
          <w:tcPr>
            <w:tcW w:w="913" w:type="pct"/>
            <w:tcBorders>
              <w:top w:val="nil"/>
            </w:tcBorders>
            <w:noWrap/>
            <w:vAlign w:val="center"/>
            <w:hideMark/>
          </w:tcPr>
          <w:p w14:paraId="029C8071"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26.99%</w:t>
            </w:r>
          </w:p>
        </w:tc>
        <w:tc>
          <w:tcPr>
            <w:tcW w:w="913" w:type="pct"/>
            <w:tcBorders>
              <w:top w:val="nil"/>
            </w:tcBorders>
            <w:noWrap/>
            <w:vAlign w:val="center"/>
            <w:hideMark/>
          </w:tcPr>
          <w:p w14:paraId="48F8144A"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21.33%</w:t>
            </w:r>
          </w:p>
        </w:tc>
        <w:tc>
          <w:tcPr>
            <w:tcW w:w="913" w:type="pct"/>
            <w:tcBorders>
              <w:top w:val="nil"/>
            </w:tcBorders>
            <w:noWrap/>
            <w:vAlign w:val="center"/>
            <w:hideMark/>
          </w:tcPr>
          <w:p w14:paraId="702F3F49"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5.73%</w:t>
            </w:r>
          </w:p>
        </w:tc>
      </w:tr>
      <w:tr w:rsidR="007549BC" w:rsidRPr="003634A8" w14:paraId="25842B1F"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noWrap/>
            <w:vAlign w:val="center"/>
            <w:hideMark/>
          </w:tcPr>
          <w:p w14:paraId="78135228" w14:textId="77777777" w:rsidR="007549BC" w:rsidRPr="003634A8" w:rsidRDefault="007549BC" w:rsidP="009E2CF7">
            <w:pPr>
              <w:spacing w:line="240" w:lineRule="auto"/>
              <w:ind w:firstLineChars="0" w:firstLine="0"/>
              <w:jc w:val="center"/>
              <w:rPr>
                <w:szCs w:val="21"/>
              </w:rPr>
            </w:pPr>
            <w:r w:rsidRPr="003634A8">
              <w:rPr>
                <w:rFonts w:hint="eastAsia"/>
                <w:szCs w:val="21"/>
              </w:rPr>
              <w:t>累计贡献率</w:t>
            </w:r>
          </w:p>
        </w:tc>
        <w:tc>
          <w:tcPr>
            <w:tcW w:w="913" w:type="pct"/>
            <w:noWrap/>
            <w:vAlign w:val="center"/>
            <w:hideMark/>
          </w:tcPr>
          <w:p w14:paraId="1843B3FB"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45.95%</w:t>
            </w:r>
          </w:p>
        </w:tc>
        <w:tc>
          <w:tcPr>
            <w:tcW w:w="913" w:type="pct"/>
            <w:noWrap/>
            <w:vAlign w:val="center"/>
            <w:hideMark/>
          </w:tcPr>
          <w:p w14:paraId="785C69F0"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72.94%</w:t>
            </w:r>
          </w:p>
        </w:tc>
        <w:tc>
          <w:tcPr>
            <w:tcW w:w="913" w:type="pct"/>
            <w:noWrap/>
            <w:vAlign w:val="center"/>
            <w:hideMark/>
          </w:tcPr>
          <w:p w14:paraId="0C592084"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94.27%</w:t>
            </w:r>
          </w:p>
        </w:tc>
        <w:tc>
          <w:tcPr>
            <w:tcW w:w="913" w:type="pct"/>
            <w:noWrap/>
            <w:vAlign w:val="center"/>
            <w:hideMark/>
          </w:tcPr>
          <w:p w14:paraId="52411309" w14:textId="77777777" w:rsidR="007549BC" w:rsidRPr="003634A8" w:rsidRDefault="007549B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100.00%</w:t>
            </w:r>
          </w:p>
        </w:tc>
      </w:tr>
    </w:tbl>
    <w:p w14:paraId="7313CAE4" w14:textId="7BD9C0EA" w:rsidR="00BF1AC3" w:rsidRDefault="00930AA3" w:rsidP="009E2CF7">
      <w:pPr>
        <w:spacing w:line="240" w:lineRule="auto"/>
        <w:ind w:firstLine="420"/>
      </w:pPr>
      <w:r>
        <w:rPr>
          <w:rFonts w:hint="eastAsia"/>
        </w:rPr>
        <w:t>本文计算出</w:t>
      </w:r>
      <w:r w:rsidR="00395397">
        <w:rPr>
          <w:rFonts w:hint="eastAsia"/>
        </w:rPr>
        <w:t>的</w:t>
      </w:r>
      <w:r>
        <w:rPr>
          <w:rFonts w:hint="eastAsia"/>
        </w:rPr>
        <w:t>前</w:t>
      </w:r>
      <w:r>
        <w:rPr>
          <w:rFonts w:hint="eastAsia"/>
        </w:rPr>
        <w:t>2</w:t>
      </w:r>
      <w:r>
        <w:rPr>
          <w:rFonts w:hint="eastAsia"/>
        </w:rPr>
        <w:t>个主成分的得分如下：</w:t>
      </w:r>
    </w:p>
    <w:p w14:paraId="0F294B28" w14:textId="4D03093F" w:rsidR="00BF1AC3" w:rsidRPr="00C74416" w:rsidRDefault="006D44AB" w:rsidP="009E2CF7">
      <w:pPr>
        <w:spacing w:line="240" w:lineRule="auto"/>
        <w:ind w:firstLine="420"/>
      </w:pPr>
      <m:oMathPara>
        <m:oMathParaPr>
          <m:jc m:val="left"/>
        </m:oMathParaPr>
        <m:oMath>
          <m:sSub>
            <m:sSubPr>
              <m:ctrlPr>
                <w:rPr>
                  <w:rFonts w:ascii="Cambria Math" w:hAnsi="Cambria Math"/>
                </w:rPr>
              </m:ctrlPr>
            </m:sSubPr>
            <m:e>
              <m:r>
                <w:rPr>
                  <w:rFonts w:ascii="Cambria Math" w:hAnsi="Cambria Math"/>
                </w:rPr>
                <m:t>SENT</m:t>
              </m:r>
              <m:r>
                <m:rPr>
                  <m:sty m:val="p"/>
                </m:rPr>
                <w:rPr>
                  <w:rFonts w:ascii="Cambria Math" w:hAnsi="Cambria Math"/>
                </w:rPr>
                <m:t>1</m:t>
              </m:r>
            </m:e>
            <m:sub>
              <m:r>
                <w:rPr>
                  <w:rFonts w:ascii="Cambria Math" w:hAnsi="Cambria Math"/>
                </w:rPr>
                <m:t>t</m:t>
              </m:r>
            </m:sub>
          </m:sSub>
          <m:r>
            <m:rPr>
              <m:sty m:val="p"/>
            </m:rPr>
            <w:rPr>
              <w:rFonts w:ascii="Cambria Math" w:hAnsi="Cambria Math"/>
            </w:rPr>
            <m:t>=-0.1071*</m:t>
          </m:r>
          <m:sSub>
            <m:sSubPr>
              <m:ctrlPr>
                <w:rPr>
                  <w:rFonts w:ascii="Cambria Math" w:hAnsi="Cambria Math"/>
                </w:rPr>
              </m:ctrlPr>
            </m:sSubPr>
            <m:e>
              <m:r>
                <w:rPr>
                  <w:rFonts w:ascii="Cambria Math" w:hAnsi="Cambria Math"/>
                </w:rPr>
                <m:t>DCEF</m:t>
              </m:r>
            </m:e>
            <m:sub>
              <m:r>
                <w:rPr>
                  <w:rFonts w:ascii="Cambria Math" w:hAnsi="Cambria Math"/>
                </w:rPr>
                <m:t>t</m:t>
              </m:r>
              <m:r>
                <m:rPr>
                  <m:sty m:val="p"/>
                </m:rPr>
                <w:rPr>
                  <w:rFonts w:ascii="Cambria Math" w:hAnsi="Cambria Math"/>
                </w:rPr>
                <m:t>-1</m:t>
              </m:r>
            </m:sub>
          </m:sSub>
          <m:r>
            <m:rPr>
              <m:sty m:val="p"/>
            </m:rPr>
            <w:rPr>
              <w:rFonts w:ascii="Cambria Math" w:hAnsi="Cambria Math"/>
            </w:rPr>
            <m:t>+0.6684*</m:t>
          </m:r>
          <m:sSub>
            <m:sSubPr>
              <m:ctrlPr>
                <w:rPr>
                  <w:rFonts w:ascii="Cambria Math" w:hAnsi="Cambria Math"/>
                </w:rPr>
              </m:ctrlPr>
            </m:sSubPr>
            <m:e>
              <m:r>
                <w:rPr>
                  <w:rFonts w:ascii="Cambria Math" w:hAnsi="Cambria Math"/>
                </w:rPr>
                <m:t>TURN</m:t>
              </m:r>
            </m:e>
            <m:sub>
              <m:r>
                <w:rPr>
                  <w:rFonts w:ascii="Cambria Math" w:hAnsi="Cambria Math"/>
                </w:rPr>
                <m:t>t</m:t>
              </m:r>
            </m:sub>
          </m:sSub>
          <m:r>
            <m:rPr>
              <m:sty m:val="p"/>
            </m:rPr>
            <w:rPr>
              <w:rFonts w:ascii="Cambria Math" w:hAnsi="Cambria Math"/>
            </w:rPr>
            <m:t>+0.2747*</m:t>
          </m:r>
          <m:sSub>
            <m:sSubPr>
              <m:ctrlPr>
                <w:rPr>
                  <w:rFonts w:ascii="Cambria Math" w:hAnsi="Cambria Math"/>
                </w:rPr>
              </m:ctrlPr>
            </m:sSubPr>
            <m:e>
              <m:r>
                <w:rPr>
                  <w:rFonts w:ascii="Cambria Math" w:hAnsi="Cambria Math"/>
                </w:rPr>
                <m:t>IPOR</m:t>
              </m:r>
            </m:e>
            <m:sub>
              <m:r>
                <w:rPr>
                  <w:rFonts w:ascii="Cambria Math" w:hAnsi="Cambria Math"/>
                </w:rPr>
                <m:t>t</m:t>
              </m:r>
              <m:r>
                <m:rPr>
                  <m:sty m:val="p"/>
                </m:rPr>
                <w:rPr>
                  <w:rFonts w:ascii="Cambria Math" w:hAnsi="Cambria Math"/>
                </w:rPr>
                <m:t>-1</m:t>
              </m:r>
            </m:sub>
          </m:sSub>
          <m:r>
            <m:rPr>
              <m:sty m:val="p"/>
            </m:rPr>
            <w:rPr>
              <w:rFonts w:ascii="Cambria Math" w:hAnsi="Cambria Math"/>
            </w:rPr>
            <m:t>+0.6829*</m:t>
          </m:r>
          <m:sSub>
            <m:sSubPr>
              <m:ctrlPr>
                <w:rPr>
                  <w:rFonts w:ascii="Cambria Math" w:hAnsi="Cambria Math"/>
                </w:rPr>
              </m:ctrlPr>
            </m:sSubPr>
            <m:e>
              <m:r>
                <w:rPr>
                  <w:rFonts w:ascii="Cambria Math" w:hAnsi="Cambria Math"/>
                </w:rPr>
                <m:t>NIA</m:t>
              </m:r>
            </m:e>
            <m:sub>
              <m:r>
                <w:rPr>
                  <w:rFonts w:ascii="Cambria Math" w:hAnsi="Cambria Math"/>
                </w:rPr>
                <m:t>t</m:t>
              </m:r>
            </m:sub>
          </m:sSub>
        </m:oMath>
      </m:oMathPara>
    </w:p>
    <w:p w14:paraId="08868743" w14:textId="111FB398" w:rsidR="00BF1AC3" w:rsidRPr="00C74416" w:rsidRDefault="006D44AB" w:rsidP="009E2CF7">
      <w:pPr>
        <w:spacing w:line="240" w:lineRule="auto"/>
        <w:ind w:firstLine="420"/>
      </w:pPr>
      <m:oMathPara>
        <m:oMathParaPr>
          <m:jc m:val="left"/>
        </m:oMathParaPr>
        <m:oMath>
          <m:sSub>
            <m:sSubPr>
              <m:ctrlPr>
                <w:rPr>
                  <w:rFonts w:ascii="Cambria Math" w:hAnsi="Cambria Math"/>
                </w:rPr>
              </m:ctrlPr>
            </m:sSubPr>
            <m:e>
              <m:r>
                <w:rPr>
                  <w:rFonts w:ascii="Cambria Math" w:hAnsi="Cambria Math"/>
                </w:rPr>
                <m:t>SENT</m:t>
              </m:r>
              <m:r>
                <m:rPr>
                  <m:sty m:val="p"/>
                </m:rPr>
                <w:rPr>
                  <w:rFonts w:ascii="Cambria Math" w:hAnsi="Cambria Math"/>
                </w:rPr>
                <m:t>2</m:t>
              </m:r>
            </m:e>
            <m:sub>
              <m:r>
                <w:rPr>
                  <w:rFonts w:ascii="Cambria Math" w:hAnsi="Cambria Math"/>
                </w:rPr>
                <m:t>t</m:t>
              </m:r>
            </m:sub>
          </m:sSub>
          <m:r>
            <m:rPr>
              <m:sty m:val="p"/>
            </m:rPr>
            <w:rPr>
              <w:rFonts w:ascii="Cambria Math" w:hAnsi="Cambria Math"/>
            </w:rPr>
            <m:t>=0.7874*</m:t>
          </m:r>
          <m:sSub>
            <m:sSubPr>
              <m:ctrlPr>
                <w:rPr>
                  <w:rFonts w:ascii="Cambria Math" w:hAnsi="Cambria Math"/>
                </w:rPr>
              </m:ctrlPr>
            </m:sSubPr>
            <m:e>
              <m:r>
                <w:rPr>
                  <w:rFonts w:ascii="Cambria Math" w:hAnsi="Cambria Math"/>
                </w:rPr>
                <m:t>DCEF</m:t>
              </m:r>
            </m:e>
            <m:sub>
              <m:r>
                <w:rPr>
                  <w:rFonts w:ascii="Cambria Math" w:hAnsi="Cambria Math"/>
                </w:rPr>
                <m:t>t</m:t>
              </m:r>
              <m:r>
                <m:rPr>
                  <m:sty m:val="p"/>
                </m:rPr>
                <w:rPr>
                  <w:rFonts w:ascii="Cambria Math" w:hAnsi="Cambria Math"/>
                </w:rPr>
                <m:t>-1</m:t>
              </m:r>
            </m:sub>
          </m:sSub>
          <m:r>
            <m:rPr>
              <m:sty m:val="p"/>
            </m:rPr>
            <w:rPr>
              <w:rFonts w:ascii="Cambria Math" w:hAnsi="Cambria Math"/>
            </w:rPr>
            <m:t>-0.157*</m:t>
          </m:r>
          <m:sSub>
            <m:sSubPr>
              <m:ctrlPr>
                <w:rPr>
                  <w:rFonts w:ascii="Cambria Math" w:hAnsi="Cambria Math"/>
                </w:rPr>
              </m:ctrlPr>
            </m:sSubPr>
            <m:e>
              <m:r>
                <w:rPr>
                  <w:rFonts w:ascii="Cambria Math" w:hAnsi="Cambria Math"/>
                </w:rPr>
                <m:t>TURN</m:t>
              </m:r>
            </m:e>
            <m:sub>
              <m:r>
                <w:rPr>
                  <w:rFonts w:ascii="Cambria Math" w:hAnsi="Cambria Math"/>
                </w:rPr>
                <m:t>t</m:t>
              </m:r>
            </m:sub>
          </m:sSub>
          <m:r>
            <m:rPr>
              <m:sty m:val="p"/>
            </m:rPr>
            <w:rPr>
              <w:rFonts w:ascii="Cambria Math" w:hAnsi="Cambria Math"/>
            </w:rPr>
            <m:t>+0.595*</m:t>
          </m:r>
          <m:sSub>
            <m:sSubPr>
              <m:ctrlPr>
                <w:rPr>
                  <w:rFonts w:ascii="Cambria Math" w:hAnsi="Cambria Math"/>
                </w:rPr>
              </m:ctrlPr>
            </m:sSubPr>
            <m:e>
              <m:r>
                <w:rPr>
                  <w:rFonts w:ascii="Cambria Math" w:hAnsi="Cambria Math"/>
                </w:rPr>
                <m:t>IPOR</m:t>
              </m:r>
            </m:e>
            <m:sub>
              <m:r>
                <w:rPr>
                  <w:rFonts w:ascii="Cambria Math" w:hAnsi="Cambria Math"/>
                </w:rPr>
                <m:t>t</m:t>
              </m:r>
              <m:r>
                <m:rPr>
                  <m:sty m:val="p"/>
                </m:rPr>
                <w:rPr>
                  <w:rFonts w:ascii="Cambria Math" w:hAnsi="Cambria Math"/>
                </w:rPr>
                <m:t>-1</m:t>
              </m:r>
            </m:sub>
          </m:sSub>
          <m:r>
            <m:rPr>
              <m:sty m:val="p"/>
            </m:rPr>
            <w:rPr>
              <w:rFonts w:ascii="Cambria Math" w:hAnsi="Cambria Math"/>
            </w:rPr>
            <m:t>+0.0377*</m:t>
          </m:r>
          <m:sSub>
            <m:sSubPr>
              <m:ctrlPr>
                <w:rPr>
                  <w:rFonts w:ascii="Cambria Math" w:hAnsi="Cambria Math"/>
                </w:rPr>
              </m:ctrlPr>
            </m:sSubPr>
            <m:e>
              <m:r>
                <w:rPr>
                  <w:rFonts w:ascii="Cambria Math" w:hAnsi="Cambria Math"/>
                </w:rPr>
                <m:t>NIA</m:t>
              </m:r>
            </m:e>
            <m:sub>
              <m:r>
                <w:rPr>
                  <w:rFonts w:ascii="Cambria Math" w:hAnsi="Cambria Math"/>
                </w:rPr>
                <m:t>t</m:t>
              </m:r>
            </m:sub>
          </m:sSub>
        </m:oMath>
      </m:oMathPara>
    </w:p>
    <w:p w14:paraId="7D63ECEB" w14:textId="4CC4B5DC" w:rsidR="00930AA3" w:rsidRDefault="00930AA3" w:rsidP="009E2CF7">
      <w:pPr>
        <w:spacing w:line="240" w:lineRule="auto"/>
        <w:ind w:firstLine="420"/>
      </w:pPr>
      <w:r>
        <w:rPr>
          <w:rFonts w:hint="eastAsia"/>
        </w:rPr>
        <w:t>再与各自的方差贡献率相乘，得到最终的投资者情绪指数：</w:t>
      </w:r>
    </w:p>
    <w:p w14:paraId="37D60453" w14:textId="7B917CBC" w:rsidR="006C312F" w:rsidRPr="00C74416" w:rsidRDefault="006D44AB" w:rsidP="009E2CF7">
      <w:pPr>
        <w:spacing w:line="240" w:lineRule="auto"/>
        <w:ind w:firstLine="420"/>
      </w:pPr>
      <m:oMathPara>
        <m:oMathParaPr>
          <m:jc m:val="left"/>
        </m:oMathParaPr>
        <m:oMath>
          <m:sSub>
            <m:sSubPr>
              <m:ctrlPr>
                <w:rPr>
                  <w:rFonts w:ascii="Cambria Math" w:hAnsi="Cambria Math"/>
                </w:rPr>
              </m:ctrlPr>
            </m:sSubPr>
            <m:e>
              <m:r>
                <w:rPr>
                  <w:rFonts w:ascii="Cambria Math" w:hAnsi="Cambria Math"/>
                </w:rPr>
                <m:t>SENTINX</m:t>
              </m:r>
            </m:e>
            <m:sub>
              <m:r>
                <w:rPr>
                  <w:rFonts w:ascii="Cambria Math" w:hAnsi="Cambria Math"/>
                </w:rPr>
                <m:t>t</m:t>
              </m:r>
            </m:sub>
          </m:sSub>
          <m:r>
            <m:rPr>
              <m:sty m:val="p"/>
            </m:rPr>
            <w:rPr>
              <w:rFonts w:ascii="Cambria Math" w:hAnsi="Cambria Math"/>
            </w:rPr>
            <m:t>=0.4595*</m:t>
          </m:r>
          <m:sSub>
            <m:sSubPr>
              <m:ctrlPr>
                <w:rPr>
                  <w:rFonts w:ascii="Cambria Math" w:hAnsi="Cambria Math"/>
                </w:rPr>
              </m:ctrlPr>
            </m:sSubPr>
            <m:e>
              <m:r>
                <w:rPr>
                  <w:rFonts w:ascii="Cambria Math" w:hAnsi="Cambria Math"/>
                </w:rPr>
                <m:t>SENT</m:t>
              </m:r>
              <m:r>
                <m:rPr>
                  <m:sty m:val="p"/>
                </m:rPr>
                <w:rPr>
                  <w:rFonts w:ascii="Cambria Math" w:hAnsi="Cambria Math"/>
                </w:rPr>
                <m:t>1</m:t>
              </m:r>
            </m:e>
            <m:sub>
              <m:r>
                <w:rPr>
                  <w:rFonts w:ascii="Cambria Math" w:hAnsi="Cambria Math"/>
                </w:rPr>
                <m:t>t</m:t>
              </m:r>
            </m:sub>
          </m:sSub>
          <m:r>
            <m:rPr>
              <m:sty m:val="p"/>
            </m:rPr>
            <w:rPr>
              <w:rFonts w:ascii="Cambria Math" w:hAnsi="Cambria Math"/>
            </w:rPr>
            <m:t>+0.2699*</m:t>
          </m:r>
          <m:sSub>
            <m:sSubPr>
              <m:ctrlPr>
                <w:rPr>
                  <w:rFonts w:ascii="Cambria Math" w:hAnsi="Cambria Math"/>
                </w:rPr>
              </m:ctrlPr>
            </m:sSubPr>
            <m:e>
              <m:r>
                <w:rPr>
                  <w:rFonts w:ascii="Cambria Math" w:hAnsi="Cambria Math"/>
                </w:rPr>
                <m:t>SENT</m:t>
              </m:r>
              <m:r>
                <m:rPr>
                  <m:sty m:val="p"/>
                </m:rPr>
                <w:rPr>
                  <w:rFonts w:ascii="Cambria Math" w:hAnsi="Cambria Math"/>
                </w:rPr>
                <m:t>2</m:t>
              </m:r>
            </m:e>
            <m:sub>
              <m:r>
                <w:rPr>
                  <w:rFonts w:ascii="Cambria Math" w:hAnsi="Cambria Math"/>
                </w:rPr>
                <m:t>t</m:t>
              </m:r>
            </m:sub>
          </m:sSub>
        </m:oMath>
      </m:oMathPara>
    </w:p>
    <w:p w14:paraId="1AAE84C8" w14:textId="05BD070F" w:rsidR="008B410E" w:rsidRPr="008B410E" w:rsidRDefault="008B410E" w:rsidP="009E2CF7">
      <w:pPr>
        <w:pStyle w:val="4"/>
        <w:spacing w:line="240" w:lineRule="auto"/>
      </w:pPr>
      <w:r w:rsidRPr="008B410E">
        <w:rPr>
          <w:rFonts w:hint="eastAsia"/>
        </w:rPr>
        <w:t>个股投资者情绪</w:t>
      </w:r>
    </w:p>
    <w:p w14:paraId="3428AA2C" w14:textId="6569135D" w:rsidR="008B410E" w:rsidRDefault="008B410E" w:rsidP="009E2CF7">
      <w:pPr>
        <w:spacing w:line="240" w:lineRule="auto"/>
        <w:ind w:firstLine="420"/>
      </w:pPr>
      <w:r>
        <w:rPr>
          <w:rFonts w:hint="eastAsia"/>
        </w:rPr>
        <w:t>由于在用于计算综合投资者情绪指数的指标中仅换手</w:t>
      </w:r>
      <w:proofErr w:type="gramStart"/>
      <w:r>
        <w:rPr>
          <w:rFonts w:hint="eastAsia"/>
        </w:rPr>
        <w:t>率存在</w:t>
      </w:r>
      <w:proofErr w:type="gramEnd"/>
      <w:r>
        <w:rPr>
          <w:rFonts w:hint="eastAsia"/>
        </w:rPr>
        <w:t>个股维度的数据，本文参考林虎和刘冲（</w:t>
      </w:r>
      <w:r>
        <w:rPr>
          <w:rFonts w:hint="eastAsia"/>
        </w:rPr>
        <w:t>2011</w:t>
      </w:r>
      <w:r>
        <w:rPr>
          <w:rFonts w:hint="eastAsia"/>
        </w:rPr>
        <w:t>）</w:t>
      </w:r>
      <w:r w:rsidR="00EE48D6">
        <w:rPr>
          <w:rStyle w:val="afa"/>
        </w:rPr>
        <w:t>[</w:t>
      </w:r>
      <w:r w:rsidR="00EE48D6">
        <w:rPr>
          <w:rStyle w:val="afa"/>
        </w:rPr>
        <w:endnoteReference w:id="24"/>
      </w:r>
      <w:r w:rsidR="00EE48D6">
        <w:rPr>
          <w:rStyle w:val="afa"/>
        </w:rPr>
        <w:t>]</w:t>
      </w:r>
      <w:r>
        <w:rPr>
          <w:rFonts w:hint="eastAsia"/>
        </w:rPr>
        <w:t>的研究，采用异常换手率度量个股投资者情绪，即</w:t>
      </w:r>
    </w:p>
    <w:p w14:paraId="171538B2" w14:textId="29634C5F" w:rsidR="008B410E" w:rsidRDefault="006D44AB" w:rsidP="009E2CF7">
      <w:pPr>
        <w:spacing w:line="240" w:lineRule="auto"/>
        <w:ind w:firstLine="420"/>
      </w:pPr>
      <m:oMathPara>
        <m:oMath>
          <m:sSub>
            <m:sSubPr>
              <m:ctrlPr>
                <w:rPr>
                  <w:rFonts w:ascii="Cambria Math" w:eastAsiaTheme="minorEastAsia" w:hAnsi="Cambria Math" w:cstheme="minorBidi"/>
                  <w:szCs w:val="22"/>
                </w:rPr>
              </m:ctrlPr>
            </m:sSubPr>
            <m:e>
              <m:r>
                <w:rPr>
                  <w:rFonts w:ascii="Cambria Math" w:hAnsi="Cambria Math"/>
                </w:rPr>
                <m:t>AbTURN</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cstheme="minorBidi"/>
                      <w:i/>
                      <w:szCs w:val="22"/>
                    </w:rPr>
                  </m:ctrlPr>
                </m:sSubPr>
                <m:e>
                  <m:r>
                    <w:rPr>
                      <w:rFonts w:ascii="Cambria Math" w:hAnsi="Cambria Math"/>
                    </w:rPr>
                    <m:t>Turnover</m:t>
                  </m:r>
                </m:e>
                <m:sub>
                  <m:r>
                    <w:rPr>
                      <w:rFonts w:ascii="Cambria Math" w:hAnsi="Cambria Math"/>
                    </w:rPr>
                    <m:t>i,t-1</m:t>
                  </m:r>
                </m:sub>
              </m:sSub>
              <m:ctrlPr>
                <w:rPr>
                  <w:rFonts w:ascii="Cambria Math" w:eastAsiaTheme="minorEastAsia" w:hAnsi="Cambria Math" w:cstheme="minorBidi"/>
                  <w:i/>
                  <w:szCs w:val="22"/>
                </w:rPr>
              </m:ctrlPr>
            </m:num>
            <m:den>
              <m:sSub>
                <m:sSubPr>
                  <m:ctrlPr>
                    <w:rPr>
                      <w:rFonts w:ascii="Cambria Math" w:eastAsiaTheme="minorEastAsia" w:hAnsi="Cambria Math" w:cstheme="minorBidi"/>
                      <w:i/>
                      <w:szCs w:val="22"/>
                    </w:rPr>
                  </m:ctrlPr>
                </m:sSubPr>
                <m:e>
                  <m:r>
                    <w:rPr>
                      <w:rFonts w:ascii="Cambria Math" w:hAnsi="Cambria Math"/>
                    </w:rPr>
                    <m:t>Turnover</m:t>
                  </m:r>
                </m:e>
                <m:sub>
                  <m:r>
                    <w:rPr>
                      <w:rFonts w:ascii="Cambria Math" w:hAnsi="Cambria Math"/>
                    </w:rPr>
                    <m:t>i,t-2</m:t>
                  </m:r>
                </m:sub>
              </m:sSub>
            </m:den>
          </m:f>
        </m:oMath>
      </m:oMathPara>
    </w:p>
    <w:p w14:paraId="78BD8BF1" w14:textId="240887DF" w:rsidR="008B410E" w:rsidRDefault="008B410E" w:rsidP="009E2CF7">
      <w:pPr>
        <w:spacing w:line="240" w:lineRule="auto"/>
        <w:ind w:firstLine="420"/>
      </w:pPr>
      <w:r>
        <w:rPr>
          <w:rFonts w:hint="eastAsia"/>
        </w:rPr>
        <w:t>其中</w:t>
      </w:r>
      <m:oMath>
        <m:sSub>
          <m:sSubPr>
            <m:ctrlPr>
              <w:rPr>
                <w:rFonts w:ascii="Cambria Math" w:eastAsiaTheme="minorEastAsia" w:hAnsi="Cambria Math" w:cstheme="minorBidi"/>
                <w:szCs w:val="22"/>
              </w:rPr>
            </m:ctrlPr>
          </m:sSubPr>
          <m:e>
            <m:r>
              <w:rPr>
                <w:rFonts w:ascii="Cambria Math" w:hAnsi="Cambria Math"/>
              </w:rPr>
              <m:t>Turnover</m:t>
            </m:r>
          </m:e>
          <m:sub>
            <m:r>
              <w:rPr>
                <w:rFonts w:ascii="Cambria Math" w:hAnsi="Cambria Math"/>
              </w:rPr>
              <m:t>i,t</m:t>
            </m:r>
          </m:sub>
        </m:sSub>
      </m:oMath>
      <w:r>
        <w:rPr>
          <w:rFonts w:hint="eastAsia"/>
        </w:rPr>
        <w:t>代表公司</w:t>
      </w:r>
      <m:oMath>
        <m:r>
          <w:rPr>
            <w:rFonts w:ascii="Cambria Math" w:hAnsi="Cambria Math" w:hint="eastAsia"/>
          </w:rPr>
          <m:t>i</m:t>
        </m:r>
      </m:oMath>
      <w:r>
        <w:rPr>
          <w:rFonts w:hint="eastAsia"/>
        </w:rPr>
        <w:t>在</w:t>
      </w:r>
      <w:r w:rsidR="00A74116">
        <w:rPr>
          <w:rFonts w:hint="eastAsia"/>
        </w:rPr>
        <w:t>第</w:t>
      </w:r>
      <m:oMath>
        <m:r>
          <w:rPr>
            <w:rFonts w:ascii="Cambria Math" w:hAnsi="Cambria Math" w:hint="eastAsia"/>
          </w:rPr>
          <m:t>t</m:t>
        </m:r>
      </m:oMath>
      <w:r>
        <w:rPr>
          <w:rFonts w:hint="eastAsia"/>
        </w:rPr>
        <w:t>月的换手率</w:t>
      </w:r>
      <w:r w:rsidR="00A2239A">
        <w:rPr>
          <w:rFonts w:hint="eastAsia"/>
        </w:rPr>
        <w:t>，由于个股投资者情绪的构造基于滞后变量，且度量的是投资者情绪变化的趋势而非绝对水平，因此可在一定程度上避免分析</w:t>
      </w:r>
      <w:proofErr w:type="gramStart"/>
      <w:r w:rsidR="00A2239A">
        <w:rPr>
          <w:rFonts w:hint="eastAsia"/>
        </w:rPr>
        <w:t>师报告</w:t>
      </w:r>
      <w:proofErr w:type="gramEnd"/>
      <w:r w:rsidR="00A2239A">
        <w:rPr>
          <w:rFonts w:hint="eastAsia"/>
        </w:rPr>
        <w:t>与投资者关注度互相影响的内生性问题</w:t>
      </w:r>
      <w:r>
        <w:rPr>
          <w:rFonts w:hint="eastAsia"/>
        </w:rPr>
        <w:t>。</w:t>
      </w:r>
    </w:p>
    <w:p w14:paraId="6D1A9852" w14:textId="77777777" w:rsidR="008B410E" w:rsidRPr="008B410E" w:rsidRDefault="008B410E" w:rsidP="009E2CF7">
      <w:pPr>
        <w:pStyle w:val="4"/>
        <w:spacing w:line="240" w:lineRule="auto"/>
      </w:pPr>
      <w:r w:rsidRPr="008B410E">
        <w:rPr>
          <w:rFonts w:hint="eastAsia"/>
        </w:rPr>
        <w:t>信息含量</w:t>
      </w:r>
    </w:p>
    <w:p w14:paraId="13771358" w14:textId="1325D80B" w:rsidR="003F640D" w:rsidRDefault="008B410E" w:rsidP="009E2CF7">
      <w:pPr>
        <w:spacing w:line="240" w:lineRule="auto"/>
        <w:ind w:firstLine="420"/>
      </w:pPr>
      <w:r>
        <w:rPr>
          <w:rFonts w:hint="eastAsia"/>
        </w:rPr>
        <w:t>参考</w:t>
      </w:r>
      <w:proofErr w:type="spellStart"/>
      <w:r>
        <w:rPr>
          <w:rFonts w:hint="eastAsia"/>
        </w:rPr>
        <w:t>Morck</w:t>
      </w:r>
      <w:proofErr w:type="spellEnd"/>
      <w:r>
        <w:rPr>
          <w:rFonts w:hint="eastAsia"/>
        </w:rPr>
        <w:t>等（</w:t>
      </w:r>
      <w:r>
        <w:rPr>
          <w:rFonts w:hint="eastAsia"/>
        </w:rPr>
        <w:t>2000</w:t>
      </w:r>
      <w:r>
        <w:rPr>
          <w:rFonts w:hint="eastAsia"/>
        </w:rPr>
        <w:t>）</w:t>
      </w:r>
      <w:r w:rsidR="00EE48D6">
        <w:rPr>
          <w:rStyle w:val="afa"/>
        </w:rPr>
        <w:t>[</w:t>
      </w:r>
      <w:r w:rsidR="00EE48D6">
        <w:rPr>
          <w:rStyle w:val="afa"/>
        </w:rPr>
        <w:endnoteReference w:id="25"/>
      </w:r>
      <w:r w:rsidR="00EE48D6">
        <w:rPr>
          <w:rStyle w:val="afa"/>
        </w:rPr>
        <w:t>]</w:t>
      </w:r>
      <w:r>
        <w:rPr>
          <w:rFonts w:hint="eastAsia"/>
        </w:rPr>
        <w:t>的研究，本文使用股票同步性度量价格信息含量。</w:t>
      </w:r>
      <w:r w:rsidR="005039CD">
        <w:rPr>
          <w:rFonts w:hint="eastAsia"/>
        </w:rPr>
        <w:t>根据市场模型</w:t>
      </w:r>
      <m:oMath>
        <m:sSub>
          <m:sSubPr>
            <m:ctrlPr>
              <w:rPr>
                <w:rFonts w:ascii="Cambria Math" w:eastAsiaTheme="minorEastAsia" w:hAnsi="Cambria Math" w:cstheme="minorBidi"/>
                <w:szCs w:val="22"/>
              </w:rPr>
            </m:ctrlPr>
          </m:sSubPr>
          <m:e>
            <m:r>
              <w:rPr>
                <w:rFonts w:ascii="Cambria Math" w:hAnsi="Cambria Math"/>
              </w:rPr>
              <m:t>r</m:t>
            </m:r>
          </m:e>
          <m:sub>
            <m:r>
              <w:rPr>
                <w:rFonts w:ascii="Cambria Math" w:hAnsi="Cambria Math"/>
              </w:rPr>
              <m:t>i,t</m:t>
            </m:r>
          </m:sub>
        </m:sSub>
        <m:r>
          <w:rPr>
            <w:rFonts w:ascii="Cambria Math" w:hAnsi="Cambria Math"/>
          </w:rPr>
          <m:t>=</m:t>
        </m:r>
        <m:r>
          <w:rPr>
            <w:rFonts w:ascii="Cambria Math" w:hAnsi="Cambria Math" w:hint="eastAsia"/>
          </w:rPr>
          <m:t>α+</m:t>
        </m:r>
        <m:sSub>
          <m:sSubPr>
            <m:ctrlPr>
              <w:rPr>
                <w:rFonts w:ascii="Cambria Math" w:eastAsiaTheme="minorEastAsia" w:hAnsi="Cambria Math" w:cstheme="minorBidi"/>
                <w:i/>
                <w:szCs w:val="22"/>
              </w:rPr>
            </m:ctrlPr>
          </m:sSubPr>
          <m:e>
            <m:r>
              <w:rPr>
                <w:rFonts w:ascii="Cambria Math" w:hAnsi="Cambria Math" w:hint="eastAsia"/>
              </w:rPr>
              <m:t>β</m:t>
            </m:r>
          </m:e>
          <m:sub>
            <m:r>
              <w:rPr>
                <w:rFonts w:ascii="Cambria Math" w:hAnsi="Cambria Math"/>
              </w:rPr>
              <m:t>i,t</m:t>
            </m:r>
          </m:sub>
        </m:sSub>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hint="eastAsia"/>
              </w:rPr>
              <m:t>ε</m:t>
            </m:r>
          </m:e>
          <m:sub>
            <m:r>
              <w:rPr>
                <w:rFonts w:ascii="Cambria Math" w:hAnsi="Cambria Math"/>
              </w:rPr>
              <m:t>i,t</m:t>
            </m:r>
          </m:sub>
        </m:sSub>
      </m:oMath>
      <w:r w:rsidR="009975C5">
        <w:rPr>
          <w:rFonts w:hint="eastAsia"/>
          <w:szCs w:val="22"/>
        </w:rPr>
        <w:t>，</w:t>
      </w:r>
      <w:r>
        <w:rPr>
          <w:rFonts w:hint="eastAsia"/>
        </w:rPr>
        <w:t>其中</w:t>
      </w:r>
      <m:oMath>
        <m:sSub>
          <m:sSubPr>
            <m:ctrlPr>
              <w:rPr>
                <w:rFonts w:ascii="Cambria Math" w:eastAsiaTheme="minorEastAsia" w:hAnsi="Cambria Math" w:cstheme="minorBidi"/>
                <w:szCs w:val="22"/>
              </w:rPr>
            </m:ctrlPr>
          </m:sSubPr>
          <m:e>
            <m:r>
              <w:rPr>
                <w:rFonts w:ascii="Cambria Math" w:hAnsi="Cambria Math"/>
              </w:rPr>
              <m:t>r</m:t>
            </m:r>
          </m:e>
          <m:sub>
            <m:r>
              <w:rPr>
                <w:rFonts w:ascii="Cambria Math" w:hAnsi="Cambria Math"/>
              </w:rPr>
              <m:t>i,t</m:t>
            </m:r>
          </m:sub>
        </m:sSub>
      </m:oMath>
      <w:r>
        <w:rPr>
          <w:rFonts w:hint="eastAsia"/>
        </w:rPr>
        <w:t>代表</w:t>
      </w:r>
      <w:r w:rsidR="00A74116">
        <w:rPr>
          <w:rFonts w:hint="eastAsia"/>
        </w:rPr>
        <w:t>公司</w:t>
      </w:r>
      <m:oMath>
        <m:r>
          <w:rPr>
            <w:rFonts w:ascii="Cambria Math" w:hAnsi="Cambria Math" w:hint="eastAsia"/>
          </w:rPr>
          <m:t>i</m:t>
        </m:r>
      </m:oMath>
      <w:r w:rsidR="00A74116">
        <w:rPr>
          <w:rFonts w:hint="eastAsia"/>
        </w:rPr>
        <w:t>在</w:t>
      </w:r>
      <w:r>
        <w:rPr>
          <w:rFonts w:hint="eastAsia"/>
        </w:rPr>
        <w:t>第</w:t>
      </w:r>
      <m:oMath>
        <m:r>
          <w:rPr>
            <w:rFonts w:ascii="Cambria Math" w:hAnsi="Cambria Math" w:hint="eastAsia"/>
          </w:rPr>
          <m:t>t</m:t>
        </m:r>
      </m:oMath>
      <w:r>
        <w:rPr>
          <w:rFonts w:hint="eastAsia"/>
        </w:rPr>
        <w:t>日的收益率，</w:t>
      </w:r>
      <m:oMath>
        <m:sSub>
          <m:sSubPr>
            <m:ctrlPr>
              <w:rPr>
                <w:rFonts w:ascii="Cambria Math" w:eastAsiaTheme="minorEastAsia" w:hAnsi="Cambria Math" w:cstheme="minorBidi"/>
                <w:szCs w:val="22"/>
              </w:rPr>
            </m:ctrlPr>
          </m:sSubPr>
          <m:e>
            <m:r>
              <w:rPr>
                <w:rFonts w:ascii="Cambria Math" w:hAnsi="Cambria Math"/>
              </w:rPr>
              <m:t>r</m:t>
            </m:r>
          </m:e>
          <m:sub>
            <m:r>
              <w:rPr>
                <w:rFonts w:ascii="Cambria Math" w:hAnsi="Cambria Math"/>
              </w:rPr>
              <m:t>m,t</m:t>
            </m:r>
          </m:sub>
        </m:sSub>
      </m:oMath>
      <w:r>
        <w:rPr>
          <w:rFonts w:hint="eastAsia"/>
        </w:rPr>
        <w:t>代表市场第</w:t>
      </w:r>
      <m:oMath>
        <m:r>
          <w:rPr>
            <w:rFonts w:ascii="Cambria Math" w:hAnsi="Cambria Math" w:hint="eastAsia"/>
          </w:rPr>
          <m:t>t</m:t>
        </m:r>
      </m:oMath>
      <w:r>
        <w:rPr>
          <w:rFonts w:hint="eastAsia"/>
        </w:rPr>
        <w:t>日的收</w:t>
      </w:r>
      <w:r>
        <w:rPr>
          <w:rFonts w:hint="eastAsia"/>
        </w:rPr>
        <w:lastRenderedPageBreak/>
        <w:t>益率</w:t>
      </w:r>
      <w:r w:rsidR="005039CD">
        <w:rPr>
          <w:rFonts w:hint="eastAsia"/>
        </w:rPr>
        <w:t>，</w:t>
      </w:r>
      <w:r>
        <w:rPr>
          <w:rFonts w:hint="eastAsia"/>
        </w:rPr>
        <w:t>本文使用</w:t>
      </w:r>
      <m:oMath>
        <m:r>
          <w:rPr>
            <w:rFonts w:ascii="Cambria Math" w:hAnsi="Cambria Math" w:hint="eastAsia"/>
          </w:rPr>
          <m:t>t</m:t>
        </m:r>
      </m:oMath>
      <w:r>
        <w:rPr>
          <w:rFonts w:hint="eastAsia"/>
        </w:rPr>
        <w:t>日前</w:t>
      </w:r>
      <w:r>
        <w:rPr>
          <w:rFonts w:hint="eastAsia"/>
        </w:rPr>
        <w:t>20</w:t>
      </w:r>
      <w:r>
        <w:rPr>
          <w:rFonts w:hint="eastAsia"/>
        </w:rPr>
        <w:t>个交易日的数据进行回归，以得到的判定系数作为该股票</w:t>
      </w:r>
      <w:r w:rsidR="005039CD">
        <w:rPr>
          <w:rFonts w:hint="eastAsia"/>
        </w:rPr>
        <w:t>在第</w:t>
      </w:r>
      <m:oMath>
        <m:r>
          <w:rPr>
            <w:rFonts w:ascii="Cambria Math" w:hAnsi="Cambria Math" w:hint="eastAsia"/>
          </w:rPr>
          <m:t>t</m:t>
        </m:r>
      </m:oMath>
      <w:r w:rsidR="005039CD">
        <w:rPr>
          <w:rFonts w:hint="eastAsia"/>
        </w:rPr>
        <w:t>日</w:t>
      </w:r>
      <w:r>
        <w:rPr>
          <w:rFonts w:hint="eastAsia"/>
        </w:rPr>
        <w:t>的同步性。参照</w:t>
      </w:r>
      <w:proofErr w:type="spellStart"/>
      <w:r>
        <w:rPr>
          <w:rFonts w:hint="eastAsia"/>
        </w:rPr>
        <w:t>Iv</w:t>
      </w:r>
      <w:r>
        <w:t>kovic</w:t>
      </w:r>
      <w:proofErr w:type="spellEnd"/>
      <w:r>
        <w:rPr>
          <w:rFonts w:hint="eastAsia"/>
        </w:rPr>
        <w:t>和</w:t>
      </w:r>
      <w:proofErr w:type="spellStart"/>
      <w:r>
        <w:rPr>
          <w:rFonts w:hint="eastAsia"/>
        </w:rPr>
        <w:t>Jegadeesh</w:t>
      </w:r>
      <w:proofErr w:type="spellEnd"/>
      <w:r>
        <w:rPr>
          <w:rFonts w:hint="eastAsia"/>
        </w:rPr>
        <w:t>（</w:t>
      </w:r>
      <w:r>
        <w:rPr>
          <w:rFonts w:hint="eastAsia"/>
        </w:rPr>
        <w:t>2004</w:t>
      </w:r>
      <w:r>
        <w:rPr>
          <w:rFonts w:hint="eastAsia"/>
        </w:rPr>
        <w:t>）</w:t>
      </w:r>
      <w:r w:rsidR="005717F7" w:rsidRPr="005717F7">
        <w:rPr>
          <w:rFonts w:hint="eastAsia"/>
          <w:vertAlign w:val="superscript"/>
        </w:rPr>
        <w:t>[</w:t>
      </w:r>
      <w:r w:rsidR="00FC1519">
        <w:rPr>
          <w:vertAlign w:val="superscript"/>
        </w:rPr>
        <w:fldChar w:fldCharType="begin"/>
      </w:r>
      <w:r w:rsidR="00FC1519">
        <w:rPr>
          <w:vertAlign w:val="superscript"/>
        </w:rPr>
        <w:instrText xml:space="preserve"> </w:instrText>
      </w:r>
      <w:r w:rsidR="00FC1519">
        <w:rPr>
          <w:rFonts w:hint="eastAsia"/>
          <w:vertAlign w:val="superscript"/>
        </w:rPr>
        <w:instrText>NOTEREF _Ref510047870 \h</w:instrText>
      </w:r>
      <w:r w:rsidR="00FC1519">
        <w:rPr>
          <w:vertAlign w:val="superscript"/>
        </w:rPr>
        <w:instrText xml:space="preserve"> </w:instrText>
      </w:r>
      <w:r w:rsidR="00FC1519">
        <w:rPr>
          <w:vertAlign w:val="superscript"/>
        </w:rPr>
      </w:r>
      <w:r w:rsidR="009E2CF7">
        <w:rPr>
          <w:vertAlign w:val="superscript"/>
        </w:rPr>
        <w:instrText xml:space="preserve"> \* MERGEFORMAT </w:instrText>
      </w:r>
      <w:r w:rsidR="00FC1519">
        <w:rPr>
          <w:vertAlign w:val="superscript"/>
        </w:rPr>
        <w:fldChar w:fldCharType="separate"/>
      </w:r>
      <w:r w:rsidR="0016113B">
        <w:rPr>
          <w:vertAlign w:val="superscript"/>
        </w:rPr>
        <w:t>6</w:t>
      </w:r>
      <w:r w:rsidR="00FC1519">
        <w:rPr>
          <w:vertAlign w:val="superscript"/>
        </w:rPr>
        <w:fldChar w:fldCharType="end"/>
      </w:r>
      <w:r w:rsidR="005717F7" w:rsidRPr="005717F7">
        <w:rPr>
          <w:vertAlign w:val="superscript"/>
        </w:rPr>
        <w:t>]</w:t>
      </w:r>
      <w:r>
        <w:rPr>
          <w:rFonts w:hint="eastAsia"/>
        </w:rPr>
        <w:t>对时间窗口的划分，</w:t>
      </w:r>
      <w:r w:rsidR="003F640D">
        <w:rPr>
          <w:rFonts w:hint="eastAsia"/>
        </w:rPr>
        <w:t>本文针对第</w:t>
      </w:r>
      <m:oMath>
        <m:r>
          <w:rPr>
            <w:rFonts w:ascii="Cambria Math" w:hAnsi="Cambria Math" w:hint="eastAsia"/>
          </w:rPr>
          <m:t>t</m:t>
        </m:r>
      </m:oMath>
      <w:r w:rsidR="003F640D">
        <w:rPr>
          <w:rFonts w:hint="eastAsia"/>
        </w:rPr>
        <w:t>日发布的深度研究报告</w:t>
      </w:r>
      <m:oMath>
        <m:r>
          <w:rPr>
            <w:rFonts w:ascii="Cambria Math" w:hAnsi="Cambria Math" w:hint="eastAsia"/>
          </w:rPr>
          <m:t>i</m:t>
        </m:r>
      </m:oMath>
      <w:r>
        <w:rPr>
          <w:rFonts w:hint="eastAsia"/>
        </w:rPr>
        <w:t>通过滚动回归得到</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10</m:t>
        </m:r>
      </m:oMath>
      <w:r>
        <w:rPr>
          <w:rFonts w:hint="eastAsia"/>
        </w:rPr>
        <w:t>日到</w:t>
      </w:r>
      <m:oMath>
        <m:r>
          <w:rPr>
            <w:rFonts w:ascii="Cambria Math" w:hAnsi="Cambria Math" w:hint="eastAsia"/>
          </w:rPr>
          <m:t>t+11</m:t>
        </m:r>
      </m:oMath>
      <w:r>
        <w:rPr>
          <w:rFonts w:hint="eastAsia"/>
        </w:rPr>
        <w:t>日（共</w:t>
      </w:r>
      <w:r>
        <w:rPr>
          <w:rFonts w:hint="eastAsia"/>
        </w:rPr>
        <w:t>22</w:t>
      </w:r>
      <w:r>
        <w:rPr>
          <w:rFonts w:hint="eastAsia"/>
        </w:rPr>
        <w:t>天）的同步性水平</w:t>
      </w:r>
      <w:r w:rsidR="003F640D">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i,t-10</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i,t+11</m:t>
            </m:r>
          </m:sub>
        </m:sSub>
        <m:r>
          <m:rPr>
            <m:sty m:val="p"/>
          </m:rPr>
          <w:rPr>
            <w:rFonts w:ascii="Cambria Math" w:hAnsi="Cambria Math"/>
          </w:rPr>
          <m:t>}</m:t>
        </m:r>
      </m:oMath>
      <w:r>
        <w:rPr>
          <w:rFonts w:hint="eastAsia"/>
        </w:rPr>
        <w:t>，并观察其变化趋势。</w:t>
      </w:r>
      <w:r w:rsidR="003F640D">
        <w:rPr>
          <w:rFonts w:hint="eastAsia"/>
        </w:rPr>
        <w:t>考虑到许多文献都观察到了研究报告发布后市场反应不足的现象（</w:t>
      </w:r>
      <w:r w:rsidR="003F7B52">
        <w:rPr>
          <w:rFonts w:hint="eastAsia"/>
        </w:rPr>
        <w:t>Womack</w:t>
      </w:r>
      <w:r w:rsidR="003F7B52">
        <w:rPr>
          <w:rFonts w:hint="eastAsia"/>
        </w:rPr>
        <w:t>等，</w:t>
      </w:r>
      <w:r w:rsidR="003F7B52">
        <w:rPr>
          <w:rFonts w:hint="eastAsia"/>
        </w:rPr>
        <w:t>1996</w:t>
      </w:r>
      <w:r w:rsidR="003F7B52">
        <w:rPr>
          <w:rFonts w:hint="eastAsia"/>
        </w:rPr>
        <w:t>；</w:t>
      </w:r>
      <w:proofErr w:type="spellStart"/>
      <w:r w:rsidR="003F640D">
        <w:rPr>
          <w:rFonts w:hint="eastAsia"/>
        </w:rPr>
        <w:t>Ivkovic</w:t>
      </w:r>
      <w:proofErr w:type="spellEnd"/>
      <w:r w:rsidR="003F640D">
        <w:rPr>
          <w:rFonts w:hint="eastAsia"/>
        </w:rPr>
        <w:t>和</w:t>
      </w:r>
      <w:proofErr w:type="spellStart"/>
      <w:r w:rsidR="003F640D">
        <w:rPr>
          <w:rFonts w:hint="eastAsia"/>
        </w:rPr>
        <w:t>Jegadeesh</w:t>
      </w:r>
      <w:proofErr w:type="spellEnd"/>
      <w:r w:rsidR="003F640D">
        <w:rPr>
          <w:rFonts w:hint="eastAsia"/>
        </w:rPr>
        <w:t>，</w:t>
      </w:r>
      <w:r w:rsidR="003F640D">
        <w:rPr>
          <w:rFonts w:hint="eastAsia"/>
        </w:rPr>
        <w:t>2004</w:t>
      </w:r>
      <w:r w:rsidR="003F640D">
        <w:rPr>
          <w:rFonts w:hint="eastAsia"/>
        </w:rPr>
        <w:t>）</w:t>
      </w:r>
      <w:r w:rsidR="006657AC">
        <w:rPr>
          <w:vertAlign w:val="superscript"/>
        </w:rPr>
        <w:t>[</w:t>
      </w:r>
      <w:r w:rsidR="006657AC">
        <w:rPr>
          <w:vertAlign w:val="superscript"/>
        </w:rPr>
        <w:fldChar w:fldCharType="begin"/>
      </w:r>
      <w:r w:rsidR="006657AC">
        <w:rPr>
          <w:vertAlign w:val="superscript"/>
        </w:rPr>
        <w:instrText xml:space="preserve"> NOTEREF _Ref510047870 \h </w:instrText>
      </w:r>
      <w:r w:rsidR="006657AC">
        <w:rPr>
          <w:vertAlign w:val="superscript"/>
        </w:rPr>
      </w:r>
      <w:r w:rsidR="009E2CF7">
        <w:rPr>
          <w:vertAlign w:val="superscript"/>
        </w:rPr>
        <w:instrText xml:space="preserve"> \* MERGEFORMAT </w:instrText>
      </w:r>
      <w:r w:rsidR="006657AC">
        <w:rPr>
          <w:vertAlign w:val="superscript"/>
        </w:rPr>
        <w:fldChar w:fldCharType="separate"/>
      </w:r>
      <w:r w:rsidR="0016113B">
        <w:rPr>
          <w:vertAlign w:val="superscript"/>
        </w:rPr>
        <w:t>6</w:t>
      </w:r>
      <w:r w:rsidR="006657AC">
        <w:rPr>
          <w:vertAlign w:val="superscript"/>
        </w:rPr>
        <w:fldChar w:fldCharType="end"/>
      </w:r>
      <w:r w:rsidR="006657AC" w:rsidRPr="005717F7">
        <w:rPr>
          <w:vertAlign w:val="superscript"/>
        </w:rPr>
        <w:t>]</w:t>
      </w:r>
      <w:r w:rsidR="005717F7" w:rsidRPr="005717F7">
        <w:rPr>
          <w:rFonts w:hint="eastAsia"/>
          <w:vertAlign w:val="superscript"/>
        </w:rPr>
        <w:t>[</w:t>
      </w:r>
      <w:r w:rsidR="00FC1519">
        <w:rPr>
          <w:vertAlign w:val="superscript"/>
        </w:rPr>
        <w:fldChar w:fldCharType="begin"/>
      </w:r>
      <w:r w:rsidR="00FC1519">
        <w:rPr>
          <w:vertAlign w:val="superscript"/>
        </w:rPr>
        <w:instrText xml:space="preserve"> </w:instrText>
      </w:r>
      <w:r w:rsidR="00FC1519">
        <w:rPr>
          <w:rFonts w:hint="eastAsia"/>
          <w:vertAlign w:val="superscript"/>
        </w:rPr>
        <w:instrText>NOTEREF _Ref510047882 \h</w:instrText>
      </w:r>
      <w:r w:rsidR="00FC1519">
        <w:rPr>
          <w:vertAlign w:val="superscript"/>
        </w:rPr>
        <w:instrText xml:space="preserve"> </w:instrText>
      </w:r>
      <w:r w:rsidR="00FC1519">
        <w:rPr>
          <w:vertAlign w:val="superscript"/>
        </w:rPr>
      </w:r>
      <w:r w:rsidR="009E2CF7">
        <w:rPr>
          <w:vertAlign w:val="superscript"/>
        </w:rPr>
        <w:instrText xml:space="preserve"> \* MERGEFORMAT </w:instrText>
      </w:r>
      <w:r w:rsidR="00FC1519">
        <w:rPr>
          <w:vertAlign w:val="superscript"/>
        </w:rPr>
        <w:fldChar w:fldCharType="separate"/>
      </w:r>
      <w:r w:rsidR="0016113B">
        <w:rPr>
          <w:vertAlign w:val="superscript"/>
        </w:rPr>
        <w:t>10</w:t>
      </w:r>
      <w:r w:rsidR="00FC1519">
        <w:rPr>
          <w:vertAlign w:val="superscript"/>
        </w:rPr>
        <w:fldChar w:fldCharType="end"/>
      </w:r>
      <w:r w:rsidR="005717F7">
        <w:rPr>
          <w:vertAlign w:val="superscript"/>
        </w:rPr>
        <w:t>]</w:t>
      </w:r>
      <w:r w:rsidR="003F640D">
        <w:rPr>
          <w:rFonts w:hint="eastAsia"/>
        </w:rPr>
        <w:t>，本文定义每份报告引起的同步性变化</w:t>
      </w:r>
      <m:oMath>
        <m:sSub>
          <m:sSubPr>
            <m:ctrlPr>
              <w:rPr>
                <w:rFonts w:ascii="Cambria Math" w:hAnsi="Cambria Math"/>
              </w:rPr>
            </m:ctrlPr>
          </m:sSubPr>
          <m:e>
            <m:r>
              <w:rPr>
                <w:rFonts w:ascii="Cambria Math" w:hAnsi="Cambria Math"/>
              </w:rPr>
              <m:t>dr2</m:t>
            </m:r>
          </m:e>
          <m:sub>
            <m:r>
              <w:rPr>
                <w:rFonts w:ascii="Cambria Math" w:hAnsi="Cambria Math"/>
              </w:rPr>
              <m:t>i</m:t>
            </m:r>
          </m:sub>
        </m:sSub>
      </m:oMath>
      <w:r w:rsidR="003F640D">
        <w:rPr>
          <w:rFonts w:hint="eastAsia"/>
        </w:rPr>
        <w:t>的计算方式如下</w:t>
      </w:r>
    </w:p>
    <w:p w14:paraId="284979C5" w14:textId="3810B027" w:rsidR="003F640D" w:rsidRPr="00A74116" w:rsidRDefault="006D44AB" w:rsidP="009E2CF7">
      <w:pPr>
        <w:spacing w:line="240" w:lineRule="auto"/>
        <w:ind w:firstLine="420"/>
      </w:pPr>
      <m:oMathPara>
        <m:oMath>
          <m:sSub>
            <m:sSubPr>
              <m:ctrlPr>
                <w:rPr>
                  <w:rFonts w:ascii="Cambria Math" w:hAnsi="Cambria Math"/>
                </w:rPr>
              </m:ctrlPr>
            </m:sSubPr>
            <m:e>
              <m:r>
                <w:rPr>
                  <w:rFonts w:ascii="Cambria Math" w:hAnsi="Cambria Math" w:hint="eastAsia"/>
                </w:rPr>
                <m:t>dr2</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r2</m:t>
              </m:r>
            </m:e>
            <m:sub>
              <m:r>
                <w:rPr>
                  <w:rFonts w:ascii="Cambria Math" w:hAnsi="Cambria Math"/>
                </w:rPr>
                <m:t>i,t+2</m:t>
              </m:r>
            </m:sub>
          </m:sSub>
          <m:r>
            <w:rPr>
              <w:rFonts w:ascii="Cambria Math" w:hAnsi="Cambria Math"/>
            </w:rPr>
            <m:t>-</m:t>
          </m:r>
          <m:sSub>
            <m:sSubPr>
              <m:ctrlPr>
                <w:rPr>
                  <w:rFonts w:ascii="Cambria Math" w:hAnsi="Cambria Math"/>
                  <w:i/>
                </w:rPr>
              </m:ctrlPr>
            </m:sSubPr>
            <m:e>
              <m:r>
                <w:rPr>
                  <w:rFonts w:ascii="Cambria Math" w:hAnsi="Cambria Math"/>
                </w:rPr>
                <m:t>r2</m:t>
              </m:r>
            </m:e>
            <m:sub>
              <m:r>
                <w:rPr>
                  <w:rFonts w:ascii="Cambria Math" w:hAnsi="Cambria Math"/>
                </w:rPr>
                <m:t>i,t-1</m:t>
              </m:r>
            </m:sub>
          </m:sSub>
        </m:oMath>
      </m:oMathPara>
    </w:p>
    <w:p w14:paraId="02DA2C33" w14:textId="0060CA18" w:rsidR="00A74116" w:rsidRDefault="00A74116" w:rsidP="009E2CF7">
      <w:pPr>
        <w:spacing w:line="240" w:lineRule="auto"/>
        <w:ind w:firstLine="420"/>
      </w:pPr>
      <w:r>
        <w:rPr>
          <w:rFonts w:hint="eastAsia"/>
        </w:rPr>
        <w:t>即以报告发布当日和第二日为事件窗</w:t>
      </w:r>
      <w:r w:rsidR="005039CD">
        <w:rPr>
          <w:rFonts w:hint="eastAsia"/>
        </w:rPr>
        <w:t>口</w:t>
      </w:r>
      <w:r>
        <w:rPr>
          <w:rFonts w:hint="eastAsia"/>
        </w:rPr>
        <w:t>，以报告发布第三日和报告发布前一日的拟合系数之差作为信息含量的变化幅度。</w:t>
      </w:r>
    </w:p>
    <w:p w14:paraId="6D60E6DF" w14:textId="7F10B0F4" w:rsidR="008B410E" w:rsidRPr="00A74116" w:rsidRDefault="0002579D" w:rsidP="009E2CF7">
      <w:pPr>
        <w:pStyle w:val="4"/>
        <w:spacing w:line="240" w:lineRule="auto"/>
      </w:pPr>
      <w:r w:rsidRPr="00A74116">
        <w:rPr>
          <w:rFonts w:hint="eastAsia"/>
        </w:rPr>
        <w:t>超额收益率</w:t>
      </w:r>
      <w:r w:rsidR="00117878" w:rsidRPr="00A74116">
        <w:rPr>
          <w:rFonts w:hint="eastAsia"/>
        </w:rPr>
        <w:t>与累计超额收益率</w:t>
      </w:r>
    </w:p>
    <w:p w14:paraId="168892EF" w14:textId="34D8FCAD" w:rsidR="00117878" w:rsidRDefault="00E1379C" w:rsidP="009E2CF7">
      <w:pPr>
        <w:spacing w:line="240" w:lineRule="auto"/>
        <w:ind w:firstLine="420"/>
      </w:pPr>
      <w:r>
        <w:rPr>
          <w:rFonts w:hint="eastAsia"/>
        </w:rPr>
        <w:t>参考已有研究</w:t>
      </w:r>
      <w:r w:rsidR="00DE6D57">
        <w:rPr>
          <w:rFonts w:hint="eastAsia"/>
        </w:rPr>
        <w:t>的做法（</w:t>
      </w:r>
      <w:r w:rsidR="00991132">
        <w:rPr>
          <w:rFonts w:hint="eastAsia"/>
        </w:rPr>
        <w:t>Womack</w:t>
      </w:r>
      <w:r w:rsidR="00991132">
        <w:rPr>
          <w:rFonts w:hint="eastAsia"/>
        </w:rPr>
        <w:t>，</w:t>
      </w:r>
      <w:r w:rsidR="00991132">
        <w:rPr>
          <w:rFonts w:hint="eastAsia"/>
        </w:rPr>
        <w:t>1996</w:t>
      </w:r>
      <w:r w:rsidR="00991132">
        <w:rPr>
          <w:rFonts w:hint="eastAsia"/>
        </w:rPr>
        <w:t>；</w:t>
      </w:r>
      <w:proofErr w:type="spellStart"/>
      <w:r w:rsidR="00991132">
        <w:rPr>
          <w:rFonts w:hint="eastAsia"/>
        </w:rPr>
        <w:t>Ivkovic</w:t>
      </w:r>
      <w:proofErr w:type="spellEnd"/>
      <w:r w:rsidR="00991132">
        <w:rPr>
          <w:rFonts w:hint="eastAsia"/>
        </w:rPr>
        <w:t>和</w:t>
      </w:r>
      <w:proofErr w:type="spellStart"/>
      <w:r w:rsidR="00991132">
        <w:rPr>
          <w:rFonts w:hint="eastAsia"/>
        </w:rPr>
        <w:t>Jegadeesh</w:t>
      </w:r>
      <w:proofErr w:type="spellEnd"/>
      <w:r w:rsidR="00991132">
        <w:rPr>
          <w:rFonts w:hint="eastAsia"/>
        </w:rPr>
        <w:t>，</w:t>
      </w:r>
      <w:r w:rsidR="00991132">
        <w:rPr>
          <w:rFonts w:hint="eastAsia"/>
        </w:rPr>
        <w:t>2004</w:t>
      </w:r>
      <w:r w:rsidR="00DE6D57">
        <w:rPr>
          <w:rFonts w:hint="eastAsia"/>
        </w:rPr>
        <w:t>）</w:t>
      </w:r>
      <w:r w:rsidR="006657AC">
        <w:rPr>
          <w:vertAlign w:val="superscript"/>
        </w:rPr>
        <w:t>[</w:t>
      </w:r>
      <w:r w:rsidR="006657AC">
        <w:rPr>
          <w:vertAlign w:val="superscript"/>
        </w:rPr>
        <w:fldChar w:fldCharType="begin"/>
      </w:r>
      <w:r w:rsidR="006657AC">
        <w:rPr>
          <w:vertAlign w:val="superscript"/>
        </w:rPr>
        <w:instrText xml:space="preserve"> NOTEREF _Ref510047870 \h </w:instrText>
      </w:r>
      <w:r w:rsidR="006657AC">
        <w:rPr>
          <w:vertAlign w:val="superscript"/>
        </w:rPr>
      </w:r>
      <w:r w:rsidR="009E2CF7">
        <w:rPr>
          <w:vertAlign w:val="superscript"/>
        </w:rPr>
        <w:instrText xml:space="preserve"> \* MERGEFORMAT </w:instrText>
      </w:r>
      <w:r w:rsidR="006657AC">
        <w:rPr>
          <w:vertAlign w:val="superscript"/>
        </w:rPr>
        <w:fldChar w:fldCharType="separate"/>
      </w:r>
      <w:r w:rsidR="0016113B">
        <w:rPr>
          <w:vertAlign w:val="superscript"/>
        </w:rPr>
        <w:t>6</w:t>
      </w:r>
      <w:r w:rsidR="006657AC">
        <w:rPr>
          <w:vertAlign w:val="superscript"/>
        </w:rPr>
        <w:fldChar w:fldCharType="end"/>
      </w:r>
      <w:r w:rsidR="006657AC" w:rsidRPr="005717F7">
        <w:rPr>
          <w:vertAlign w:val="superscript"/>
        </w:rPr>
        <w:t>]</w:t>
      </w:r>
      <w:r w:rsidR="006657AC" w:rsidRPr="005717F7">
        <w:rPr>
          <w:rFonts w:hint="eastAsia"/>
          <w:vertAlign w:val="superscript"/>
        </w:rPr>
        <w:t>[</w:t>
      </w:r>
      <w:r w:rsidR="006657AC">
        <w:rPr>
          <w:vertAlign w:val="superscript"/>
        </w:rPr>
        <w:fldChar w:fldCharType="begin"/>
      </w:r>
      <w:r w:rsidR="006657AC">
        <w:rPr>
          <w:vertAlign w:val="superscript"/>
        </w:rPr>
        <w:instrText xml:space="preserve"> </w:instrText>
      </w:r>
      <w:r w:rsidR="006657AC">
        <w:rPr>
          <w:rFonts w:hint="eastAsia"/>
          <w:vertAlign w:val="superscript"/>
        </w:rPr>
        <w:instrText>NOTEREF _Ref510047882 \h</w:instrText>
      </w:r>
      <w:r w:rsidR="006657AC">
        <w:rPr>
          <w:vertAlign w:val="superscript"/>
        </w:rPr>
        <w:instrText xml:space="preserve"> </w:instrText>
      </w:r>
      <w:r w:rsidR="006657AC">
        <w:rPr>
          <w:vertAlign w:val="superscript"/>
        </w:rPr>
      </w:r>
      <w:r w:rsidR="009E2CF7">
        <w:rPr>
          <w:vertAlign w:val="superscript"/>
        </w:rPr>
        <w:instrText xml:space="preserve"> \* MERGEFORMAT </w:instrText>
      </w:r>
      <w:r w:rsidR="006657AC">
        <w:rPr>
          <w:vertAlign w:val="superscript"/>
        </w:rPr>
        <w:fldChar w:fldCharType="separate"/>
      </w:r>
      <w:r w:rsidR="0016113B">
        <w:rPr>
          <w:vertAlign w:val="superscript"/>
        </w:rPr>
        <w:t>10</w:t>
      </w:r>
      <w:r w:rsidR="006657AC">
        <w:rPr>
          <w:vertAlign w:val="superscript"/>
        </w:rPr>
        <w:fldChar w:fldCharType="end"/>
      </w:r>
      <w:r w:rsidR="006657AC">
        <w:rPr>
          <w:vertAlign w:val="superscript"/>
        </w:rPr>
        <w:t>]</w:t>
      </w:r>
      <w:r>
        <w:rPr>
          <w:rFonts w:hint="eastAsia"/>
        </w:rPr>
        <w:t>，本文拟采用</w:t>
      </w:r>
      <w:r w:rsidR="00DE6D57">
        <w:rPr>
          <w:rFonts w:hint="eastAsia"/>
        </w:rPr>
        <w:t>市场</w:t>
      </w:r>
      <w:r w:rsidR="00991132">
        <w:rPr>
          <w:rFonts w:hint="eastAsia"/>
        </w:rPr>
        <w:t>调整</w:t>
      </w:r>
      <w:r w:rsidR="00DE6D57">
        <w:rPr>
          <w:rFonts w:hint="eastAsia"/>
        </w:rPr>
        <w:t>模型度量异常收益。</w:t>
      </w:r>
      <w:r w:rsidR="00DE6D57" w:rsidRPr="00DE6D57">
        <w:rPr>
          <w:rFonts w:hint="eastAsia"/>
        </w:rPr>
        <w:t>记</w:t>
      </w:r>
      <w:r w:rsidR="00827030">
        <w:rPr>
          <w:rFonts w:hint="eastAsia"/>
        </w:rPr>
        <w:t>公司</w:t>
      </w:r>
      <m:oMath>
        <m:r>
          <w:rPr>
            <w:rFonts w:ascii="Cambria Math" w:hAnsi="Cambria Math"/>
          </w:rPr>
          <m:t>i</m:t>
        </m:r>
      </m:oMath>
      <w:r w:rsidR="00DE6D57" w:rsidRPr="00DE6D57">
        <w:rPr>
          <w:rFonts w:hint="eastAsia"/>
        </w:rPr>
        <w:t>第</w:t>
      </w:r>
      <m:oMath>
        <m:r>
          <w:rPr>
            <w:rFonts w:ascii="Cambria Math" w:hAnsi="Cambria Math"/>
          </w:rPr>
          <m:t>t</m:t>
        </m:r>
      </m:oMath>
      <w:r w:rsidR="00DE6D57" w:rsidRPr="00DE6D57">
        <w:rPr>
          <w:rFonts w:hint="eastAsia"/>
        </w:rPr>
        <w:t>日的价格为</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00DE6D57" w:rsidRPr="00DE6D57">
        <w:rPr>
          <w:rFonts w:hint="eastAsia"/>
        </w:rPr>
        <w:t>，第</w:t>
      </w:r>
      <m:oMath>
        <m:r>
          <w:rPr>
            <w:rFonts w:ascii="Cambria Math" w:hAnsi="Cambria Math"/>
          </w:rPr>
          <m:t>t-1</m:t>
        </m:r>
      </m:oMath>
      <w:r w:rsidR="00DE6D57" w:rsidRPr="00DE6D57">
        <w:rPr>
          <w:rFonts w:hint="eastAsia"/>
        </w:rPr>
        <w:t>日的价格为</w:t>
      </w:r>
      <m:oMath>
        <m:sSub>
          <m:sSubPr>
            <m:ctrlPr>
              <w:rPr>
                <w:rFonts w:ascii="Cambria Math" w:hAnsi="Cambria Math"/>
              </w:rPr>
            </m:ctrlPr>
          </m:sSubPr>
          <m:e>
            <m:r>
              <w:rPr>
                <w:rFonts w:ascii="Cambria Math" w:hAnsi="Cambria Math"/>
              </w:rPr>
              <m:t>P</m:t>
            </m:r>
          </m:e>
          <m:sub>
            <m:r>
              <w:rPr>
                <w:rFonts w:ascii="Cambria Math" w:hAnsi="Cambria Math"/>
              </w:rPr>
              <m:t>i,t</m:t>
            </m:r>
            <m:r>
              <w:rPr>
                <w:rFonts w:ascii="Cambria Math" w:eastAsia="微软雅黑" w:hAnsi="Cambria Math" w:cs="微软雅黑" w:hint="eastAsia"/>
              </w:rPr>
              <m:t>-</m:t>
            </m:r>
            <m:r>
              <w:rPr>
                <w:rFonts w:ascii="Cambria Math" w:hAnsi="Cambria Math" w:hint="eastAsia"/>
              </w:rPr>
              <m:t>1</m:t>
            </m:r>
          </m:sub>
        </m:sSub>
      </m:oMath>
      <w:r w:rsidR="00DE6D57" w:rsidRPr="00DE6D57">
        <w:rPr>
          <w:rFonts w:hint="eastAsia"/>
        </w:rPr>
        <w:t>，则股票</w:t>
      </w:r>
      <m:oMath>
        <m:r>
          <w:rPr>
            <w:rFonts w:ascii="Cambria Math" w:hAnsi="Cambria Math"/>
          </w:rPr>
          <m:t>i</m:t>
        </m:r>
      </m:oMath>
      <w:r w:rsidR="00DE6D57" w:rsidRPr="00DE6D57">
        <w:rPr>
          <w:rFonts w:hint="eastAsia"/>
        </w:rPr>
        <w:t>第</w:t>
      </w:r>
      <m:oMath>
        <m:r>
          <w:rPr>
            <w:rFonts w:ascii="Cambria Math" w:hAnsi="Cambria Math"/>
          </w:rPr>
          <m:t>t</m:t>
        </m:r>
      </m:oMath>
      <w:r w:rsidR="00DE6D57">
        <w:rPr>
          <w:rFonts w:hint="eastAsia"/>
        </w:rPr>
        <w:t>日的对数收益率</w:t>
      </w:r>
      <m:oMath>
        <m:sSub>
          <m:sSubPr>
            <m:ctrlPr>
              <w:rPr>
                <w:rFonts w:ascii="Cambria Math" w:hAnsi="Cambria Math"/>
              </w:rPr>
            </m:ctrlPr>
          </m:sSubPr>
          <m:e>
            <m:r>
              <w:rPr>
                <w:rFonts w:ascii="Cambria Math" w:hAnsi="Cambria Math"/>
              </w:rPr>
              <m:t>R</m:t>
            </m:r>
          </m:e>
          <m:sub>
            <m:r>
              <w:rPr>
                <w:rFonts w:ascii="Cambria Math" w:hAnsi="Cambria Math"/>
              </w:rPr>
              <m:t>i,t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i,t</m:t>
                </m:r>
              </m:sub>
            </m:sSub>
          </m:e>
        </m:func>
        <m:r>
          <m:rPr>
            <m:sty m:val="p"/>
          </m:rPr>
          <w:rPr>
            <w:rFonts w:ascii="Cambria Math" w:eastAsia="微软雅黑" w:hAnsi="Cambria Math" w:cs="微软雅黑" w:hint="eastAsia"/>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i,t-1</m:t>
                </m:r>
              </m:sub>
            </m:sSub>
          </m:e>
        </m:func>
      </m:oMath>
      <w:r w:rsidR="009975C5">
        <w:rPr>
          <w:rFonts w:hint="eastAsia"/>
        </w:rPr>
        <w:t>，</w:t>
      </w:r>
      <w:r w:rsidR="00117878">
        <w:rPr>
          <w:rFonts w:hint="eastAsia"/>
        </w:rPr>
        <w:t>以</w:t>
      </w:r>
      <m:oMath>
        <m:sSub>
          <m:sSubPr>
            <m:ctrlPr>
              <w:rPr>
                <w:rFonts w:ascii="Cambria Math" w:hAnsi="Cambria Math"/>
              </w:rPr>
            </m:ctrlPr>
          </m:sSubPr>
          <m:e>
            <m:r>
              <w:rPr>
                <w:rFonts w:ascii="Cambria Math" w:hAnsi="Cambria Math"/>
              </w:rPr>
              <m:t>R</m:t>
            </m:r>
          </m:e>
          <m:sub>
            <m:r>
              <w:rPr>
                <w:rFonts w:ascii="Cambria Math" w:hAnsi="Cambria Math"/>
              </w:rPr>
              <m:t>m,t</m:t>
            </m:r>
          </m:sub>
        </m:sSub>
      </m:oMath>
      <w:r w:rsidR="00117878">
        <w:rPr>
          <w:rFonts w:hint="eastAsia"/>
        </w:rPr>
        <w:t>表示第</w:t>
      </w:r>
      <m:oMath>
        <m:r>
          <w:rPr>
            <w:rFonts w:ascii="Cambria Math" w:hAnsi="Cambria Math"/>
          </w:rPr>
          <m:t>t</m:t>
        </m:r>
      </m:oMath>
      <w:r w:rsidR="00117878">
        <w:rPr>
          <w:rFonts w:hint="eastAsia"/>
        </w:rPr>
        <w:t>日的综合市场收益率，</w:t>
      </w:r>
      <w:r w:rsidR="00991132">
        <w:rPr>
          <w:rFonts w:hint="eastAsia"/>
        </w:rPr>
        <w:t>相应的超额收益率</w:t>
      </w:r>
      <m:oMath>
        <m:sSub>
          <m:sSubPr>
            <m:ctrlPr>
              <w:rPr>
                <w:rFonts w:ascii="Cambria Math" w:hAnsi="Cambria Math"/>
              </w:rPr>
            </m:ctrlPr>
          </m:sSubPr>
          <m:e>
            <m:r>
              <w:rPr>
                <w:rFonts w:ascii="Cambria Math" w:hAnsi="Cambria Math"/>
              </w:rPr>
              <m:t>AR</m:t>
            </m:r>
          </m:e>
          <m:sub>
            <m:r>
              <w:rPr>
                <w:rFonts w:ascii="Cambria Math" w:hAnsi="Cambria Math"/>
              </w:rPr>
              <m:t>i,t</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m,t</m:t>
            </m:r>
          </m:sub>
        </m:sSub>
      </m:oMath>
      <w:r w:rsidR="00A65062">
        <w:rPr>
          <w:rFonts w:hint="eastAsia"/>
        </w:rPr>
        <w:t>，</w:t>
      </w:r>
      <w:r w:rsidR="00117878">
        <w:rPr>
          <w:rFonts w:hint="eastAsia"/>
        </w:rPr>
        <w:t>累计超额收益率</w:t>
      </w:r>
      <w:r w:rsidR="00A65062">
        <w:br/>
      </w:r>
      <m:oMathPara>
        <m:oMath>
          <m:sSub>
            <m:sSubPr>
              <m:ctrlPr>
                <w:rPr>
                  <w:rFonts w:ascii="Cambria Math" w:hAnsi="Cambria Math"/>
                </w:rPr>
              </m:ctrlPr>
            </m:sSubPr>
            <m:e>
              <m:r>
                <w:rPr>
                  <w:rFonts w:ascii="Cambria Math" w:hAnsi="Cambria Math"/>
                </w:rPr>
                <m:t>CAR</m:t>
              </m:r>
            </m:e>
            <m:sub>
              <m:r>
                <w:rPr>
                  <w:rFonts w:ascii="Cambria Math" w:hAnsi="Cambria Math"/>
                </w:rPr>
                <m:t>t1,t2</m:t>
              </m:r>
            </m:sub>
          </m:sSub>
          <m:r>
            <w:rPr>
              <w:rFonts w:ascii="Cambria Math" w:hAnsi="Cambria Math"/>
            </w:rPr>
            <m:t>=</m:t>
          </m:r>
          <m:nary>
            <m:naryPr>
              <m:chr m:val="∑"/>
              <m:limLoc m:val="subSup"/>
              <m:ctrlPr>
                <w:rPr>
                  <w:rFonts w:ascii="Cambria Math" w:hAnsi="Cambria Math"/>
                  <w:i/>
                </w:rPr>
              </m:ctrlPr>
            </m:naryPr>
            <m:sub>
              <m:r>
                <w:rPr>
                  <w:rFonts w:ascii="Cambria Math" w:hAnsi="Cambria Math"/>
                </w:rPr>
                <m:t>t=t1</m:t>
              </m:r>
            </m:sub>
            <m:sup>
              <m:r>
                <w:rPr>
                  <w:rFonts w:ascii="Cambria Math" w:hAnsi="Cambria Math"/>
                </w:rPr>
                <m:t>t2</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m:oMathPara>
    </w:p>
    <w:p w14:paraId="4FF6F89F" w14:textId="0362577C" w:rsidR="005717F7" w:rsidRPr="008B410E" w:rsidRDefault="003634A8" w:rsidP="009E2CF7">
      <w:pPr>
        <w:spacing w:line="240" w:lineRule="auto"/>
        <w:ind w:firstLine="420"/>
      </w:pPr>
      <w:r>
        <w:rPr>
          <w:rFonts w:hint="eastAsia"/>
        </w:rPr>
        <w:t>与</w:t>
      </w:r>
      <w:proofErr w:type="spellStart"/>
      <w:r w:rsidR="00DE6D57">
        <w:rPr>
          <w:rFonts w:hint="eastAsia"/>
        </w:rPr>
        <w:t>Iv</w:t>
      </w:r>
      <w:r w:rsidR="006F6B4D">
        <w:t>k</w:t>
      </w:r>
      <w:r w:rsidR="00DE6D57">
        <w:rPr>
          <w:rFonts w:hint="eastAsia"/>
        </w:rPr>
        <w:t>o</w:t>
      </w:r>
      <w:r w:rsidR="006F6B4D">
        <w:t>vic</w:t>
      </w:r>
      <w:proofErr w:type="spellEnd"/>
      <w:r w:rsidR="006F6B4D">
        <w:rPr>
          <w:rFonts w:hint="eastAsia"/>
        </w:rPr>
        <w:t>和</w:t>
      </w:r>
      <w:proofErr w:type="spellStart"/>
      <w:r w:rsidR="006F6B4D">
        <w:rPr>
          <w:rFonts w:hint="eastAsia"/>
        </w:rPr>
        <w:t>Jegadeesh</w:t>
      </w:r>
      <w:proofErr w:type="spellEnd"/>
      <w:r w:rsidR="006F6B4D">
        <w:rPr>
          <w:rFonts w:hint="eastAsia"/>
        </w:rPr>
        <w:t>（</w:t>
      </w:r>
      <w:r w:rsidR="006F6B4D">
        <w:rPr>
          <w:rFonts w:hint="eastAsia"/>
        </w:rPr>
        <w:t>2004</w:t>
      </w:r>
      <w:r w:rsidR="006F6B4D">
        <w:rPr>
          <w:rFonts w:hint="eastAsia"/>
        </w:rPr>
        <w:t>）</w:t>
      </w:r>
      <w:r w:rsidR="005717F7">
        <w:rPr>
          <w:vertAlign w:val="superscript"/>
        </w:rPr>
        <w:t>[</w:t>
      </w:r>
      <w:r w:rsidR="00FC1519">
        <w:rPr>
          <w:vertAlign w:val="superscript"/>
        </w:rPr>
        <w:fldChar w:fldCharType="begin"/>
      </w:r>
      <w:r w:rsidR="00FC1519">
        <w:rPr>
          <w:vertAlign w:val="superscript"/>
        </w:rPr>
        <w:instrText xml:space="preserve"> NOTEREF _Ref510047870 \h </w:instrText>
      </w:r>
      <w:r w:rsidR="00FC1519">
        <w:rPr>
          <w:vertAlign w:val="superscript"/>
        </w:rPr>
      </w:r>
      <w:r w:rsidR="009E2CF7">
        <w:rPr>
          <w:vertAlign w:val="superscript"/>
        </w:rPr>
        <w:instrText xml:space="preserve"> \* MERGEFORMAT </w:instrText>
      </w:r>
      <w:r w:rsidR="00FC1519">
        <w:rPr>
          <w:vertAlign w:val="superscript"/>
        </w:rPr>
        <w:fldChar w:fldCharType="separate"/>
      </w:r>
      <w:r w:rsidR="0016113B">
        <w:rPr>
          <w:vertAlign w:val="superscript"/>
        </w:rPr>
        <w:t>6</w:t>
      </w:r>
      <w:r w:rsidR="00FC1519">
        <w:rPr>
          <w:vertAlign w:val="superscript"/>
        </w:rPr>
        <w:fldChar w:fldCharType="end"/>
      </w:r>
      <w:r w:rsidR="005717F7" w:rsidRPr="005717F7">
        <w:rPr>
          <w:vertAlign w:val="superscript"/>
        </w:rPr>
        <w:t>]</w:t>
      </w:r>
      <w:r w:rsidR="006F6B4D">
        <w:rPr>
          <w:rFonts w:hint="eastAsia"/>
        </w:rPr>
        <w:t>的</w:t>
      </w:r>
      <w:r>
        <w:rPr>
          <w:rFonts w:hint="eastAsia"/>
        </w:rPr>
        <w:t>研究类似</w:t>
      </w:r>
      <w:r w:rsidR="006F6B4D">
        <w:rPr>
          <w:rFonts w:hint="eastAsia"/>
        </w:rPr>
        <w:t>，本文共设置了</w:t>
      </w:r>
      <m:oMath>
        <m:d>
          <m:dPr>
            <m:ctrlPr>
              <w:rPr>
                <w:rFonts w:ascii="Cambria Math" w:hAnsi="Cambria Math"/>
              </w:rPr>
            </m:ctrlPr>
          </m:dPr>
          <m:e>
            <m:r>
              <m:rPr>
                <m:sty m:val="p"/>
              </m:rPr>
              <w:rPr>
                <w:rFonts w:ascii="Cambria Math" w:hAnsi="Cambria Math"/>
              </w:rPr>
              <m:t>-10, -6</m:t>
            </m:r>
          </m:e>
        </m:d>
        <m:r>
          <m:rPr>
            <m:sty m:val="p"/>
          </m:rPr>
          <w:rPr>
            <w:rFonts w:ascii="Cambria Math" w:hAnsi="Cambria Math" w:hint="eastAsia"/>
          </w:rPr>
          <m:t>，</m:t>
        </m:r>
        <m:d>
          <m:dPr>
            <m:ctrlPr>
              <w:rPr>
                <w:rFonts w:ascii="Cambria Math" w:hAnsi="Cambria Math"/>
              </w:rPr>
            </m:ctrlPr>
          </m:dPr>
          <m:e>
            <m:r>
              <w:rPr>
                <w:rFonts w:ascii="Cambria Math" w:hAnsi="Cambria Math"/>
              </w:rPr>
              <m:t>-5,-1</m:t>
            </m:r>
          </m:e>
        </m:d>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d>
          <m:dPr>
            <m:ctrlPr>
              <w:rPr>
                <w:rFonts w:ascii="Cambria Math" w:hAnsi="Cambria Math"/>
              </w:rPr>
            </m:ctrlPr>
          </m:dPr>
          <m:e>
            <m:r>
              <m:rPr>
                <m:sty m:val="p"/>
              </m:rPr>
              <w:rPr>
                <w:rFonts w:ascii="Cambria Math" w:hAnsi="Cambria Math"/>
              </w:rPr>
              <m:t>2,6</m:t>
            </m:r>
          </m:e>
        </m:d>
        <m:r>
          <m:rPr>
            <m:sty m:val="p"/>
          </m:rPr>
          <w:rPr>
            <w:rFonts w:ascii="Cambria Math" w:hAnsi="Cambria Math" w:hint="eastAsia"/>
          </w:rPr>
          <m:t>，</m:t>
        </m:r>
        <m:r>
          <m:rPr>
            <m:sty m:val="p"/>
          </m:rPr>
          <w:rPr>
            <w:rFonts w:ascii="Cambria Math" w:hAnsi="Cambria Math"/>
          </w:rPr>
          <m:t>(7,11)</m:t>
        </m:r>
      </m:oMath>
      <w:r w:rsidR="006F6B4D">
        <w:rPr>
          <w:rFonts w:hint="eastAsia"/>
        </w:rPr>
        <w:t>六个窗口考察超额收益率的变化情况。</w:t>
      </w:r>
    </w:p>
    <w:p w14:paraId="42ECE633" w14:textId="1C35AC06" w:rsidR="003F7B52" w:rsidRDefault="00360417" w:rsidP="009E2CF7">
      <w:pPr>
        <w:pStyle w:val="3"/>
        <w:spacing w:line="240" w:lineRule="auto"/>
        <w:ind w:firstLine="422"/>
      </w:pPr>
      <w:bookmarkStart w:id="36" w:name="_Toc510120307"/>
      <w:bookmarkStart w:id="37" w:name="_Toc510121726"/>
      <w:bookmarkStart w:id="38" w:name="_Toc510124640"/>
      <w:bookmarkStart w:id="39" w:name="_Toc510124790"/>
      <w:r>
        <w:rPr>
          <w:rFonts w:hint="eastAsia"/>
        </w:rPr>
        <w:t>研究</w:t>
      </w:r>
      <w:r w:rsidR="003F7B52">
        <w:rPr>
          <w:rFonts w:hint="eastAsia"/>
        </w:rPr>
        <w:t>设计</w:t>
      </w:r>
      <w:bookmarkEnd w:id="36"/>
      <w:bookmarkEnd w:id="37"/>
      <w:bookmarkEnd w:id="38"/>
      <w:bookmarkEnd w:id="39"/>
    </w:p>
    <w:p w14:paraId="05FB7BC0" w14:textId="089781BC" w:rsidR="003F7B52" w:rsidRDefault="003F7B52" w:rsidP="009E2CF7">
      <w:pPr>
        <w:spacing w:line="240" w:lineRule="auto"/>
        <w:ind w:firstLine="420"/>
      </w:pPr>
      <w:r>
        <w:rPr>
          <w:rFonts w:hint="eastAsia"/>
        </w:rPr>
        <w:t>为了检验假设</w:t>
      </w:r>
      <w:r>
        <w:rPr>
          <w:rFonts w:hint="eastAsia"/>
        </w:rPr>
        <w:t>1</w:t>
      </w:r>
      <w:r>
        <w:rPr>
          <w:rFonts w:hint="eastAsia"/>
        </w:rPr>
        <w:t>，本文</w:t>
      </w:r>
      <w:r w:rsidR="008E0C13">
        <w:rPr>
          <w:rFonts w:hint="eastAsia"/>
        </w:rPr>
        <w:t>拟</w:t>
      </w:r>
      <w:r w:rsidR="001F79CA">
        <w:rPr>
          <w:rFonts w:hint="eastAsia"/>
        </w:rPr>
        <w:t>分别</w:t>
      </w:r>
      <w:r>
        <w:rPr>
          <w:rFonts w:hint="eastAsia"/>
        </w:rPr>
        <w:t>从</w:t>
      </w:r>
      <w:r w:rsidR="000D6891">
        <w:rPr>
          <w:rFonts w:hint="eastAsia"/>
        </w:rPr>
        <w:t>宏观和微观</w:t>
      </w:r>
      <w:r w:rsidR="00360417">
        <w:rPr>
          <w:rFonts w:hint="eastAsia"/>
        </w:rPr>
        <w:t>两个</w:t>
      </w:r>
      <w:r>
        <w:rPr>
          <w:rFonts w:hint="eastAsia"/>
        </w:rPr>
        <w:t>角度进行验证</w:t>
      </w:r>
      <w:r w:rsidR="00D93447">
        <w:rPr>
          <w:rFonts w:hint="eastAsia"/>
        </w:rPr>
        <w:t>，</w:t>
      </w:r>
      <w:r w:rsidR="00B5640B">
        <w:rPr>
          <w:rFonts w:hint="eastAsia"/>
        </w:rPr>
        <w:t>回归模型如下</w:t>
      </w:r>
      <w:r w:rsidR="00C74416">
        <w:rPr>
          <w:rFonts w:hint="eastAsia"/>
        </w:rPr>
        <w:t>：</w:t>
      </w:r>
    </w:p>
    <w:p w14:paraId="5DAB8B27" w14:textId="10EEA9E8" w:rsidR="003F7B52" w:rsidRPr="008E0C13" w:rsidRDefault="006D44AB" w:rsidP="009E2CF7">
      <w:pPr>
        <w:spacing w:line="240" w:lineRule="auto"/>
        <w:ind w:firstLine="420"/>
      </w:pPr>
      <m:oMathPara>
        <m:oMath>
          <m:sSub>
            <m:sSubPr>
              <m:ctrlPr>
                <w:rPr>
                  <w:rFonts w:ascii="Cambria Math" w:hAnsi="Cambria Math"/>
                </w:rPr>
              </m:ctrlPr>
            </m:sSubPr>
            <m:e>
              <m:r>
                <w:rPr>
                  <w:rFonts w:ascii="Cambria Math" w:hAnsi="Cambria Math"/>
                </w:rPr>
                <m:t>Reportnum</m:t>
              </m:r>
            </m:e>
            <m:sub>
              <m:r>
                <w:rPr>
                  <w:rFonts w:ascii="Cambria Math" w:hAnsi="Cambria Math"/>
                </w:rPr>
                <m:t>t</m:t>
              </m:r>
            </m:sub>
          </m:sSub>
          <m:r>
            <w:rPr>
              <w:rFonts w:ascii="Cambria Math" w:hAnsi="Cambria Math"/>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SENTINX</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Mktrt</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t</m:t>
              </m:r>
            </m:sub>
          </m:sSub>
        </m:oMath>
      </m:oMathPara>
    </w:p>
    <w:p w14:paraId="1084C943" w14:textId="26D86807" w:rsidR="00D93447" w:rsidRPr="006657AC" w:rsidRDefault="006D44AB" w:rsidP="009E2CF7">
      <w:pPr>
        <w:spacing w:line="240" w:lineRule="auto"/>
        <w:ind w:firstLine="360"/>
      </w:pPr>
      <m:oMathPara>
        <m:oMath>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sz w:val="18"/>
                    </w:rPr>
                  </m:ctrlPr>
                </m:dPr>
                <m:e>
                  <m:f>
                    <m:fPr>
                      <m:ctrlPr>
                        <w:rPr>
                          <w:rFonts w:ascii="Cambria Math" w:hAnsi="Cambria Math"/>
                          <w:i/>
                          <w:sz w:val="18"/>
                        </w:rPr>
                      </m:ctrlPr>
                    </m:fPr>
                    <m:num>
                      <m:r>
                        <w:rPr>
                          <w:rFonts w:ascii="Cambria Math" w:hAnsi="Cambria Math"/>
                          <w:sz w:val="18"/>
                        </w:rPr>
                        <m:t>P</m:t>
                      </m:r>
                      <m:d>
                        <m:dPr>
                          <m:ctrlPr>
                            <w:rPr>
                              <w:rFonts w:ascii="Cambria Math" w:hAnsi="Cambria Math"/>
                              <w:i/>
                              <w:sz w:val="18"/>
                            </w:rPr>
                          </m:ctrlPr>
                        </m:dPr>
                        <m:e>
                          <m:sSub>
                            <m:sSubPr>
                              <m:ctrlPr>
                                <w:rPr>
                                  <w:rFonts w:ascii="Cambria Math" w:hAnsi="Cambria Math"/>
                                  <w:sz w:val="18"/>
                                </w:rPr>
                              </m:ctrlPr>
                            </m:sSubPr>
                            <m:e>
                              <m:r>
                                <w:rPr>
                                  <w:rFonts w:ascii="Cambria Math" w:hAnsi="Cambria Math"/>
                                  <w:sz w:val="18"/>
                                </w:rPr>
                                <m:t>Reportrls</m:t>
                              </m:r>
                            </m:e>
                            <m:sub>
                              <m:r>
                                <w:rPr>
                                  <w:rFonts w:ascii="Cambria Math" w:hAnsi="Cambria Math"/>
                                  <w:sz w:val="18"/>
                                </w:rPr>
                                <m:t>i,t</m:t>
                              </m:r>
                            </m:sub>
                          </m:sSub>
                        </m:e>
                      </m:d>
                    </m:num>
                    <m:den>
                      <m:r>
                        <w:rPr>
                          <w:rFonts w:ascii="Cambria Math" w:hAnsi="Cambria Math"/>
                          <w:sz w:val="18"/>
                        </w:rPr>
                        <m:t>1-P</m:t>
                      </m:r>
                      <m:d>
                        <m:dPr>
                          <m:ctrlPr>
                            <w:rPr>
                              <w:rFonts w:ascii="Cambria Math" w:hAnsi="Cambria Math"/>
                              <w:i/>
                              <w:sz w:val="18"/>
                            </w:rPr>
                          </m:ctrlPr>
                        </m:dPr>
                        <m:e>
                          <m:sSub>
                            <m:sSubPr>
                              <m:ctrlPr>
                                <w:rPr>
                                  <w:rFonts w:ascii="Cambria Math" w:hAnsi="Cambria Math"/>
                                  <w:sz w:val="18"/>
                                </w:rPr>
                              </m:ctrlPr>
                            </m:sSubPr>
                            <m:e>
                              <m:r>
                                <w:rPr>
                                  <w:rFonts w:ascii="Cambria Math" w:hAnsi="Cambria Math"/>
                                  <w:sz w:val="18"/>
                                </w:rPr>
                                <m:t>Reportrls</m:t>
                              </m:r>
                            </m:e>
                            <m:sub>
                              <m:r>
                                <w:rPr>
                                  <w:rFonts w:ascii="Cambria Math" w:hAnsi="Cambria Math"/>
                                  <w:sz w:val="18"/>
                                </w:rPr>
                                <m:t>i,t</m:t>
                              </m:r>
                            </m:sub>
                          </m:sSub>
                        </m:e>
                      </m:d>
                    </m:den>
                  </m:f>
                </m:e>
              </m:d>
            </m:e>
          </m:func>
          <m:r>
            <m:rPr>
              <m:sty m:val="p"/>
            </m:rPr>
            <w:rPr>
              <w:rFonts w:ascii="Cambria Math" w:hAnsi="Cambria Math"/>
              <w:sz w:val="18"/>
            </w:rPr>
            <m:t>=α</m:t>
          </m:r>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AbTURN</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2</m:t>
              </m:r>
            </m:sub>
          </m:sSub>
          <m:r>
            <w:rPr>
              <w:rFonts w:ascii="Cambria Math" w:hAnsi="Cambria Math"/>
              <w:sz w:val="18"/>
            </w:rPr>
            <m:t>*</m:t>
          </m:r>
          <m:sSub>
            <m:sSubPr>
              <m:ctrlPr>
                <w:rPr>
                  <w:rFonts w:ascii="Cambria Math" w:hAnsi="Cambria Math"/>
                  <w:i/>
                  <w:sz w:val="18"/>
                </w:rPr>
              </m:ctrlPr>
            </m:sSubPr>
            <m:e>
              <m:r>
                <w:rPr>
                  <w:rFonts w:ascii="Cambria Math" w:hAnsi="Cambria Math"/>
                  <w:sz w:val="18"/>
                </w:rPr>
                <m:t>Attention</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3</m:t>
              </m:r>
            </m:sub>
          </m:sSub>
          <m:r>
            <w:rPr>
              <w:rFonts w:ascii="Cambria Math" w:hAnsi="Cambria Math"/>
              <w:sz w:val="18"/>
            </w:rPr>
            <m:t>*</m:t>
          </m:r>
          <m:sSub>
            <m:sSubPr>
              <m:ctrlPr>
                <w:rPr>
                  <w:rFonts w:ascii="Cambria Math" w:hAnsi="Cambria Math"/>
                  <w:i/>
                  <w:sz w:val="18"/>
                </w:rPr>
              </m:ctrlPr>
            </m:sSubPr>
            <m:e>
              <m:r>
                <w:rPr>
                  <w:rFonts w:ascii="Cambria Math" w:hAnsi="Cambria Math"/>
                  <w:sz w:val="18"/>
                </w:rPr>
                <m:t>Firmsize</m:t>
              </m:r>
            </m:e>
            <m:sub>
              <m:r>
                <w:rPr>
                  <w:rFonts w:ascii="Cambria Math" w:hAnsi="Cambria Math"/>
                  <w:sz w:val="18"/>
                </w:rPr>
                <m:t>i,t</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β</m:t>
              </m:r>
            </m:e>
            <m:sub>
              <m:r>
                <w:rPr>
                  <w:rFonts w:ascii="Cambria Math" w:hAnsi="Cambria Math"/>
                  <w:sz w:val="18"/>
                </w:rPr>
                <m:t>4</m:t>
              </m:r>
            </m:sub>
          </m:sSub>
          <m:r>
            <w:rPr>
              <w:rFonts w:ascii="Cambria Math" w:hAnsi="Cambria Math"/>
              <w:sz w:val="18"/>
            </w:rPr>
            <m:t>*</m:t>
          </m:r>
          <m:sSub>
            <m:sSubPr>
              <m:ctrlPr>
                <w:rPr>
                  <w:rFonts w:ascii="Cambria Math" w:hAnsi="Cambria Math"/>
                  <w:i/>
                  <w:sz w:val="18"/>
                </w:rPr>
              </m:ctrlPr>
            </m:sSubPr>
            <m:e>
              <m:r>
                <w:rPr>
                  <w:rFonts w:ascii="Cambria Math" w:hAnsi="Cambria Math"/>
                  <w:sz w:val="18"/>
                </w:rPr>
                <m:t>Profit</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ε</m:t>
              </m:r>
            </m:e>
            <m:sub>
              <m:r>
                <w:rPr>
                  <w:rFonts w:ascii="Cambria Math" w:hAnsi="Cambria Math"/>
                  <w:sz w:val="18"/>
                </w:rPr>
                <m:t>i,t</m:t>
              </m:r>
            </m:sub>
          </m:sSub>
        </m:oMath>
      </m:oMathPara>
    </w:p>
    <w:p w14:paraId="5D06FC47" w14:textId="432B8898" w:rsidR="00E974D2" w:rsidRPr="008567D1" w:rsidRDefault="008E0C13" w:rsidP="009E2CF7">
      <w:pPr>
        <w:spacing w:line="240" w:lineRule="auto"/>
        <w:ind w:firstLine="420"/>
      </w:pPr>
      <w:r>
        <w:rPr>
          <w:rFonts w:hint="eastAsia"/>
        </w:rPr>
        <w:t>其中</w:t>
      </w:r>
      <m:oMath>
        <m:sSub>
          <m:sSubPr>
            <m:ctrlPr>
              <w:rPr>
                <w:rFonts w:ascii="Cambria Math" w:hAnsi="Cambria Math"/>
              </w:rPr>
            </m:ctrlPr>
          </m:sSubPr>
          <m:e>
            <m:r>
              <w:rPr>
                <w:rFonts w:ascii="Cambria Math" w:hAnsi="Cambria Math"/>
              </w:rPr>
              <m:t>Reportnum</m:t>
            </m:r>
          </m:e>
          <m:sub>
            <m:r>
              <w:rPr>
                <w:rFonts w:ascii="Cambria Math" w:hAnsi="Cambria Math"/>
              </w:rPr>
              <m:t>t</m:t>
            </m:r>
          </m:sub>
        </m:sSub>
      </m:oMath>
      <w:r>
        <w:rPr>
          <w:rFonts w:hint="eastAsia"/>
        </w:rPr>
        <w:t>代表第</w:t>
      </w:r>
      <w:r>
        <w:rPr>
          <w:rFonts w:hint="eastAsia"/>
        </w:rPr>
        <w:t>t</w:t>
      </w:r>
      <w:r>
        <w:rPr>
          <w:rFonts w:hint="eastAsia"/>
        </w:rPr>
        <w:t>月发布的深度研究报告数量，</w:t>
      </w:r>
      <w:r w:rsidR="009975C5">
        <w:rPr>
          <w:rFonts w:hint="eastAsia"/>
        </w:rPr>
        <w:t>此处</w:t>
      </w:r>
      <w:r w:rsidR="00F92607">
        <w:rPr>
          <w:rFonts w:hint="eastAsia"/>
        </w:rPr>
        <w:t>采用各月研究报告占当年研究报告总数的比例对</w:t>
      </w:r>
      <m:oMath>
        <m:sSub>
          <m:sSubPr>
            <m:ctrlPr>
              <w:rPr>
                <w:rFonts w:ascii="Cambria Math" w:hAnsi="Cambria Math"/>
              </w:rPr>
            </m:ctrlPr>
          </m:sSubPr>
          <m:e>
            <m:r>
              <w:rPr>
                <w:rFonts w:ascii="Cambria Math" w:hAnsi="Cambria Math"/>
              </w:rPr>
              <m:t>Reportnum</m:t>
            </m:r>
          </m:e>
          <m:sub>
            <m:r>
              <w:rPr>
                <w:rFonts w:ascii="Cambria Math" w:hAnsi="Cambria Math"/>
              </w:rPr>
              <m:t>t</m:t>
            </m:r>
          </m:sub>
        </m:sSub>
      </m:oMath>
      <w:r w:rsidR="00F92607">
        <w:rPr>
          <w:rFonts w:hint="eastAsia"/>
        </w:rPr>
        <w:t>进行标准化</w:t>
      </w:r>
      <w:r w:rsidR="009975C5">
        <w:rPr>
          <w:rFonts w:hint="eastAsia"/>
        </w:rPr>
        <w:t>，剔除了报告数量的时间趋势</w:t>
      </w:r>
      <w:r w:rsidR="00C74416">
        <w:rPr>
          <w:rFonts w:hint="eastAsia"/>
        </w:rPr>
        <w:t>；</w:t>
      </w:r>
      <m:oMath>
        <m:sSub>
          <m:sSubPr>
            <m:ctrlPr>
              <w:rPr>
                <w:rFonts w:ascii="Cambria Math" w:hAnsi="Cambria Math"/>
                <w:i/>
              </w:rPr>
            </m:ctrlPr>
          </m:sSubPr>
          <m:e>
            <m:r>
              <w:rPr>
                <w:rFonts w:ascii="Cambria Math" w:hAnsi="Cambria Math"/>
              </w:rPr>
              <m:t>SENTINX</m:t>
            </m:r>
          </m:e>
          <m:sub>
            <m:r>
              <w:rPr>
                <w:rFonts w:ascii="Cambria Math" w:hAnsi="Cambria Math" w:hint="eastAsia"/>
              </w:rPr>
              <m:t>t</m:t>
            </m:r>
          </m:sub>
        </m:sSub>
      </m:oMath>
      <w:r>
        <w:rPr>
          <w:rFonts w:hint="eastAsia"/>
        </w:rPr>
        <w:t>代表第</w:t>
      </w:r>
      <m:oMath>
        <m:r>
          <w:rPr>
            <w:rFonts w:ascii="Cambria Math" w:hAnsi="Cambria Math" w:hint="eastAsia"/>
          </w:rPr>
          <m:t>t</m:t>
        </m:r>
      </m:oMath>
      <w:r>
        <w:rPr>
          <w:rFonts w:hint="eastAsia"/>
        </w:rPr>
        <w:t>月的</w:t>
      </w:r>
      <w:r w:rsidR="000D6891">
        <w:rPr>
          <w:rFonts w:hint="eastAsia"/>
        </w:rPr>
        <w:t>综合投资者情绪指数，</w:t>
      </w:r>
      <m:oMath>
        <m:r>
          <w:rPr>
            <w:rFonts w:ascii="Cambria Math" w:hAnsi="Cambria Math"/>
          </w:rPr>
          <m:t xml:space="preserve"> </m:t>
        </m:r>
        <m:sSub>
          <m:sSubPr>
            <m:ctrlPr>
              <w:rPr>
                <w:rFonts w:ascii="Cambria Math" w:hAnsi="Cambria Math"/>
                <w:i/>
              </w:rPr>
            </m:ctrlPr>
          </m:sSubPr>
          <m:e>
            <m:r>
              <w:rPr>
                <w:rFonts w:ascii="Cambria Math" w:hAnsi="Cambria Math"/>
              </w:rPr>
              <m:t>Mktrt</m:t>
            </m:r>
          </m:e>
          <m:sub>
            <m:r>
              <w:rPr>
                <w:rFonts w:ascii="Cambria Math" w:hAnsi="Cambria Math" w:hint="eastAsia"/>
              </w:rPr>
              <m:t>t</m:t>
            </m:r>
          </m:sub>
        </m:sSub>
      </m:oMath>
      <w:r w:rsidR="009975C5">
        <w:rPr>
          <w:rFonts w:hint="eastAsia"/>
        </w:rPr>
        <w:t>为</w:t>
      </w:r>
      <w:r>
        <w:rPr>
          <w:rFonts w:hint="eastAsia"/>
        </w:rPr>
        <w:t>控制</w:t>
      </w:r>
      <w:r w:rsidR="009975C5">
        <w:rPr>
          <w:rFonts w:hint="eastAsia"/>
        </w:rPr>
        <w:t>变量</w:t>
      </w:r>
      <w:r>
        <w:rPr>
          <w:rFonts w:hint="eastAsia"/>
        </w:rPr>
        <w:t>。</w:t>
      </w:r>
      <w:r w:rsidR="00D55F64">
        <w:rPr>
          <w:rFonts w:hint="eastAsia"/>
        </w:rPr>
        <w:t>第</w:t>
      </w:r>
      <m:oMath>
        <m:r>
          <w:rPr>
            <w:rFonts w:ascii="Cambria Math" w:hAnsi="Cambria Math" w:hint="eastAsia"/>
          </w:rPr>
          <m:t>t</m:t>
        </m:r>
      </m:oMath>
      <w:r w:rsidR="00D55F64">
        <w:rPr>
          <w:rFonts w:hint="eastAsia"/>
        </w:rPr>
        <w:t>月有</w:t>
      </w:r>
      <w:r w:rsidR="001070B0">
        <w:rPr>
          <w:rFonts w:hint="eastAsia"/>
        </w:rPr>
        <w:t>证券</w:t>
      </w:r>
      <w:r w:rsidR="00D55F64">
        <w:rPr>
          <w:rFonts w:hint="eastAsia"/>
        </w:rPr>
        <w:t>分析</w:t>
      </w:r>
      <w:proofErr w:type="gramStart"/>
      <w:r w:rsidR="00D55F64">
        <w:rPr>
          <w:rFonts w:hint="eastAsia"/>
        </w:rPr>
        <w:t>师针对</w:t>
      </w:r>
      <w:proofErr w:type="gramEnd"/>
      <w:r w:rsidR="00D55F64">
        <w:rPr>
          <w:rFonts w:hint="eastAsia"/>
        </w:rPr>
        <w:t>公司</w:t>
      </w:r>
      <m:oMath>
        <m:r>
          <w:rPr>
            <w:rFonts w:ascii="Cambria Math" w:hAnsi="Cambria Math" w:hint="eastAsia"/>
          </w:rPr>
          <m:t>i</m:t>
        </m:r>
      </m:oMath>
      <w:r w:rsidR="00D55F64">
        <w:rPr>
          <w:rFonts w:hint="eastAsia"/>
        </w:rPr>
        <w:t>发布深度研究报告时，</w:t>
      </w:r>
      <m:oMath>
        <m:sSub>
          <m:sSubPr>
            <m:ctrlPr>
              <w:rPr>
                <w:rFonts w:ascii="Cambria Math" w:hAnsi="Cambria Math"/>
              </w:rPr>
            </m:ctrlPr>
          </m:sSubPr>
          <m:e>
            <m:r>
              <w:rPr>
                <w:rFonts w:ascii="Cambria Math" w:hAnsi="Cambria Math"/>
              </w:rPr>
              <m:t>Reportrls</m:t>
            </m:r>
          </m:e>
          <m:sub>
            <m:r>
              <w:rPr>
                <w:rFonts w:ascii="Cambria Math" w:hAnsi="Cambria Math"/>
              </w:rPr>
              <m:t>i,t</m:t>
            </m:r>
          </m:sub>
        </m:sSub>
        <m:r>
          <w:rPr>
            <w:rFonts w:ascii="Cambria Math" w:hAnsi="Cambria Math"/>
          </w:rPr>
          <m:t>=1</m:t>
        </m:r>
      </m:oMath>
      <w:r w:rsidR="00D55F64">
        <w:rPr>
          <w:rFonts w:hint="eastAsia"/>
        </w:rPr>
        <w:t>，否则</w:t>
      </w:r>
      <w:r w:rsidR="001070B0">
        <w:rPr>
          <w:rFonts w:hint="eastAsia"/>
        </w:rPr>
        <w:t>赋值</w:t>
      </w:r>
      <w:r w:rsidR="00D55F64">
        <w:rPr>
          <w:rFonts w:hint="eastAsia"/>
        </w:rPr>
        <w:t>为</w:t>
      </w:r>
      <m:oMath>
        <m:r>
          <m:rPr>
            <m:sty m:val="p"/>
          </m:rPr>
          <w:rPr>
            <w:rFonts w:ascii="Cambria Math" w:hAnsi="Cambria Math"/>
          </w:rPr>
          <m:t>0</m:t>
        </m:r>
      </m:oMath>
      <w:r w:rsidR="00C74416">
        <w:rPr>
          <w:rFonts w:hint="eastAsia"/>
        </w:rPr>
        <w:t>；</w:t>
      </w:r>
      <m:oMath>
        <m:sSub>
          <m:sSubPr>
            <m:ctrlPr>
              <w:rPr>
                <w:rFonts w:ascii="Cambria Math" w:hAnsi="Cambria Math"/>
                <w:i/>
              </w:rPr>
            </m:ctrlPr>
          </m:sSubPr>
          <m:e>
            <m:r>
              <w:rPr>
                <w:rFonts w:ascii="Cambria Math" w:hAnsi="Cambria Math"/>
              </w:rPr>
              <m:t>AbTURN</m:t>
            </m:r>
          </m:e>
          <m:sub>
            <m:r>
              <w:rPr>
                <w:rFonts w:ascii="Cambria Math" w:hAnsi="Cambria Math"/>
              </w:rPr>
              <m:t>i,t</m:t>
            </m:r>
          </m:sub>
        </m:sSub>
      </m:oMath>
      <w:r w:rsidR="00D55F64">
        <w:rPr>
          <w:rFonts w:hint="eastAsia"/>
        </w:rPr>
        <w:t>为异常换手率</w:t>
      </w:r>
      <w:r w:rsidR="00C74416">
        <w:rPr>
          <w:rFonts w:hint="eastAsia"/>
        </w:rPr>
        <w:t>；</w:t>
      </w:r>
      <m:oMath>
        <m:sSub>
          <m:sSubPr>
            <m:ctrlPr>
              <w:rPr>
                <w:rFonts w:ascii="Cambria Math" w:hAnsi="Cambria Math"/>
                <w:i/>
              </w:rPr>
            </m:ctrlPr>
          </m:sSubPr>
          <m:e>
            <m:r>
              <w:rPr>
                <w:rFonts w:ascii="Cambria Math" w:hAnsi="Cambria Math"/>
              </w:rPr>
              <m:t>Attention</m:t>
            </m:r>
          </m:e>
          <m:sub>
            <m:r>
              <w:rPr>
                <w:rFonts w:ascii="Cambria Math" w:hAnsi="Cambria Math"/>
              </w:rPr>
              <m:t>i</m:t>
            </m:r>
          </m:sub>
        </m:sSub>
      </m:oMath>
      <w:r w:rsidR="002C259D">
        <w:rPr>
          <w:rFonts w:hint="eastAsia"/>
        </w:rPr>
        <w:t>、</w:t>
      </w:r>
      <m:oMath>
        <m:sSub>
          <m:sSubPr>
            <m:ctrlPr>
              <w:rPr>
                <w:rFonts w:ascii="Cambria Math" w:hAnsi="Cambria Math"/>
                <w:i/>
              </w:rPr>
            </m:ctrlPr>
          </m:sSubPr>
          <m:e>
            <m:r>
              <w:rPr>
                <w:rFonts w:ascii="Cambria Math" w:hAnsi="Cambria Math"/>
              </w:rPr>
              <m:t>Firmsize</m:t>
            </m:r>
          </m:e>
          <m:sub>
            <m:r>
              <w:rPr>
                <w:rFonts w:ascii="Cambria Math" w:hAnsi="Cambria Math"/>
              </w:rPr>
              <m:t>i</m:t>
            </m:r>
          </m:sub>
        </m:sSub>
      </m:oMath>
      <w:r w:rsidR="002C259D">
        <w:rPr>
          <w:rFonts w:hint="eastAsia"/>
        </w:rPr>
        <w:t>、</w:t>
      </w:r>
      <m:oMath>
        <m:sSub>
          <m:sSubPr>
            <m:ctrlPr>
              <w:rPr>
                <w:rFonts w:ascii="Cambria Math" w:hAnsi="Cambria Math"/>
                <w:i/>
              </w:rPr>
            </m:ctrlPr>
          </m:sSubPr>
          <m:e>
            <m:r>
              <w:rPr>
                <w:rFonts w:ascii="Cambria Math" w:hAnsi="Cambria Math"/>
              </w:rPr>
              <m:t>Profit</m:t>
            </m:r>
          </m:e>
          <m:sub>
            <m:r>
              <w:rPr>
                <w:rFonts w:ascii="Cambria Math" w:hAnsi="Cambria Math"/>
              </w:rPr>
              <m:t>i</m:t>
            </m:r>
          </m:sub>
        </m:sSub>
      </m:oMath>
      <w:r w:rsidR="002C259D">
        <w:rPr>
          <w:rFonts w:hint="eastAsia"/>
        </w:rPr>
        <w:t>为控制变量</w:t>
      </w:r>
      <w:r w:rsidR="008567D1">
        <w:rPr>
          <w:rFonts w:hint="eastAsia"/>
        </w:rPr>
        <w:t>。</w:t>
      </w:r>
    </w:p>
    <w:p w14:paraId="3133A44A" w14:textId="668385F9" w:rsidR="008567D1" w:rsidRDefault="008567D1" w:rsidP="009E2CF7">
      <w:pPr>
        <w:spacing w:line="240" w:lineRule="auto"/>
        <w:ind w:firstLine="420"/>
      </w:pPr>
      <w:r>
        <w:rPr>
          <w:rFonts w:hint="eastAsia"/>
        </w:rPr>
        <w:t>为了检验假设</w:t>
      </w:r>
      <w:r>
        <w:rPr>
          <w:rFonts w:hint="eastAsia"/>
        </w:rPr>
        <w:t>2</w:t>
      </w:r>
      <w:r w:rsidR="00DA1D2A">
        <w:rPr>
          <w:rFonts w:hint="eastAsia"/>
        </w:rPr>
        <w:t>，本文建立</w:t>
      </w:r>
      <w:r w:rsidR="000D6891">
        <w:rPr>
          <w:rFonts w:hint="eastAsia"/>
        </w:rPr>
        <w:t>以下</w:t>
      </w:r>
      <w:r>
        <w:rPr>
          <w:rFonts w:hint="eastAsia"/>
        </w:rPr>
        <w:t>模型进行验证：</w:t>
      </w:r>
    </w:p>
    <w:p w14:paraId="4E70D29E" w14:textId="6C89C954" w:rsidR="008567D1" w:rsidRPr="006A7F79" w:rsidRDefault="006D44AB" w:rsidP="009E2CF7">
      <w:pPr>
        <w:spacing w:line="240" w:lineRule="auto"/>
        <w:ind w:firstLine="420"/>
        <w:jc w:val="left"/>
      </w:pPr>
      <m:oMath>
        <m:sSub>
          <m:sSubPr>
            <m:ctrlPr>
              <w:rPr>
                <w:rFonts w:ascii="Cambria Math" w:hAnsi="Cambria Math"/>
              </w:rPr>
            </m:ctrlPr>
          </m:sSubPr>
          <m:e>
            <m:r>
              <w:rPr>
                <w:rFonts w:ascii="Cambria Math" w:hAnsi="Cambria Math"/>
              </w:rPr>
              <m:t>dr2</m:t>
            </m:r>
          </m:e>
          <m:sub>
            <m:r>
              <w:rPr>
                <w:rFonts w:ascii="Cambria Math" w:hAnsi="Cambria Math"/>
              </w:rPr>
              <m:t>i</m:t>
            </m:r>
          </m:sub>
        </m:sSub>
        <m:r>
          <w:rPr>
            <w:rFonts w:ascii="Cambria Math" w:hAnsi="Cambria Math"/>
          </w:rPr>
          <m:t>=</m:t>
        </m:r>
        <m:r>
          <w:rPr>
            <w:rFonts w:ascii="Cambria Math" w:hAnsi="Cambria Math" w:hint="eastAsia"/>
          </w:rPr>
          <m:t>α+</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AbTURN_G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STAR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3</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hint="eastAsia"/>
              </w:rPr>
              <m:t>ating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Revision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m:t>
            </m:r>
          </m:sub>
        </m:sSub>
      </m:oMath>
      <w:r w:rsidR="006A7F79">
        <w:t xml:space="preserve"> </w:t>
      </w:r>
    </w:p>
    <w:p w14:paraId="30598E65" w14:textId="66726BCA" w:rsidR="009975C5" w:rsidRDefault="0011544E" w:rsidP="009E2CF7">
      <w:pPr>
        <w:spacing w:line="240" w:lineRule="auto"/>
        <w:ind w:firstLine="420"/>
      </w:pPr>
      <w:r>
        <w:rPr>
          <w:rFonts w:hint="eastAsia"/>
        </w:rPr>
        <w:t>其中</w:t>
      </w:r>
      <m:oMath>
        <m:sSub>
          <m:sSubPr>
            <m:ctrlPr>
              <w:rPr>
                <w:rFonts w:ascii="Cambria Math" w:hAnsi="Cambria Math"/>
              </w:rPr>
            </m:ctrlPr>
          </m:sSubPr>
          <m:e>
            <m:r>
              <w:rPr>
                <w:rFonts w:ascii="Cambria Math" w:hAnsi="Cambria Math"/>
              </w:rPr>
              <m:t>dr2</m:t>
            </m:r>
          </m:e>
          <m:sub>
            <m:r>
              <w:rPr>
                <w:rFonts w:ascii="Cambria Math" w:hAnsi="Cambria Math"/>
              </w:rPr>
              <m:t>i</m:t>
            </m:r>
          </m:sub>
        </m:sSub>
      </m:oMath>
      <w:r w:rsidR="008E4C6B">
        <w:rPr>
          <w:rFonts w:hint="eastAsia"/>
        </w:rPr>
        <w:t>为同步性变化幅度。</w:t>
      </w:r>
      <m:oMath>
        <m:sSub>
          <m:sSubPr>
            <m:ctrlPr>
              <w:rPr>
                <w:rFonts w:ascii="Cambria Math" w:hAnsi="Cambria Math"/>
                <w:i/>
              </w:rPr>
            </m:ctrlPr>
          </m:sSubPr>
          <m:e>
            <m:r>
              <w:rPr>
                <w:rFonts w:ascii="Cambria Math" w:hAnsi="Cambria Math"/>
              </w:rPr>
              <m:t>AbTURN_G</m:t>
            </m:r>
          </m:e>
          <m:sub>
            <m:r>
              <w:rPr>
                <w:rFonts w:ascii="Cambria Math" w:hAnsi="Cambria Math"/>
              </w:rPr>
              <m:t>i</m:t>
            </m:r>
          </m:sub>
        </m:sSub>
      </m:oMath>
      <w:r w:rsidR="008E4C6B">
        <w:rPr>
          <w:rFonts w:hint="eastAsia"/>
        </w:rPr>
        <w:t>为投资者情绪的分组变量，按照</w:t>
      </w:r>
      <m:oMath>
        <m:sSub>
          <m:sSubPr>
            <m:ctrlPr>
              <w:rPr>
                <w:rFonts w:ascii="Cambria Math" w:hAnsi="Cambria Math"/>
              </w:rPr>
            </m:ctrlPr>
          </m:sSubPr>
          <m:e>
            <m:r>
              <w:rPr>
                <w:rFonts w:ascii="Cambria Math" w:hAnsi="Cambria Math"/>
              </w:rPr>
              <m:t>A</m:t>
            </m:r>
            <m:r>
              <w:rPr>
                <w:rFonts w:ascii="Cambria Math" w:hAnsi="Cambria Math" w:hint="eastAsia"/>
              </w:rPr>
              <m:t>bTURN</m:t>
            </m:r>
          </m:e>
          <m:sub>
            <m:r>
              <w:rPr>
                <w:rFonts w:ascii="Cambria Math" w:hAnsi="Cambria Math"/>
              </w:rPr>
              <m:t>i</m:t>
            </m:r>
          </m:sub>
        </m:sSub>
      </m:oMath>
      <w:r w:rsidR="008E4C6B">
        <w:rPr>
          <w:rFonts w:hint="eastAsia"/>
        </w:rPr>
        <w:t>的数值从小到大分成五组，分别赋值为</w:t>
      </w:r>
      <w:r w:rsidR="008E4C6B">
        <w:rPr>
          <w:rFonts w:hint="eastAsia"/>
        </w:rPr>
        <w:t>1~5</w:t>
      </w:r>
      <w:r w:rsidR="008E4C6B">
        <w:rPr>
          <w:rFonts w:hint="eastAsia"/>
        </w:rPr>
        <w:t>，数值越大代表投资者情绪越高。</w:t>
      </w:r>
      <m:oMath>
        <m:sSub>
          <m:sSubPr>
            <m:ctrlPr>
              <w:rPr>
                <w:rFonts w:ascii="Cambria Math" w:hAnsi="Cambria Math"/>
                <w:i/>
              </w:rPr>
            </m:ctrlPr>
          </m:sSubPr>
          <m:e>
            <m:r>
              <w:rPr>
                <w:rFonts w:ascii="Cambria Math" w:hAnsi="Cambria Math"/>
              </w:rPr>
              <m:t>STAR</m:t>
            </m:r>
          </m:e>
          <m:sub>
            <m:r>
              <w:rPr>
                <w:rFonts w:ascii="Cambria Math" w:hAnsi="Cambria Math"/>
              </w:rPr>
              <m:t>i</m:t>
            </m:r>
          </m:sub>
        </m:sSub>
      </m:oMath>
      <w:r w:rsidR="008E4C6B">
        <w:rPr>
          <w:rFonts w:hint="eastAsia"/>
        </w:rPr>
        <w:t>、</w:t>
      </w:r>
      <m:oMath>
        <m:sSub>
          <m:sSubPr>
            <m:ctrlPr>
              <w:rPr>
                <w:rFonts w:ascii="Cambria Math" w:hAnsi="Cambria Math"/>
                <w:i/>
              </w:rPr>
            </m:ctrlPr>
          </m:sSubPr>
          <m:e>
            <m:r>
              <w:rPr>
                <w:rFonts w:ascii="Cambria Math" w:hAnsi="Cambria Math"/>
              </w:rPr>
              <m:t>R</m:t>
            </m:r>
            <m:r>
              <w:rPr>
                <w:rFonts w:ascii="Cambria Math" w:hAnsi="Cambria Math" w:hint="eastAsia"/>
              </w:rPr>
              <m:t>ating</m:t>
            </m:r>
          </m:e>
          <m:sub>
            <m:r>
              <w:rPr>
                <w:rFonts w:ascii="Cambria Math" w:hAnsi="Cambria Math"/>
              </w:rPr>
              <m:t>i</m:t>
            </m:r>
          </m:sub>
        </m:sSub>
      </m:oMath>
      <w:r w:rsidR="000D6891">
        <w:rPr>
          <w:rFonts w:hint="eastAsia"/>
        </w:rPr>
        <w:t>、</w:t>
      </w:r>
      <m:oMath>
        <m:sSub>
          <m:sSubPr>
            <m:ctrlPr>
              <w:rPr>
                <w:rFonts w:ascii="Cambria Math" w:hAnsi="Cambria Math"/>
                <w:i/>
              </w:rPr>
            </m:ctrlPr>
          </m:sSubPr>
          <m:e>
            <m:r>
              <w:rPr>
                <w:rFonts w:ascii="Cambria Math" w:hAnsi="Cambria Math"/>
              </w:rPr>
              <m:t>Revision</m:t>
            </m:r>
          </m:e>
          <m:sub>
            <m:r>
              <w:rPr>
                <w:rFonts w:ascii="Cambria Math" w:hAnsi="Cambria Math"/>
              </w:rPr>
              <m:t>i</m:t>
            </m:r>
          </m:sub>
        </m:sSub>
      </m:oMath>
      <w:r w:rsidR="006B46DE">
        <w:rPr>
          <w:rFonts w:hint="eastAsia"/>
        </w:rPr>
        <w:t>、</w:t>
      </w:r>
      <m:oMath>
        <m:sSub>
          <m:sSubPr>
            <m:ctrlPr>
              <w:rPr>
                <w:rFonts w:ascii="Cambria Math" w:hAnsi="Cambria Math"/>
                <w:i/>
              </w:rPr>
            </m:ctrlPr>
          </m:sSubPr>
          <m:e>
            <m:r>
              <w:rPr>
                <w:rFonts w:ascii="Cambria Math" w:hAnsi="Cambria Math"/>
              </w:rPr>
              <m:t>C</m:t>
            </m:r>
            <m:r>
              <w:rPr>
                <w:rFonts w:ascii="Cambria Math" w:hAnsi="Cambria Math" w:hint="eastAsia"/>
              </w:rPr>
              <m:t>ycle</m:t>
            </m:r>
          </m:e>
          <m:sub>
            <m:r>
              <w:rPr>
                <w:rFonts w:ascii="Cambria Math" w:hAnsi="Cambria Math"/>
              </w:rPr>
              <m:t>i</m:t>
            </m:r>
          </m:sub>
        </m:sSub>
      </m:oMath>
      <w:r w:rsidR="008E4C6B">
        <w:rPr>
          <w:rFonts w:hint="eastAsia"/>
        </w:rPr>
        <w:t>和</w:t>
      </w:r>
      <m:oMath>
        <m:sSub>
          <m:sSubPr>
            <m:ctrlPr>
              <w:rPr>
                <w:rFonts w:ascii="Cambria Math" w:hAnsi="Cambria Math"/>
                <w:i/>
              </w:rPr>
            </m:ctrlPr>
          </m:sSubPr>
          <m:e>
            <m:r>
              <w:rPr>
                <w:rFonts w:ascii="Cambria Math" w:hAnsi="Cambria Math"/>
              </w:rPr>
              <m:t>Industry</m:t>
            </m:r>
          </m:e>
          <m:sub>
            <m:r>
              <w:rPr>
                <w:rFonts w:ascii="Cambria Math" w:hAnsi="Cambria Math"/>
              </w:rPr>
              <m:t>i</m:t>
            </m:r>
          </m:sub>
        </m:sSub>
      </m:oMath>
      <w:r w:rsidR="008E4C6B">
        <w:rPr>
          <w:rFonts w:hint="eastAsia"/>
        </w:rPr>
        <w:t>为控制变量</w:t>
      </w:r>
      <w:r w:rsidR="009975C5">
        <w:rPr>
          <w:rFonts w:hint="eastAsia"/>
        </w:rPr>
        <w:t>。</w:t>
      </w:r>
    </w:p>
    <w:p w14:paraId="7951DF4E" w14:textId="6EC2F354" w:rsidR="009975C5" w:rsidRDefault="00D93447" w:rsidP="009E2CF7">
      <w:pPr>
        <w:spacing w:line="240" w:lineRule="auto"/>
        <w:ind w:firstLine="420"/>
      </w:pPr>
      <w:r>
        <w:fldChar w:fldCharType="begin"/>
      </w:r>
      <w:r>
        <w:instrText xml:space="preserve"> </w:instrText>
      </w:r>
      <w:r>
        <w:rPr>
          <w:rFonts w:hint="eastAsia"/>
        </w:rPr>
        <w:instrText>REF _Ref512255395 \h</w:instrText>
      </w:r>
      <w:r>
        <w:instrText xml:space="preserve"> </w:instrText>
      </w:r>
      <w:r w:rsidR="009E2CF7">
        <w:instrText xml:space="preserve"> \* MERGEFORMAT </w:instrText>
      </w:r>
      <w:r>
        <w:fldChar w:fldCharType="separate"/>
      </w:r>
      <w:r w:rsidR="0016113B">
        <w:rPr>
          <w:rFonts w:hint="eastAsia"/>
        </w:rPr>
        <w:t>表</w:t>
      </w:r>
      <w:r w:rsidR="0016113B">
        <w:rPr>
          <w:noProof/>
        </w:rPr>
        <w:t>3</w:t>
      </w:r>
      <w:r>
        <w:fldChar w:fldCharType="end"/>
      </w:r>
      <w:r w:rsidR="00FB532D">
        <w:rPr>
          <w:rFonts w:hint="eastAsia"/>
        </w:rPr>
        <w:t>列示了所有控制变量的含义及度量方法</w:t>
      </w:r>
      <w:r w:rsidR="009975C5">
        <w:rPr>
          <w:rFonts w:hint="eastAsia"/>
        </w:rPr>
        <w:t>。</w:t>
      </w:r>
    </w:p>
    <w:p w14:paraId="6879614A" w14:textId="1C44C09A" w:rsidR="00D93447" w:rsidRDefault="00D93447" w:rsidP="009E2CF7">
      <w:pPr>
        <w:pStyle w:val="ac"/>
        <w:spacing w:line="240" w:lineRule="auto"/>
      </w:pPr>
      <w:bookmarkStart w:id="40" w:name="_Ref51225539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3</w:t>
      </w:r>
      <w:r>
        <w:fldChar w:fldCharType="end"/>
      </w:r>
      <w:bookmarkEnd w:id="40"/>
      <w:r>
        <w:t xml:space="preserve"> </w:t>
      </w:r>
      <w:r>
        <w:rPr>
          <w:rFonts w:hint="eastAsia"/>
        </w:rPr>
        <w:t>控制变量说明</w:t>
      </w:r>
    </w:p>
    <w:tbl>
      <w:tblPr>
        <w:tblStyle w:val="6"/>
        <w:tblW w:w="5072" w:type="pct"/>
        <w:jc w:val="center"/>
        <w:tblLook w:val="06A0" w:firstRow="1" w:lastRow="0" w:firstColumn="1" w:lastColumn="0" w:noHBand="1" w:noVBand="1"/>
      </w:tblPr>
      <w:tblGrid>
        <w:gridCol w:w="1028"/>
        <w:gridCol w:w="2661"/>
        <w:gridCol w:w="5316"/>
      </w:tblGrid>
      <w:tr w:rsidR="00D93447" w:rsidRPr="00D93447" w14:paraId="0E817F14" w14:textId="77777777" w:rsidTr="00FB532D">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185BB642" w14:textId="77777777" w:rsidR="00D81C59" w:rsidRPr="00D93447" w:rsidRDefault="00D81C59" w:rsidP="009E2CF7">
            <w:pPr>
              <w:spacing w:line="240" w:lineRule="auto"/>
              <w:ind w:firstLineChars="0" w:firstLine="0"/>
              <w:jc w:val="center"/>
              <w:rPr>
                <w:sz w:val="20"/>
              </w:rPr>
            </w:pPr>
            <w:r w:rsidRPr="00D93447">
              <w:rPr>
                <w:rFonts w:hint="eastAsia"/>
                <w:sz w:val="20"/>
              </w:rPr>
              <w:t>名称</w:t>
            </w:r>
          </w:p>
        </w:tc>
        <w:tc>
          <w:tcPr>
            <w:tcW w:w="1444" w:type="pct"/>
            <w:noWrap/>
            <w:vAlign w:val="center"/>
            <w:hideMark/>
          </w:tcPr>
          <w:p w14:paraId="116BB142" w14:textId="77777777" w:rsidR="00D81C59" w:rsidRPr="00D93447" w:rsidRDefault="00D81C59"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sidRPr="00D93447">
              <w:rPr>
                <w:rFonts w:hint="eastAsia"/>
                <w:sz w:val="20"/>
              </w:rPr>
              <w:t>代理变量</w:t>
            </w:r>
          </w:p>
        </w:tc>
        <w:tc>
          <w:tcPr>
            <w:tcW w:w="2873" w:type="pct"/>
            <w:noWrap/>
            <w:vAlign w:val="center"/>
            <w:hideMark/>
          </w:tcPr>
          <w:p w14:paraId="6B7BFC0D" w14:textId="77777777" w:rsidR="00D81C59" w:rsidRPr="00D93447" w:rsidRDefault="00D81C59"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sidRPr="00D93447">
              <w:rPr>
                <w:rFonts w:hint="eastAsia"/>
                <w:sz w:val="20"/>
              </w:rPr>
              <w:t>含义</w:t>
            </w:r>
          </w:p>
        </w:tc>
      </w:tr>
      <w:tr w:rsidR="00D93447" w:rsidRPr="00D93447" w14:paraId="2ECC4821"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18F4DB97" w14:textId="77777777" w:rsidR="00D81C59" w:rsidRPr="00D93447" w:rsidRDefault="00D81C59" w:rsidP="009E2CF7">
            <w:pPr>
              <w:spacing w:line="240" w:lineRule="auto"/>
              <w:ind w:firstLineChars="0" w:firstLine="0"/>
              <w:jc w:val="center"/>
              <w:rPr>
                <w:sz w:val="20"/>
              </w:rPr>
            </w:pPr>
            <w:proofErr w:type="spellStart"/>
            <w:r w:rsidRPr="00D93447">
              <w:rPr>
                <w:rFonts w:hint="eastAsia"/>
                <w:sz w:val="20"/>
              </w:rPr>
              <w:t>Mktrt</w:t>
            </w:r>
            <w:proofErr w:type="spellEnd"/>
          </w:p>
        </w:tc>
        <w:tc>
          <w:tcPr>
            <w:tcW w:w="1444" w:type="pct"/>
            <w:noWrap/>
            <w:vAlign w:val="center"/>
            <w:hideMark/>
          </w:tcPr>
          <w:p w14:paraId="0498E19D"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市场综合收益率</w:t>
            </w:r>
          </w:p>
        </w:tc>
        <w:tc>
          <w:tcPr>
            <w:tcW w:w="2873" w:type="pct"/>
            <w:noWrap/>
            <w:vAlign w:val="center"/>
            <w:hideMark/>
          </w:tcPr>
          <w:p w14:paraId="7813E886"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月度数据，控制宏观市场因素</w:t>
            </w:r>
          </w:p>
        </w:tc>
      </w:tr>
      <w:tr w:rsidR="00D93447" w:rsidRPr="00D93447" w14:paraId="26606825"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restart"/>
            <w:noWrap/>
            <w:vAlign w:val="center"/>
            <w:hideMark/>
          </w:tcPr>
          <w:p w14:paraId="6DF7DFBE" w14:textId="77777777" w:rsidR="00D81C59" w:rsidRPr="00D93447" w:rsidRDefault="00D81C59" w:rsidP="009E2CF7">
            <w:pPr>
              <w:spacing w:line="240" w:lineRule="auto"/>
              <w:ind w:firstLineChars="0" w:firstLine="0"/>
              <w:jc w:val="center"/>
              <w:rPr>
                <w:sz w:val="20"/>
              </w:rPr>
            </w:pPr>
            <w:r w:rsidRPr="00D93447">
              <w:rPr>
                <w:rFonts w:hint="eastAsia"/>
                <w:sz w:val="20"/>
              </w:rPr>
              <w:t>Attention</w:t>
            </w:r>
          </w:p>
        </w:tc>
        <w:tc>
          <w:tcPr>
            <w:tcW w:w="1444" w:type="pct"/>
            <w:noWrap/>
            <w:vAlign w:val="center"/>
            <w:hideMark/>
          </w:tcPr>
          <w:p w14:paraId="594F8058" w14:textId="5C632C50"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proofErr w:type="spellStart"/>
            <w:r w:rsidRPr="00D93447">
              <w:rPr>
                <w:rFonts w:hint="eastAsia"/>
                <w:sz w:val="20"/>
              </w:rPr>
              <w:t>AnaAttention</w:t>
            </w:r>
            <w:proofErr w:type="spellEnd"/>
            <w:r w:rsidRPr="00D93447">
              <w:rPr>
                <w:rFonts w:hint="eastAsia"/>
                <w:sz w:val="20"/>
              </w:rPr>
              <w:t>，分析师数量</w:t>
            </w:r>
          </w:p>
        </w:tc>
        <w:tc>
          <w:tcPr>
            <w:tcW w:w="2873" w:type="pct"/>
            <w:noWrap/>
            <w:vAlign w:val="center"/>
            <w:hideMark/>
          </w:tcPr>
          <w:p w14:paraId="59FBA7C7"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年度数据，</w:t>
            </w:r>
            <w:proofErr w:type="gramStart"/>
            <w:r w:rsidRPr="00D93447">
              <w:rPr>
                <w:rFonts w:hint="eastAsia"/>
                <w:sz w:val="20"/>
              </w:rPr>
              <w:t>上年对</w:t>
            </w:r>
            <w:proofErr w:type="gramEnd"/>
            <w:r w:rsidRPr="00D93447">
              <w:rPr>
                <w:rFonts w:hint="eastAsia"/>
                <w:sz w:val="20"/>
              </w:rPr>
              <w:t>该公司进行跟踪的分析师人数</w:t>
            </w:r>
          </w:p>
        </w:tc>
      </w:tr>
      <w:tr w:rsidR="00D93447" w:rsidRPr="00D93447" w14:paraId="3DE91838"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ign w:val="center"/>
            <w:hideMark/>
          </w:tcPr>
          <w:p w14:paraId="5B8807AA" w14:textId="77777777" w:rsidR="00D81C59" w:rsidRPr="00D93447" w:rsidRDefault="00D81C59" w:rsidP="009E2CF7">
            <w:pPr>
              <w:spacing w:line="240" w:lineRule="auto"/>
              <w:ind w:firstLineChars="0" w:firstLine="0"/>
              <w:jc w:val="center"/>
              <w:rPr>
                <w:sz w:val="20"/>
              </w:rPr>
            </w:pPr>
          </w:p>
        </w:tc>
        <w:tc>
          <w:tcPr>
            <w:tcW w:w="1444" w:type="pct"/>
            <w:noWrap/>
            <w:vAlign w:val="center"/>
            <w:hideMark/>
          </w:tcPr>
          <w:p w14:paraId="0C9AF5C1"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proofErr w:type="spellStart"/>
            <w:r w:rsidRPr="00D93447">
              <w:rPr>
                <w:rFonts w:hint="eastAsia"/>
                <w:sz w:val="20"/>
              </w:rPr>
              <w:t>RptAttention</w:t>
            </w:r>
            <w:proofErr w:type="spellEnd"/>
            <w:r w:rsidRPr="00D93447">
              <w:rPr>
                <w:rFonts w:hint="eastAsia"/>
                <w:sz w:val="20"/>
              </w:rPr>
              <w:t>，研究报告数量</w:t>
            </w:r>
          </w:p>
        </w:tc>
        <w:tc>
          <w:tcPr>
            <w:tcW w:w="2873" w:type="pct"/>
            <w:noWrap/>
            <w:vAlign w:val="center"/>
            <w:hideMark/>
          </w:tcPr>
          <w:p w14:paraId="2FD29D4B"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年度数据，</w:t>
            </w:r>
            <w:proofErr w:type="gramStart"/>
            <w:r w:rsidRPr="00D93447">
              <w:rPr>
                <w:rFonts w:hint="eastAsia"/>
                <w:sz w:val="20"/>
              </w:rPr>
              <w:t>上年对</w:t>
            </w:r>
            <w:proofErr w:type="gramEnd"/>
            <w:r w:rsidRPr="00D93447">
              <w:rPr>
                <w:rFonts w:hint="eastAsia"/>
                <w:sz w:val="20"/>
              </w:rPr>
              <w:t>该公司相关的研究报告数量</w:t>
            </w:r>
          </w:p>
        </w:tc>
      </w:tr>
      <w:tr w:rsidR="00D93447" w:rsidRPr="00D93447" w14:paraId="5D5804EA"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restart"/>
            <w:noWrap/>
            <w:vAlign w:val="center"/>
            <w:hideMark/>
          </w:tcPr>
          <w:p w14:paraId="3252EB3F" w14:textId="77777777" w:rsidR="00D81C59" w:rsidRPr="00D93447" w:rsidRDefault="00D81C59" w:rsidP="009E2CF7">
            <w:pPr>
              <w:spacing w:line="240" w:lineRule="auto"/>
              <w:ind w:firstLineChars="0" w:firstLine="0"/>
              <w:jc w:val="center"/>
              <w:rPr>
                <w:sz w:val="20"/>
              </w:rPr>
            </w:pPr>
            <w:proofErr w:type="spellStart"/>
            <w:r w:rsidRPr="00D93447">
              <w:rPr>
                <w:rFonts w:hint="eastAsia"/>
                <w:sz w:val="20"/>
              </w:rPr>
              <w:t>Firmsize</w:t>
            </w:r>
            <w:proofErr w:type="spellEnd"/>
          </w:p>
        </w:tc>
        <w:tc>
          <w:tcPr>
            <w:tcW w:w="1444" w:type="pct"/>
            <w:noWrap/>
            <w:vAlign w:val="center"/>
            <w:hideMark/>
          </w:tcPr>
          <w:p w14:paraId="32178DA1" w14:textId="7823FD5E"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Market</w:t>
            </w:r>
            <w:r w:rsidR="00C1411C">
              <w:rPr>
                <w:sz w:val="20"/>
              </w:rPr>
              <w:t xml:space="preserve"> </w:t>
            </w:r>
            <w:r w:rsidRPr="00D93447">
              <w:rPr>
                <w:rFonts w:hint="eastAsia"/>
                <w:sz w:val="20"/>
              </w:rPr>
              <w:t>Value</w:t>
            </w:r>
            <w:r w:rsidRPr="00D93447">
              <w:rPr>
                <w:rFonts w:hint="eastAsia"/>
                <w:sz w:val="20"/>
              </w:rPr>
              <w:t>，公司总市值</w:t>
            </w:r>
          </w:p>
        </w:tc>
        <w:tc>
          <w:tcPr>
            <w:tcW w:w="2873" w:type="pct"/>
            <w:noWrap/>
            <w:vAlign w:val="center"/>
            <w:hideMark/>
          </w:tcPr>
          <w:p w14:paraId="4CA126BD" w14:textId="074CA629"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年初公司总市值高于行业中位数时取</w:t>
            </w:r>
            <w:r w:rsidRPr="00D93447">
              <w:rPr>
                <w:rFonts w:hint="eastAsia"/>
                <w:sz w:val="20"/>
              </w:rPr>
              <w:t>1</w:t>
            </w:r>
            <w:r w:rsidRPr="00D93447">
              <w:rPr>
                <w:rFonts w:hint="eastAsia"/>
                <w:sz w:val="20"/>
              </w:rPr>
              <w:t>，否则取</w:t>
            </w:r>
            <w:r w:rsidRPr="00D93447">
              <w:rPr>
                <w:rFonts w:hint="eastAsia"/>
                <w:sz w:val="20"/>
              </w:rPr>
              <w:t>0</w:t>
            </w:r>
          </w:p>
        </w:tc>
      </w:tr>
      <w:tr w:rsidR="00D93447" w:rsidRPr="00D93447" w14:paraId="6446417C"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ign w:val="center"/>
            <w:hideMark/>
          </w:tcPr>
          <w:p w14:paraId="14C16033" w14:textId="77777777" w:rsidR="00D81C59" w:rsidRPr="00D93447" w:rsidRDefault="00D81C59" w:rsidP="009E2CF7">
            <w:pPr>
              <w:spacing w:line="240" w:lineRule="auto"/>
              <w:ind w:firstLineChars="0" w:firstLine="0"/>
              <w:jc w:val="center"/>
              <w:rPr>
                <w:sz w:val="20"/>
              </w:rPr>
            </w:pPr>
          </w:p>
        </w:tc>
        <w:tc>
          <w:tcPr>
            <w:tcW w:w="1444" w:type="pct"/>
            <w:noWrap/>
            <w:vAlign w:val="center"/>
            <w:hideMark/>
          </w:tcPr>
          <w:p w14:paraId="59943A2D" w14:textId="17BBEA4C"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Total</w:t>
            </w:r>
            <w:r w:rsidR="00C1411C">
              <w:rPr>
                <w:sz w:val="20"/>
              </w:rPr>
              <w:t xml:space="preserve"> </w:t>
            </w:r>
            <w:r w:rsidRPr="00D93447">
              <w:rPr>
                <w:rFonts w:hint="eastAsia"/>
                <w:sz w:val="20"/>
              </w:rPr>
              <w:t>Asset</w:t>
            </w:r>
            <w:r w:rsidRPr="00D93447">
              <w:rPr>
                <w:rFonts w:hint="eastAsia"/>
                <w:sz w:val="20"/>
              </w:rPr>
              <w:t>，公司总资产</w:t>
            </w:r>
          </w:p>
        </w:tc>
        <w:tc>
          <w:tcPr>
            <w:tcW w:w="2873" w:type="pct"/>
            <w:noWrap/>
            <w:vAlign w:val="center"/>
            <w:hideMark/>
          </w:tcPr>
          <w:p w14:paraId="2688AC49" w14:textId="3ACC1FEE"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年初公司总资产高于行业中位数时取</w:t>
            </w:r>
            <w:r w:rsidRPr="00D93447">
              <w:rPr>
                <w:rFonts w:hint="eastAsia"/>
                <w:sz w:val="20"/>
              </w:rPr>
              <w:t>1</w:t>
            </w:r>
            <w:r w:rsidRPr="00D93447">
              <w:rPr>
                <w:rFonts w:hint="eastAsia"/>
                <w:sz w:val="20"/>
              </w:rPr>
              <w:t>，否则取</w:t>
            </w:r>
            <w:r w:rsidRPr="00D93447">
              <w:rPr>
                <w:rFonts w:hint="eastAsia"/>
                <w:sz w:val="20"/>
              </w:rPr>
              <w:t>0</w:t>
            </w:r>
          </w:p>
        </w:tc>
      </w:tr>
      <w:tr w:rsidR="00D93447" w:rsidRPr="00D93447" w14:paraId="2EAC14D3"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restart"/>
            <w:noWrap/>
            <w:vAlign w:val="center"/>
            <w:hideMark/>
          </w:tcPr>
          <w:p w14:paraId="764B317F" w14:textId="77777777" w:rsidR="00D81C59" w:rsidRPr="00D93447" w:rsidRDefault="00D81C59" w:rsidP="009E2CF7">
            <w:pPr>
              <w:spacing w:line="240" w:lineRule="auto"/>
              <w:ind w:firstLineChars="0" w:firstLine="0"/>
              <w:jc w:val="center"/>
              <w:rPr>
                <w:sz w:val="20"/>
              </w:rPr>
            </w:pPr>
            <w:r w:rsidRPr="00D93447">
              <w:rPr>
                <w:rFonts w:hint="eastAsia"/>
                <w:sz w:val="20"/>
              </w:rPr>
              <w:t>Profit</w:t>
            </w:r>
          </w:p>
        </w:tc>
        <w:tc>
          <w:tcPr>
            <w:tcW w:w="1444" w:type="pct"/>
            <w:noWrap/>
            <w:vAlign w:val="center"/>
            <w:hideMark/>
          </w:tcPr>
          <w:p w14:paraId="3DB6D437"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ROA</w:t>
            </w:r>
            <w:r w:rsidRPr="00D93447">
              <w:rPr>
                <w:rFonts w:hint="eastAsia"/>
                <w:sz w:val="20"/>
              </w:rPr>
              <w:t>，公司净资产收益率</w:t>
            </w:r>
          </w:p>
        </w:tc>
        <w:tc>
          <w:tcPr>
            <w:tcW w:w="2873" w:type="pct"/>
            <w:noWrap/>
            <w:vAlign w:val="center"/>
            <w:hideMark/>
          </w:tcPr>
          <w:p w14:paraId="29F81E38"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去年底的公司净资产收益率</w:t>
            </w:r>
          </w:p>
        </w:tc>
      </w:tr>
      <w:tr w:rsidR="00D93447" w:rsidRPr="00D93447" w14:paraId="34004B6D"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ign w:val="center"/>
            <w:hideMark/>
          </w:tcPr>
          <w:p w14:paraId="1AA7AB43" w14:textId="77777777" w:rsidR="00D81C59" w:rsidRPr="00D93447" w:rsidRDefault="00D81C59" w:rsidP="009E2CF7">
            <w:pPr>
              <w:spacing w:line="240" w:lineRule="auto"/>
              <w:ind w:firstLineChars="0" w:firstLine="0"/>
              <w:jc w:val="center"/>
              <w:rPr>
                <w:sz w:val="20"/>
              </w:rPr>
            </w:pPr>
          </w:p>
        </w:tc>
        <w:tc>
          <w:tcPr>
            <w:tcW w:w="1444" w:type="pct"/>
            <w:noWrap/>
            <w:vAlign w:val="center"/>
            <w:hideMark/>
          </w:tcPr>
          <w:p w14:paraId="2D61DD31"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ROE</w:t>
            </w:r>
            <w:r w:rsidRPr="00D93447">
              <w:rPr>
                <w:rFonts w:hint="eastAsia"/>
                <w:sz w:val="20"/>
              </w:rPr>
              <w:t>，公司总资产收益率</w:t>
            </w:r>
          </w:p>
        </w:tc>
        <w:tc>
          <w:tcPr>
            <w:tcW w:w="2873" w:type="pct"/>
            <w:noWrap/>
            <w:vAlign w:val="center"/>
            <w:hideMark/>
          </w:tcPr>
          <w:p w14:paraId="1E6F6EF4"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去年底的公司总资产收益率</w:t>
            </w:r>
          </w:p>
        </w:tc>
      </w:tr>
      <w:tr w:rsidR="00D93447" w:rsidRPr="00D93447" w14:paraId="49C8296D"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0A5A64B3" w14:textId="7F7A949E" w:rsidR="00D81C59" w:rsidRPr="00D93447" w:rsidRDefault="00D81C59" w:rsidP="009E2CF7">
            <w:pPr>
              <w:spacing w:line="240" w:lineRule="auto"/>
              <w:ind w:firstLineChars="0" w:firstLine="0"/>
              <w:jc w:val="center"/>
              <w:rPr>
                <w:sz w:val="20"/>
              </w:rPr>
            </w:pPr>
            <w:r w:rsidRPr="00D93447">
              <w:rPr>
                <w:rFonts w:hint="eastAsia"/>
                <w:sz w:val="20"/>
              </w:rPr>
              <w:t>STAR</w:t>
            </w:r>
          </w:p>
        </w:tc>
        <w:tc>
          <w:tcPr>
            <w:tcW w:w="1444" w:type="pct"/>
            <w:noWrap/>
            <w:vAlign w:val="center"/>
            <w:hideMark/>
          </w:tcPr>
          <w:p w14:paraId="48D5E12C"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明星分析师身份</w:t>
            </w:r>
          </w:p>
        </w:tc>
        <w:tc>
          <w:tcPr>
            <w:tcW w:w="2873" w:type="pct"/>
            <w:noWrap/>
            <w:vAlign w:val="center"/>
            <w:hideMark/>
          </w:tcPr>
          <w:p w14:paraId="502C2D06" w14:textId="2FC4853D"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分析师前一年上榜“新财富”</w:t>
            </w:r>
            <w:proofErr w:type="gramStart"/>
            <w:r w:rsidRPr="00D93447">
              <w:rPr>
                <w:rFonts w:hint="eastAsia"/>
                <w:sz w:val="20"/>
              </w:rPr>
              <w:t>最佳分析</w:t>
            </w:r>
            <w:proofErr w:type="gramEnd"/>
            <w:r w:rsidRPr="00D93447">
              <w:rPr>
                <w:rFonts w:hint="eastAsia"/>
                <w:sz w:val="20"/>
              </w:rPr>
              <w:t>师时取</w:t>
            </w:r>
            <w:r w:rsidRPr="00D93447">
              <w:rPr>
                <w:rFonts w:hint="eastAsia"/>
                <w:sz w:val="20"/>
              </w:rPr>
              <w:t>1</w:t>
            </w:r>
            <w:r w:rsidRPr="00D93447">
              <w:rPr>
                <w:rFonts w:hint="eastAsia"/>
                <w:sz w:val="20"/>
              </w:rPr>
              <w:t>，否则为</w:t>
            </w:r>
            <w:r w:rsidRPr="00D93447">
              <w:rPr>
                <w:rFonts w:hint="eastAsia"/>
                <w:sz w:val="20"/>
              </w:rPr>
              <w:t>0</w:t>
            </w:r>
          </w:p>
        </w:tc>
      </w:tr>
      <w:tr w:rsidR="00D93447" w:rsidRPr="00D93447" w14:paraId="2579FC98"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1EEA2A2B" w14:textId="77777777" w:rsidR="00D81C59" w:rsidRPr="00D93447" w:rsidRDefault="00D81C59" w:rsidP="009E2CF7">
            <w:pPr>
              <w:spacing w:line="240" w:lineRule="auto"/>
              <w:ind w:firstLineChars="0" w:firstLine="0"/>
              <w:jc w:val="center"/>
              <w:rPr>
                <w:sz w:val="20"/>
              </w:rPr>
            </w:pPr>
            <w:r w:rsidRPr="00D93447">
              <w:rPr>
                <w:rFonts w:hint="eastAsia"/>
                <w:sz w:val="20"/>
              </w:rPr>
              <w:t>Rating</w:t>
            </w:r>
          </w:p>
        </w:tc>
        <w:tc>
          <w:tcPr>
            <w:tcW w:w="1444" w:type="pct"/>
            <w:noWrap/>
            <w:vAlign w:val="center"/>
            <w:hideMark/>
          </w:tcPr>
          <w:p w14:paraId="186078DC"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评级水平</w:t>
            </w:r>
          </w:p>
        </w:tc>
        <w:tc>
          <w:tcPr>
            <w:tcW w:w="2873" w:type="pct"/>
            <w:noWrap/>
            <w:vAlign w:val="center"/>
            <w:hideMark/>
          </w:tcPr>
          <w:p w14:paraId="48093D1A" w14:textId="4FED7709"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评级为中性时取</w:t>
            </w:r>
            <w:r w:rsidRPr="00D93447">
              <w:rPr>
                <w:rFonts w:hint="eastAsia"/>
                <w:sz w:val="20"/>
              </w:rPr>
              <w:t>1</w:t>
            </w:r>
            <w:r w:rsidRPr="00D93447">
              <w:rPr>
                <w:rFonts w:hint="eastAsia"/>
                <w:sz w:val="20"/>
              </w:rPr>
              <w:t>，否则为</w:t>
            </w:r>
            <w:r w:rsidRPr="00D93447">
              <w:rPr>
                <w:rFonts w:hint="eastAsia"/>
                <w:sz w:val="20"/>
              </w:rPr>
              <w:t>0</w:t>
            </w:r>
          </w:p>
        </w:tc>
      </w:tr>
      <w:tr w:rsidR="00C1411C" w:rsidRPr="00D93447" w14:paraId="517C2611"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tcPr>
          <w:p w14:paraId="5B1D30E4" w14:textId="3E338193" w:rsidR="00C1411C" w:rsidRPr="00D93447" w:rsidRDefault="00C1411C" w:rsidP="009E2CF7">
            <w:pPr>
              <w:spacing w:line="240" w:lineRule="auto"/>
              <w:ind w:firstLineChars="0" w:firstLine="0"/>
              <w:jc w:val="center"/>
              <w:rPr>
                <w:sz w:val="20"/>
              </w:rPr>
            </w:pPr>
            <w:r>
              <w:rPr>
                <w:sz w:val="20"/>
              </w:rPr>
              <w:t>R</w:t>
            </w:r>
            <w:r>
              <w:rPr>
                <w:rFonts w:hint="eastAsia"/>
                <w:sz w:val="20"/>
              </w:rPr>
              <w:t>evision</w:t>
            </w:r>
          </w:p>
        </w:tc>
        <w:tc>
          <w:tcPr>
            <w:tcW w:w="1444" w:type="pct"/>
            <w:noWrap/>
            <w:vAlign w:val="center"/>
          </w:tcPr>
          <w:p w14:paraId="09E98947" w14:textId="58F05CD3" w:rsidR="00C1411C" w:rsidRPr="00D93447" w:rsidRDefault="00C1411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评级调整方向</w:t>
            </w:r>
          </w:p>
        </w:tc>
        <w:tc>
          <w:tcPr>
            <w:tcW w:w="2873" w:type="pct"/>
            <w:noWrap/>
            <w:vAlign w:val="center"/>
          </w:tcPr>
          <w:p w14:paraId="5F44123A" w14:textId="6C2D5FD4" w:rsidR="00C1411C" w:rsidRPr="00D93447" w:rsidRDefault="00C1411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C1411C">
              <w:rPr>
                <w:rFonts w:hint="eastAsia"/>
                <w:sz w:val="20"/>
              </w:rPr>
              <w:t>分为首次、维持、上调和下调评级四类，共三个虚拟变量</w:t>
            </w:r>
          </w:p>
        </w:tc>
      </w:tr>
      <w:tr w:rsidR="00D93447" w:rsidRPr="00D93447" w14:paraId="4F344E4B"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53DC0725" w14:textId="77777777" w:rsidR="00D81C59" w:rsidRPr="00D93447" w:rsidRDefault="00D81C59" w:rsidP="009E2CF7">
            <w:pPr>
              <w:spacing w:line="240" w:lineRule="auto"/>
              <w:ind w:firstLineChars="0" w:firstLine="0"/>
              <w:jc w:val="center"/>
              <w:rPr>
                <w:sz w:val="20"/>
              </w:rPr>
            </w:pPr>
            <w:r w:rsidRPr="00D93447">
              <w:rPr>
                <w:rFonts w:hint="eastAsia"/>
                <w:sz w:val="20"/>
              </w:rPr>
              <w:t>Cycle</w:t>
            </w:r>
          </w:p>
        </w:tc>
        <w:tc>
          <w:tcPr>
            <w:tcW w:w="1444" w:type="pct"/>
            <w:noWrap/>
            <w:vAlign w:val="center"/>
            <w:hideMark/>
          </w:tcPr>
          <w:p w14:paraId="3B0AEB90"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市场周期</w:t>
            </w:r>
          </w:p>
        </w:tc>
        <w:tc>
          <w:tcPr>
            <w:tcW w:w="2873" w:type="pct"/>
            <w:noWrap/>
            <w:vAlign w:val="center"/>
            <w:hideMark/>
          </w:tcPr>
          <w:p w14:paraId="2CFBB3FA" w14:textId="0FF4D256"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控制周期因素，牛市时取</w:t>
            </w:r>
            <w:r w:rsidRPr="00D93447">
              <w:rPr>
                <w:rFonts w:hint="eastAsia"/>
                <w:sz w:val="20"/>
              </w:rPr>
              <w:t>1</w:t>
            </w:r>
            <w:r w:rsidRPr="00D93447">
              <w:rPr>
                <w:rFonts w:hint="eastAsia"/>
                <w:sz w:val="20"/>
              </w:rPr>
              <w:t>，否则为</w:t>
            </w:r>
            <w:r w:rsidRPr="00D93447">
              <w:rPr>
                <w:rFonts w:hint="eastAsia"/>
                <w:sz w:val="20"/>
              </w:rPr>
              <w:t>0</w:t>
            </w:r>
          </w:p>
        </w:tc>
      </w:tr>
      <w:tr w:rsidR="00D93447" w:rsidRPr="00D93447" w14:paraId="3E6BB58C"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24AC703C" w14:textId="77777777" w:rsidR="00D81C59" w:rsidRPr="00D93447" w:rsidRDefault="00D81C59" w:rsidP="009E2CF7">
            <w:pPr>
              <w:spacing w:line="240" w:lineRule="auto"/>
              <w:ind w:firstLineChars="0" w:firstLine="0"/>
              <w:jc w:val="center"/>
              <w:rPr>
                <w:sz w:val="20"/>
              </w:rPr>
            </w:pPr>
            <w:r w:rsidRPr="00D93447">
              <w:rPr>
                <w:rFonts w:hint="eastAsia"/>
                <w:sz w:val="20"/>
              </w:rPr>
              <w:t>Industry</w:t>
            </w:r>
          </w:p>
        </w:tc>
        <w:tc>
          <w:tcPr>
            <w:tcW w:w="1444" w:type="pct"/>
            <w:noWrap/>
            <w:vAlign w:val="center"/>
            <w:hideMark/>
          </w:tcPr>
          <w:p w14:paraId="065A713C"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证监会行业分类</w:t>
            </w:r>
          </w:p>
        </w:tc>
        <w:tc>
          <w:tcPr>
            <w:tcW w:w="2873" w:type="pct"/>
            <w:noWrap/>
            <w:vAlign w:val="center"/>
            <w:hideMark/>
          </w:tcPr>
          <w:p w14:paraId="56B6D08E" w14:textId="77777777" w:rsidR="00D81C59" w:rsidRPr="00D93447" w:rsidRDefault="00D81C59"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系列</w:t>
            </w:r>
            <w:proofErr w:type="gramStart"/>
            <w:r w:rsidRPr="00D93447">
              <w:rPr>
                <w:rFonts w:hint="eastAsia"/>
                <w:sz w:val="20"/>
              </w:rPr>
              <w:t>哑</w:t>
            </w:r>
            <w:proofErr w:type="gramEnd"/>
            <w:r w:rsidRPr="00D93447">
              <w:rPr>
                <w:rFonts w:hint="eastAsia"/>
                <w:sz w:val="20"/>
              </w:rPr>
              <w:t>变量，控制行业因素</w:t>
            </w:r>
          </w:p>
        </w:tc>
      </w:tr>
    </w:tbl>
    <w:p w14:paraId="2BACD89D" w14:textId="218B173A" w:rsidR="00576CFC" w:rsidRDefault="00E31722" w:rsidP="009E2CF7">
      <w:pPr>
        <w:spacing w:beforeLines="50" w:before="163" w:line="240" w:lineRule="auto"/>
        <w:ind w:firstLine="420"/>
      </w:pPr>
      <w:r>
        <w:rPr>
          <w:rFonts w:hint="eastAsia"/>
        </w:rPr>
        <w:t>最后，</w:t>
      </w:r>
      <w:r w:rsidR="00DA1D2A">
        <w:rPr>
          <w:rFonts w:hint="eastAsia"/>
        </w:rPr>
        <w:t>为了具体考察分析师的</w:t>
      </w:r>
      <w:r w:rsidR="0017220C">
        <w:rPr>
          <w:rFonts w:hint="eastAsia"/>
        </w:rPr>
        <w:t>择时倾向差异，本文针对每个分析师所发表的全部</w:t>
      </w:r>
      <w:r w:rsidR="007011CE">
        <w:rPr>
          <w:rFonts w:hint="eastAsia"/>
        </w:rPr>
        <w:t>公司深度</w:t>
      </w:r>
      <w:r w:rsidR="0017220C">
        <w:rPr>
          <w:rFonts w:hint="eastAsia"/>
        </w:rPr>
        <w:t>研究报告子样本使用</w:t>
      </w:r>
      <w:r w:rsidR="00BD13DB">
        <w:rPr>
          <w:rFonts w:hint="eastAsia"/>
        </w:rPr>
        <w:t>模型</w:t>
      </w:r>
      <m:oMath>
        <m:sSub>
          <m:sSubPr>
            <m:ctrlPr>
              <w:rPr>
                <w:rFonts w:ascii="Cambria Math" w:hAnsi="Cambria Math"/>
              </w:rPr>
            </m:ctrlPr>
          </m:sSubPr>
          <m:e>
            <m:r>
              <w:rPr>
                <w:rFonts w:ascii="Cambria Math" w:hAnsi="Cambria Math"/>
              </w:rPr>
              <m:t>dr2</m:t>
            </m:r>
          </m:e>
          <m:sub>
            <m:r>
              <w:rPr>
                <w:rFonts w:ascii="Cambria Math" w:hAnsi="Cambria Math"/>
              </w:rPr>
              <m:t>i</m:t>
            </m:r>
          </m:sub>
        </m:sSub>
        <m:r>
          <w:rPr>
            <w:rFonts w:ascii="Cambria Math" w:hAnsi="Cambria Math"/>
          </w:rPr>
          <m:t>=</m:t>
        </m:r>
        <m:r>
          <w:rPr>
            <w:rFonts w:ascii="Cambria Math" w:hAnsi="Cambria Math" w:hint="eastAsia"/>
          </w:rPr>
          <m:t>α+</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AbTURN_G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m:t>
            </m:r>
          </m:sub>
        </m:sSub>
      </m:oMath>
      <w:r w:rsidR="0017220C">
        <w:rPr>
          <w:rFonts w:hint="eastAsia"/>
        </w:rPr>
        <w:t>重新进行回归</w:t>
      </w:r>
      <w:r w:rsidR="00BD13DB">
        <w:rPr>
          <w:rFonts w:hint="eastAsia"/>
        </w:rPr>
        <w:t>，</w:t>
      </w:r>
      <w:r w:rsidR="001E166E">
        <w:rPr>
          <w:rFonts w:hint="eastAsia"/>
        </w:rPr>
        <w:t>考虑到</w:t>
      </w:r>
      <w:r w:rsidR="00F615E7">
        <w:rPr>
          <w:rFonts w:hint="eastAsia"/>
        </w:rPr>
        <w:t>样本数量有限且</w:t>
      </w:r>
      <w:r w:rsidR="0017220C">
        <w:rPr>
          <w:rFonts w:hint="eastAsia"/>
        </w:rPr>
        <w:t>此处</w:t>
      </w:r>
      <w:r w:rsidR="001E166E">
        <w:rPr>
          <w:rFonts w:hint="eastAsia"/>
        </w:rPr>
        <w:t>只需要判断回归系数的显著性，略去了</w:t>
      </w:r>
      <w:r w:rsidR="00732D74">
        <w:rPr>
          <w:rFonts w:hint="eastAsia"/>
        </w:rPr>
        <w:t>各</w:t>
      </w:r>
      <w:r w:rsidR="001E166E">
        <w:rPr>
          <w:rFonts w:hint="eastAsia"/>
        </w:rPr>
        <w:t>控制变量。回归之后</w:t>
      </w:r>
      <w:r w:rsidR="00395397">
        <w:rPr>
          <w:rFonts w:hint="eastAsia"/>
        </w:rPr>
        <w:t>，</w:t>
      </w:r>
      <w:r w:rsidR="001E166E">
        <w:rPr>
          <w:rFonts w:hint="eastAsia"/>
        </w:rPr>
        <w:t>本文根据</w:t>
      </w:r>
      <w:r w:rsidR="0017220C">
        <w:rPr>
          <w:rFonts w:hint="eastAsia"/>
        </w:rPr>
        <w:t>变量</w:t>
      </w:r>
      <m:oMath>
        <m:r>
          <w:rPr>
            <w:rFonts w:ascii="Cambria Math" w:hAnsi="Cambria Math"/>
          </w:rPr>
          <m:t>AbTURN_G</m:t>
        </m:r>
      </m:oMath>
      <w:r w:rsidR="0017220C">
        <w:rPr>
          <w:rFonts w:hint="eastAsia"/>
        </w:rPr>
        <w:t>回归系数</w:t>
      </w:r>
      <w:r w:rsidR="001E166E">
        <w:rPr>
          <w:rFonts w:hint="eastAsia"/>
        </w:rPr>
        <w:t>是否</w:t>
      </w:r>
      <w:r w:rsidR="0017220C">
        <w:rPr>
          <w:rFonts w:hint="eastAsia"/>
        </w:rPr>
        <w:t>显著</w:t>
      </w:r>
      <w:r w:rsidR="00C1411C">
        <w:rPr>
          <w:rFonts w:hint="eastAsia"/>
        </w:rPr>
        <w:t>大于</w:t>
      </w:r>
      <w:r w:rsidR="00C1411C">
        <w:rPr>
          <w:rFonts w:hint="eastAsia"/>
        </w:rPr>
        <w:t>0</w:t>
      </w:r>
      <w:r w:rsidR="001E166E">
        <w:rPr>
          <w:rFonts w:hint="eastAsia"/>
        </w:rPr>
        <w:t>、以及报告信息含量</w:t>
      </w:r>
      <m:oMath>
        <m:r>
          <m:rPr>
            <m:sty m:val="p"/>
          </m:rPr>
          <w:rPr>
            <w:rFonts w:ascii="Cambria Math" w:hAnsi="Cambria Math"/>
          </w:rPr>
          <m:t>dr2</m:t>
        </m:r>
      </m:oMath>
      <w:r w:rsidR="001E166E">
        <w:rPr>
          <w:rFonts w:hint="eastAsia"/>
        </w:rPr>
        <w:t>的高低</w:t>
      </w:r>
      <w:r w:rsidR="00395397">
        <w:rPr>
          <w:rFonts w:hint="eastAsia"/>
        </w:rPr>
        <w:t>，</w:t>
      </w:r>
      <w:r w:rsidR="001E166E">
        <w:rPr>
          <w:rFonts w:hint="eastAsia"/>
        </w:rPr>
        <w:t>将分析师分为</w:t>
      </w:r>
      <w:r w:rsidR="0017220C">
        <w:rPr>
          <w:rFonts w:hint="eastAsia"/>
        </w:rPr>
        <w:t>择时</w:t>
      </w:r>
      <w:r w:rsidR="001E166E">
        <w:rPr>
          <w:rFonts w:hint="eastAsia"/>
        </w:rPr>
        <w:t>-</w:t>
      </w:r>
      <w:r w:rsidR="001E166E">
        <w:rPr>
          <w:rFonts w:hint="eastAsia"/>
        </w:rPr>
        <w:t>高信息含量</w:t>
      </w:r>
      <m:oMath>
        <m:r>
          <w:rPr>
            <w:rFonts w:ascii="Cambria Math" w:hAnsi="Cambria Math"/>
          </w:rPr>
          <m:t>(Timing-HighInfo)</m:t>
        </m:r>
      </m:oMath>
      <w:r w:rsidR="001E166E">
        <w:rPr>
          <w:rFonts w:hint="eastAsia"/>
        </w:rPr>
        <w:t>、择时</w:t>
      </w:r>
      <w:r w:rsidR="001E166E">
        <w:rPr>
          <w:rFonts w:hint="eastAsia"/>
        </w:rPr>
        <w:t>-</w:t>
      </w:r>
      <w:proofErr w:type="gramStart"/>
      <w:r w:rsidR="001E166E">
        <w:rPr>
          <w:rFonts w:hint="eastAsia"/>
        </w:rPr>
        <w:t>低信息</w:t>
      </w:r>
      <w:proofErr w:type="gramEnd"/>
      <w:r w:rsidR="001E166E">
        <w:rPr>
          <w:rFonts w:hint="eastAsia"/>
        </w:rPr>
        <w:t>含量</w:t>
      </w:r>
      <m:oMath>
        <m:r>
          <w:rPr>
            <w:rFonts w:ascii="Cambria Math" w:hAnsi="Cambria Math"/>
          </w:rPr>
          <m:t>(Timing-LowInfo)</m:t>
        </m:r>
      </m:oMath>
      <w:r w:rsidR="001E166E">
        <w:rPr>
          <w:rFonts w:hint="eastAsia"/>
        </w:rPr>
        <w:t>、非择时</w:t>
      </w:r>
      <w:r w:rsidR="001E166E">
        <w:rPr>
          <w:rFonts w:hint="eastAsia"/>
        </w:rPr>
        <w:t>-</w:t>
      </w:r>
      <w:r w:rsidR="001E166E">
        <w:rPr>
          <w:rFonts w:hint="eastAsia"/>
        </w:rPr>
        <w:t>高信息含量</w:t>
      </w:r>
      <m:oMath>
        <m:r>
          <w:rPr>
            <w:rFonts w:ascii="Cambria Math" w:hAnsi="Cambria Math"/>
          </w:rPr>
          <m:t>(NonTiming-HighInfo)</m:t>
        </m:r>
      </m:oMath>
      <w:r w:rsidR="001E166E">
        <w:rPr>
          <w:rFonts w:hint="eastAsia"/>
        </w:rPr>
        <w:t>和非择时</w:t>
      </w:r>
      <w:r w:rsidR="001E166E">
        <w:rPr>
          <w:rFonts w:hint="eastAsia"/>
        </w:rPr>
        <w:t>-</w:t>
      </w:r>
      <w:proofErr w:type="gramStart"/>
      <w:r w:rsidR="001E166E">
        <w:rPr>
          <w:rFonts w:hint="eastAsia"/>
        </w:rPr>
        <w:t>低信息</w:t>
      </w:r>
      <w:proofErr w:type="gramEnd"/>
      <w:r w:rsidR="001E166E">
        <w:rPr>
          <w:rFonts w:hint="eastAsia"/>
        </w:rPr>
        <w:t>含量</w:t>
      </w:r>
      <m:oMath>
        <m:r>
          <w:rPr>
            <w:rFonts w:ascii="Cambria Math" w:hAnsi="Cambria Math"/>
          </w:rPr>
          <m:t>(NonTiming-LowInfo)</m:t>
        </m:r>
      </m:oMath>
      <w:r w:rsidR="001E166E">
        <w:rPr>
          <w:rFonts w:hint="eastAsia"/>
        </w:rPr>
        <w:t>四组，对比其报告发布后</w:t>
      </w:r>
      <w:r w:rsidR="004067DD">
        <w:rPr>
          <w:rFonts w:hint="eastAsia"/>
        </w:rPr>
        <w:t>产生</w:t>
      </w:r>
      <w:r w:rsidR="0017220C">
        <w:rPr>
          <w:rFonts w:hint="eastAsia"/>
        </w:rPr>
        <w:t>的超额收益率水平</w:t>
      </w:r>
      <w:r w:rsidR="00395397">
        <w:rPr>
          <w:rFonts w:hint="eastAsia"/>
        </w:rPr>
        <w:t>，以考察市场对不同类型报告的反应差异</w:t>
      </w:r>
      <w:r w:rsidR="0017220C">
        <w:rPr>
          <w:rFonts w:hint="eastAsia"/>
        </w:rPr>
        <w:t>。</w:t>
      </w:r>
    </w:p>
    <w:p w14:paraId="20FED761" w14:textId="65FD0447" w:rsidR="00576CFC" w:rsidRDefault="00576CFC" w:rsidP="009E2CF7">
      <w:pPr>
        <w:pStyle w:val="ac"/>
        <w:spacing w:line="240" w:lineRule="auto"/>
      </w:pPr>
      <w:bookmarkStart w:id="41" w:name="_Ref50933856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4</w:t>
      </w:r>
      <w:r>
        <w:fldChar w:fldCharType="end"/>
      </w:r>
      <w:bookmarkEnd w:id="41"/>
      <w:r>
        <w:t xml:space="preserve"> </w:t>
      </w:r>
      <w:r>
        <w:rPr>
          <w:rFonts w:hint="eastAsia"/>
        </w:rPr>
        <w:t>部分变量的描述性统计</w:t>
      </w:r>
    </w:p>
    <w:tbl>
      <w:tblPr>
        <w:tblStyle w:val="6"/>
        <w:tblW w:w="5000" w:type="pct"/>
        <w:tblLook w:val="06A0" w:firstRow="1" w:lastRow="0" w:firstColumn="1" w:lastColumn="0" w:noHBand="1" w:noVBand="1"/>
      </w:tblPr>
      <w:tblGrid>
        <w:gridCol w:w="2723"/>
        <w:gridCol w:w="1397"/>
        <w:gridCol w:w="1399"/>
        <w:gridCol w:w="1397"/>
        <w:gridCol w:w="1390"/>
      </w:tblGrid>
      <w:tr w:rsidR="00576CFC" w:rsidRPr="00576CFC" w14:paraId="21178A24" w14:textId="77777777" w:rsidTr="001903D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639" w:type="pct"/>
            <w:vMerge w:val="restart"/>
            <w:tcBorders>
              <w:top w:val="single" w:sz="4" w:space="0" w:color="000000" w:themeColor="text1"/>
            </w:tcBorders>
            <w:noWrap/>
            <w:vAlign w:val="center"/>
            <w:hideMark/>
          </w:tcPr>
          <w:p w14:paraId="6B995DA2" w14:textId="520A9CD3" w:rsidR="00576CFC" w:rsidRPr="00576CFC" w:rsidRDefault="00576CFC" w:rsidP="009E2CF7">
            <w:pPr>
              <w:spacing w:line="240" w:lineRule="auto"/>
              <w:ind w:firstLineChars="0" w:firstLine="0"/>
              <w:jc w:val="center"/>
              <w:rPr>
                <w:szCs w:val="21"/>
              </w:rPr>
            </w:pPr>
            <w:r w:rsidRPr="00576CFC">
              <w:rPr>
                <w:rFonts w:hint="eastAsia"/>
                <w:szCs w:val="21"/>
              </w:rPr>
              <w:t>变量</w:t>
            </w:r>
          </w:p>
        </w:tc>
        <w:tc>
          <w:tcPr>
            <w:tcW w:w="1683" w:type="pct"/>
            <w:gridSpan w:val="2"/>
            <w:tcBorders>
              <w:top w:val="single" w:sz="4" w:space="0" w:color="000000" w:themeColor="text1"/>
            </w:tcBorders>
            <w:noWrap/>
            <w:vAlign w:val="center"/>
            <w:hideMark/>
          </w:tcPr>
          <w:p w14:paraId="75A9EEEF" w14:textId="77777777" w:rsidR="00576CFC" w:rsidRPr="00576CFC" w:rsidRDefault="00576CFC"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Cs w:val="21"/>
              </w:rPr>
            </w:pPr>
            <w:r w:rsidRPr="00576CFC">
              <w:rPr>
                <w:rFonts w:hint="eastAsia"/>
                <w:szCs w:val="21"/>
              </w:rPr>
              <w:t>Release=0</w:t>
            </w:r>
          </w:p>
        </w:tc>
        <w:tc>
          <w:tcPr>
            <w:tcW w:w="1678" w:type="pct"/>
            <w:gridSpan w:val="2"/>
            <w:tcBorders>
              <w:top w:val="single" w:sz="4" w:space="0" w:color="000000" w:themeColor="text1"/>
            </w:tcBorders>
            <w:noWrap/>
            <w:vAlign w:val="center"/>
            <w:hideMark/>
          </w:tcPr>
          <w:p w14:paraId="134033FF" w14:textId="77777777" w:rsidR="00576CFC" w:rsidRPr="00576CFC" w:rsidRDefault="00576CFC" w:rsidP="009E2CF7">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576CFC">
              <w:rPr>
                <w:rFonts w:hint="eastAsia"/>
                <w:szCs w:val="21"/>
              </w:rPr>
              <w:t>Release=1</w:t>
            </w:r>
          </w:p>
        </w:tc>
      </w:tr>
      <w:tr w:rsidR="00576CFC" w:rsidRPr="00576CFC" w14:paraId="44B52B73"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vMerge/>
            <w:tcBorders>
              <w:bottom w:val="single" w:sz="4" w:space="0" w:color="auto"/>
            </w:tcBorders>
            <w:vAlign w:val="center"/>
            <w:hideMark/>
          </w:tcPr>
          <w:p w14:paraId="1F1B4C04" w14:textId="77777777" w:rsidR="00576CFC" w:rsidRPr="00576CFC" w:rsidRDefault="00576CFC" w:rsidP="009E2CF7">
            <w:pPr>
              <w:spacing w:line="240" w:lineRule="auto"/>
              <w:ind w:firstLineChars="0" w:firstLine="0"/>
              <w:jc w:val="center"/>
              <w:rPr>
                <w:szCs w:val="21"/>
              </w:rPr>
            </w:pPr>
          </w:p>
        </w:tc>
        <w:tc>
          <w:tcPr>
            <w:tcW w:w="841" w:type="pct"/>
            <w:tcBorders>
              <w:bottom w:val="single" w:sz="4" w:space="0" w:color="auto"/>
            </w:tcBorders>
            <w:noWrap/>
            <w:vAlign w:val="center"/>
            <w:hideMark/>
          </w:tcPr>
          <w:p w14:paraId="753FED1F" w14:textId="77777777" w:rsidR="00576CFC" w:rsidRPr="00576CFC" w:rsidRDefault="00576CF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Mean</w:t>
            </w:r>
          </w:p>
        </w:tc>
        <w:tc>
          <w:tcPr>
            <w:tcW w:w="842" w:type="pct"/>
            <w:tcBorders>
              <w:bottom w:val="single" w:sz="4" w:space="0" w:color="auto"/>
            </w:tcBorders>
            <w:noWrap/>
            <w:vAlign w:val="center"/>
            <w:hideMark/>
          </w:tcPr>
          <w:p w14:paraId="3078BCE4" w14:textId="77777777" w:rsidR="00576CFC" w:rsidRPr="00576CFC" w:rsidRDefault="00576CF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Std. Dev.</w:t>
            </w:r>
          </w:p>
        </w:tc>
        <w:tc>
          <w:tcPr>
            <w:tcW w:w="841" w:type="pct"/>
            <w:tcBorders>
              <w:bottom w:val="single" w:sz="4" w:space="0" w:color="auto"/>
            </w:tcBorders>
            <w:noWrap/>
            <w:vAlign w:val="center"/>
            <w:hideMark/>
          </w:tcPr>
          <w:p w14:paraId="22F34FC5" w14:textId="77777777" w:rsidR="00576CFC" w:rsidRPr="00576CFC" w:rsidRDefault="00576CF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Mean</w:t>
            </w:r>
          </w:p>
        </w:tc>
        <w:tc>
          <w:tcPr>
            <w:tcW w:w="837" w:type="pct"/>
            <w:tcBorders>
              <w:bottom w:val="single" w:sz="4" w:space="0" w:color="auto"/>
            </w:tcBorders>
            <w:noWrap/>
            <w:vAlign w:val="center"/>
            <w:hideMark/>
          </w:tcPr>
          <w:p w14:paraId="6B480358" w14:textId="77777777" w:rsidR="00576CFC" w:rsidRPr="00576CFC" w:rsidRDefault="00576CFC" w:rsidP="009E2CF7">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Std. Dev.</w:t>
            </w:r>
          </w:p>
        </w:tc>
      </w:tr>
      <w:tr w:rsidR="00576CFC" w:rsidRPr="00576CFC" w14:paraId="199F454D"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tcBorders>
              <w:top w:val="single" w:sz="4" w:space="0" w:color="auto"/>
            </w:tcBorders>
            <w:noWrap/>
            <w:vAlign w:val="center"/>
            <w:hideMark/>
          </w:tcPr>
          <w:p w14:paraId="7550A494" w14:textId="77777777" w:rsidR="00576CFC" w:rsidRPr="00576CFC" w:rsidRDefault="00576CFC" w:rsidP="009E2CF7">
            <w:pPr>
              <w:spacing w:line="240" w:lineRule="auto"/>
              <w:ind w:firstLineChars="0" w:firstLine="0"/>
              <w:jc w:val="center"/>
              <w:rPr>
                <w:szCs w:val="21"/>
              </w:rPr>
            </w:pPr>
            <w:r w:rsidRPr="00576CFC">
              <w:rPr>
                <w:rFonts w:hint="eastAsia"/>
                <w:szCs w:val="21"/>
              </w:rPr>
              <w:t>Abnormal Turnover</w:t>
            </w:r>
          </w:p>
        </w:tc>
        <w:tc>
          <w:tcPr>
            <w:tcW w:w="841" w:type="pct"/>
            <w:tcBorders>
              <w:top w:val="single" w:sz="4" w:space="0" w:color="auto"/>
            </w:tcBorders>
            <w:noWrap/>
            <w:vAlign w:val="center"/>
            <w:hideMark/>
          </w:tcPr>
          <w:p w14:paraId="31C6BEBF"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1.1218</w:t>
            </w:r>
          </w:p>
        </w:tc>
        <w:tc>
          <w:tcPr>
            <w:tcW w:w="842" w:type="pct"/>
            <w:tcBorders>
              <w:top w:val="single" w:sz="4" w:space="0" w:color="auto"/>
            </w:tcBorders>
            <w:noWrap/>
            <w:vAlign w:val="center"/>
            <w:hideMark/>
          </w:tcPr>
          <w:p w14:paraId="30907E54"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0.8022</w:t>
            </w:r>
          </w:p>
        </w:tc>
        <w:tc>
          <w:tcPr>
            <w:tcW w:w="841" w:type="pct"/>
            <w:tcBorders>
              <w:top w:val="single" w:sz="4" w:space="0" w:color="auto"/>
            </w:tcBorders>
            <w:noWrap/>
            <w:vAlign w:val="center"/>
            <w:hideMark/>
          </w:tcPr>
          <w:p w14:paraId="324B274C"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1.1520</w:t>
            </w:r>
          </w:p>
        </w:tc>
        <w:tc>
          <w:tcPr>
            <w:tcW w:w="837" w:type="pct"/>
            <w:tcBorders>
              <w:top w:val="single" w:sz="4" w:space="0" w:color="auto"/>
            </w:tcBorders>
            <w:noWrap/>
            <w:vAlign w:val="center"/>
            <w:hideMark/>
          </w:tcPr>
          <w:p w14:paraId="082F4CBB"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0.7690</w:t>
            </w:r>
          </w:p>
        </w:tc>
      </w:tr>
      <w:tr w:rsidR="00576CFC" w:rsidRPr="00576CFC" w14:paraId="4EE74E4A"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0E326AA0" w14:textId="77777777" w:rsidR="00576CFC" w:rsidRPr="00576CFC" w:rsidRDefault="00576CFC" w:rsidP="009E2CF7">
            <w:pPr>
              <w:spacing w:line="240" w:lineRule="auto"/>
              <w:ind w:firstLineChars="0" w:firstLine="0"/>
              <w:jc w:val="center"/>
              <w:rPr>
                <w:szCs w:val="21"/>
              </w:rPr>
            </w:pPr>
            <w:r w:rsidRPr="00576CFC">
              <w:rPr>
                <w:rFonts w:hint="eastAsia"/>
                <w:szCs w:val="21"/>
              </w:rPr>
              <w:t>Analyst Attention</w:t>
            </w:r>
          </w:p>
        </w:tc>
        <w:tc>
          <w:tcPr>
            <w:tcW w:w="841" w:type="pct"/>
            <w:noWrap/>
            <w:vAlign w:val="center"/>
            <w:hideMark/>
          </w:tcPr>
          <w:p w14:paraId="3F3132D3"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9.8548</w:t>
            </w:r>
          </w:p>
        </w:tc>
        <w:tc>
          <w:tcPr>
            <w:tcW w:w="842" w:type="pct"/>
            <w:noWrap/>
            <w:vAlign w:val="center"/>
            <w:hideMark/>
          </w:tcPr>
          <w:p w14:paraId="5D77930E"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9.5489</w:t>
            </w:r>
          </w:p>
        </w:tc>
        <w:tc>
          <w:tcPr>
            <w:tcW w:w="841" w:type="pct"/>
            <w:noWrap/>
            <w:vAlign w:val="center"/>
            <w:hideMark/>
          </w:tcPr>
          <w:p w14:paraId="4F516816"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17.3255</w:t>
            </w:r>
          </w:p>
        </w:tc>
        <w:tc>
          <w:tcPr>
            <w:tcW w:w="837" w:type="pct"/>
            <w:noWrap/>
            <w:vAlign w:val="center"/>
            <w:hideMark/>
          </w:tcPr>
          <w:p w14:paraId="0112F255"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11.2504</w:t>
            </w:r>
          </w:p>
        </w:tc>
      </w:tr>
      <w:tr w:rsidR="00576CFC" w:rsidRPr="00576CFC" w14:paraId="5D2FA9B8"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1AB35B8E" w14:textId="77777777" w:rsidR="00576CFC" w:rsidRPr="00576CFC" w:rsidRDefault="00576CFC" w:rsidP="009E2CF7">
            <w:pPr>
              <w:spacing w:line="240" w:lineRule="auto"/>
              <w:ind w:firstLineChars="0" w:firstLine="0"/>
              <w:jc w:val="center"/>
              <w:rPr>
                <w:szCs w:val="21"/>
              </w:rPr>
            </w:pPr>
            <w:r w:rsidRPr="00576CFC">
              <w:rPr>
                <w:rFonts w:hint="eastAsia"/>
                <w:szCs w:val="21"/>
              </w:rPr>
              <w:t>Report Attention</w:t>
            </w:r>
          </w:p>
        </w:tc>
        <w:tc>
          <w:tcPr>
            <w:tcW w:w="841" w:type="pct"/>
            <w:noWrap/>
            <w:vAlign w:val="center"/>
            <w:hideMark/>
          </w:tcPr>
          <w:p w14:paraId="6DCC2063"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18.8092</w:t>
            </w:r>
          </w:p>
        </w:tc>
        <w:tc>
          <w:tcPr>
            <w:tcW w:w="842" w:type="pct"/>
            <w:noWrap/>
            <w:vAlign w:val="center"/>
            <w:hideMark/>
          </w:tcPr>
          <w:p w14:paraId="4B0372F2"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21.9083</w:t>
            </w:r>
          </w:p>
        </w:tc>
        <w:tc>
          <w:tcPr>
            <w:tcW w:w="841" w:type="pct"/>
            <w:noWrap/>
            <w:vAlign w:val="center"/>
            <w:hideMark/>
          </w:tcPr>
          <w:p w14:paraId="5E5D86DA"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37.6258</w:t>
            </w:r>
          </w:p>
        </w:tc>
        <w:tc>
          <w:tcPr>
            <w:tcW w:w="837" w:type="pct"/>
            <w:noWrap/>
            <w:vAlign w:val="center"/>
            <w:hideMark/>
          </w:tcPr>
          <w:p w14:paraId="450B4A56"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29.5628</w:t>
            </w:r>
          </w:p>
        </w:tc>
      </w:tr>
      <w:tr w:rsidR="00576CFC" w:rsidRPr="00576CFC" w14:paraId="7AB30B28"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088EE7F1" w14:textId="77777777" w:rsidR="00576CFC" w:rsidRPr="00576CFC" w:rsidRDefault="00576CFC" w:rsidP="009E2CF7">
            <w:pPr>
              <w:spacing w:line="240" w:lineRule="auto"/>
              <w:ind w:firstLineChars="0" w:firstLine="0"/>
              <w:jc w:val="center"/>
              <w:rPr>
                <w:szCs w:val="21"/>
              </w:rPr>
            </w:pPr>
            <w:r w:rsidRPr="00576CFC">
              <w:rPr>
                <w:rFonts w:hint="eastAsia"/>
                <w:szCs w:val="21"/>
              </w:rPr>
              <w:t>ROE</w:t>
            </w:r>
          </w:p>
        </w:tc>
        <w:tc>
          <w:tcPr>
            <w:tcW w:w="841" w:type="pct"/>
            <w:noWrap/>
            <w:vAlign w:val="center"/>
            <w:hideMark/>
          </w:tcPr>
          <w:p w14:paraId="6D64B1D5"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7.1435</w:t>
            </w:r>
          </w:p>
        </w:tc>
        <w:tc>
          <w:tcPr>
            <w:tcW w:w="842" w:type="pct"/>
            <w:noWrap/>
            <w:vAlign w:val="center"/>
            <w:hideMark/>
          </w:tcPr>
          <w:p w14:paraId="4B073BCE"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11.9164</w:t>
            </w:r>
          </w:p>
        </w:tc>
        <w:tc>
          <w:tcPr>
            <w:tcW w:w="841" w:type="pct"/>
            <w:noWrap/>
            <w:vAlign w:val="center"/>
            <w:hideMark/>
          </w:tcPr>
          <w:p w14:paraId="6F8E1863"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11.2063</w:t>
            </w:r>
          </w:p>
        </w:tc>
        <w:tc>
          <w:tcPr>
            <w:tcW w:w="837" w:type="pct"/>
            <w:noWrap/>
            <w:vAlign w:val="center"/>
            <w:hideMark/>
          </w:tcPr>
          <w:p w14:paraId="394A83E7"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9.8219</w:t>
            </w:r>
          </w:p>
        </w:tc>
      </w:tr>
      <w:tr w:rsidR="00576CFC" w:rsidRPr="00576CFC" w14:paraId="3C01944C"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41C0005B" w14:textId="77777777" w:rsidR="00576CFC" w:rsidRPr="00576CFC" w:rsidRDefault="00576CFC" w:rsidP="009E2CF7">
            <w:pPr>
              <w:spacing w:line="240" w:lineRule="auto"/>
              <w:ind w:firstLineChars="0" w:firstLine="0"/>
              <w:jc w:val="center"/>
              <w:rPr>
                <w:szCs w:val="21"/>
              </w:rPr>
            </w:pPr>
            <w:r w:rsidRPr="00576CFC">
              <w:rPr>
                <w:rFonts w:hint="eastAsia"/>
                <w:szCs w:val="21"/>
              </w:rPr>
              <w:t>ROA</w:t>
            </w:r>
          </w:p>
        </w:tc>
        <w:tc>
          <w:tcPr>
            <w:tcW w:w="841" w:type="pct"/>
            <w:noWrap/>
            <w:vAlign w:val="center"/>
            <w:hideMark/>
          </w:tcPr>
          <w:p w14:paraId="7DDA8297"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4.4765</w:t>
            </w:r>
          </w:p>
        </w:tc>
        <w:tc>
          <w:tcPr>
            <w:tcW w:w="842" w:type="pct"/>
            <w:noWrap/>
            <w:vAlign w:val="center"/>
            <w:hideMark/>
          </w:tcPr>
          <w:p w14:paraId="42D0CB66"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6.1324</w:t>
            </w:r>
          </w:p>
        </w:tc>
        <w:tc>
          <w:tcPr>
            <w:tcW w:w="841" w:type="pct"/>
            <w:noWrap/>
            <w:vAlign w:val="center"/>
            <w:hideMark/>
          </w:tcPr>
          <w:p w14:paraId="5F17DB4C"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7.0500</w:t>
            </w:r>
          </w:p>
        </w:tc>
        <w:tc>
          <w:tcPr>
            <w:tcW w:w="837" w:type="pct"/>
            <w:noWrap/>
            <w:vAlign w:val="center"/>
            <w:hideMark/>
          </w:tcPr>
          <w:p w14:paraId="3144EB3F"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5.9860</w:t>
            </w:r>
          </w:p>
        </w:tc>
      </w:tr>
      <w:tr w:rsidR="00576CFC" w:rsidRPr="00576CFC" w14:paraId="46570F3C"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23A2FB3B" w14:textId="77777777" w:rsidR="00576CFC" w:rsidRPr="00576CFC" w:rsidRDefault="00576CFC" w:rsidP="009E2CF7">
            <w:pPr>
              <w:spacing w:line="240" w:lineRule="auto"/>
              <w:ind w:firstLineChars="0" w:firstLine="0"/>
              <w:jc w:val="center"/>
              <w:rPr>
                <w:szCs w:val="21"/>
              </w:rPr>
            </w:pPr>
            <w:r w:rsidRPr="00576CFC">
              <w:rPr>
                <w:rFonts w:hint="eastAsia"/>
                <w:szCs w:val="21"/>
              </w:rPr>
              <w:t>Total Asset</w:t>
            </w:r>
          </w:p>
        </w:tc>
        <w:tc>
          <w:tcPr>
            <w:tcW w:w="841" w:type="pct"/>
            <w:noWrap/>
            <w:vAlign w:val="center"/>
            <w:hideMark/>
          </w:tcPr>
          <w:p w14:paraId="3E8CD52F"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22.8016</w:t>
            </w:r>
          </w:p>
        </w:tc>
        <w:tc>
          <w:tcPr>
            <w:tcW w:w="842" w:type="pct"/>
            <w:noWrap/>
            <w:vAlign w:val="center"/>
            <w:hideMark/>
          </w:tcPr>
          <w:p w14:paraId="3BDB423E"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95.0675</w:t>
            </w:r>
          </w:p>
        </w:tc>
        <w:tc>
          <w:tcPr>
            <w:tcW w:w="841" w:type="pct"/>
            <w:noWrap/>
            <w:vAlign w:val="center"/>
            <w:hideMark/>
          </w:tcPr>
          <w:p w14:paraId="65891A04"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22.7512</w:t>
            </w:r>
          </w:p>
        </w:tc>
        <w:tc>
          <w:tcPr>
            <w:tcW w:w="837" w:type="pct"/>
            <w:noWrap/>
            <w:vAlign w:val="center"/>
            <w:hideMark/>
          </w:tcPr>
          <w:p w14:paraId="57B7EEF5"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74.9673</w:t>
            </w:r>
          </w:p>
        </w:tc>
      </w:tr>
      <w:tr w:rsidR="00576CFC" w:rsidRPr="00576CFC" w14:paraId="472E44CA" w14:textId="77777777" w:rsidTr="001903D0">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14F04FA9" w14:textId="77777777" w:rsidR="00576CFC" w:rsidRPr="00576CFC" w:rsidRDefault="00576CFC" w:rsidP="009E2CF7">
            <w:pPr>
              <w:spacing w:line="240" w:lineRule="auto"/>
              <w:ind w:firstLineChars="0" w:firstLine="0"/>
              <w:jc w:val="center"/>
              <w:rPr>
                <w:szCs w:val="21"/>
              </w:rPr>
            </w:pPr>
            <w:r w:rsidRPr="00576CFC">
              <w:rPr>
                <w:rFonts w:hint="eastAsia"/>
                <w:szCs w:val="21"/>
              </w:rPr>
              <w:t>Market Value</w:t>
            </w:r>
          </w:p>
        </w:tc>
        <w:tc>
          <w:tcPr>
            <w:tcW w:w="841" w:type="pct"/>
            <w:noWrap/>
            <w:vAlign w:val="center"/>
            <w:hideMark/>
          </w:tcPr>
          <w:p w14:paraId="622CB838"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12.0187</w:t>
            </w:r>
          </w:p>
        </w:tc>
        <w:tc>
          <w:tcPr>
            <w:tcW w:w="842" w:type="pct"/>
            <w:noWrap/>
            <w:vAlign w:val="center"/>
            <w:hideMark/>
          </w:tcPr>
          <w:p w14:paraId="68A43487"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21.9981</w:t>
            </w:r>
          </w:p>
        </w:tc>
        <w:tc>
          <w:tcPr>
            <w:tcW w:w="841" w:type="pct"/>
            <w:noWrap/>
            <w:vAlign w:val="center"/>
            <w:hideMark/>
          </w:tcPr>
          <w:p w14:paraId="7E80065E"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17.2632</w:t>
            </w:r>
          </w:p>
        </w:tc>
        <w:tc>
          <w:tcPr>
            <w:tcW w:w="837" w:type="pct"/>
            <w:noWrap/>
            <w:vAlign w:val="center"/>
            <w:hideMark/>
          </w:tcPr>
          <w:p w14:paraId="1081307F" w14:textId="77777777" w:rsidR="00576CFC" w:rsidRPr="00576CFC" w:rsidRDefault="00576CFC" w:rsidP="009E2CF7">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24.9632</w:t>
            </w:r>
          </w:p>
        </w:tc>
      </w:tr>
    </w:tbl>
    <w:p w14:paraId="4673B318" w14:textId="71D66616" w:rsidR="00576CFC" w:rsidRPr="00DB02EE" w:rsidRDefault="00576CFC" w:rsidP="009E2CF7">
      <w:pPr>
        <w:spacing w:beforeLines="50" w:before="163" w:line="240" w:lineRule="auto"/>
        <w:ind w:firstLine="420"/>
      </w:pPr>
      <w:r>
        <w:fldChar w:fldCharType="begin"/>
      </w:r>
      <w:r>
        <w:instrText xml:space="preserve"> </w:instrText>
      </w:r>
      <w:r>
        <w:rPr>
          <w:rFonts w:hint="eastAsia"/>
        </w:rPr>
        <w:instrText>REF _Ref509338565 \h</w:instrText>
      </w:r>
      <w:r>
        <w:instrText xml:space="preserve"> </w:instrText>
      </w:r>
      <w:r w:rsidR="009E2CF7">
        <w:instrText xml:space="preserve"> \* MERGEFORMAT </w:instrText>
      </w:r>
      <w:r>
        <w:fldChar w:fldCharType="separate"/>
      </w:r>
      <w:r w:rsidR="0016113B">
        <w:rPr>
          <w:rFonts w:hint="eastAsia"/>
        </w:rPr>
        <w:t>表</w:t>
      </w:r>
      <w:r w:rsidR="0016113B">
        <w:rPr>
          <w:noProof/>
        </w:rPr>
        <w:t>4</w:t>
      </w:r>
      <w:r>
        <w:fldChar w:fldCharType="end"/>
      </w:r>
      <w:r>
        <w:rPr>
          <w:rFonts w:hint="eastAsia"/>
        </w:rPr>
        <w:t>列示了部分变量的描述性统计，在</w:t>
      </w:r>
      <w:proofErr w:type="gramStart"/>
      <w:r>
        <w:rPr>
          <w:rFonts w:hint="eastAsia"/>
        </w:rPr>
        <w:t>当月有</w:t>
      </w:r>
      <w:proofErr w:type="gramEnd"/>
      <w:r>
        <w:rPr>
          <w:rFonts w:hint="eastAsia"/>
        </w:rPr>
        <w:t>深度报告发布的标的中</w:t>
      </w:r>
      <m:oMath>
        <m:r>
          <m:rPr>
            <m:sty m:val="p"/>
          </m:rPr>
          <w:rPr>
            <w:rFonts w:ascii="Cambria Math" w:hAnsi="Cambria Math"/>
          </w:rPr>
          <m:t>(Release=1)</m:t>
        </m:r>
      </m:oMath>
      <w:r>
        <w:rPr>
          <w:rFonts w:hint="eastAsia"/>
        </w:rPr>
        <w:t>，异常换手率、分析师及报告关注度、公司盈利水平和总市值都高于无深度报告组，不过两组的公司总资产规模比较接近。很明显的是，异常换手率的均值都大于</w:t>
      </w:r>
      <w:r>
        <w:rPr>
          <w:rFonts w:hint="eastAsia"/>
        </w:rPr>
        <w:t>1</w:t>
      </w:r>
      <w:r>
        <w:rPr>
          <w:rFonts w:hint="eastAsia"/>
        </w:rPr>
        <w:t>，意味着被分析师覆盖的公司总体来说有更高的投资者情绪水平，与</w:t>
      </w:r>
      <w:r w:rsidRPr="008022F8">
        <w:rPr>
          <w:rFonts w:hint="eastAsia"/>
        </w:rPr>
        <w:t>罗衎</w:t>
      </w:r>
      <w:r>
        <w:rPr>
          <w:rFonts w:hint="eastAsia"/>
        </w:rPr>
        <w:t>等（</w:t>
      </w:r>
      <w:r>
        <w:rPr>
          <w:rFonts w:hint="eastAsia"/>
        </w:rPr>
        <w:t>2017</w:t>
      </w:r>
      <w:r>
        <w:rPr>
          <w:rFonts w:hint="eastAsia"/>
        </w:rPr>
        <w:t>）</w:t>
      </w:r>
      <w:r w:rsidRPr="005717F7">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_Ref511743163 \h</w:instrText>
      </w:r>
      <w:r>
        <w:rPr>
          <w:vertAlign w:val="superscript"/>
        </w:rPr>
        <w:instrText xml:space="preserve"> </w:instrText>
      </w:r>
      <w:r>
        <w:rPr>
          <w:vertAlign w:val="superscript"/>
        </w:rPr>
      </w:r>
      <w:r w:rsidR="009E2CF7">
        <w:rPr>
          <w:vertAlign w:val="superscript"/>
        </w:rPr>
        <w:instrText xml:space="preserve"> \* MERGEFORMAT </w:instrText>
      </w:r>
      <w:r>
        <w:rPr>
          <w:vertAlign w:val="superscript"/>
        </w:rPr>
        <w:fldChar w:fldCharType="separate"/>
      </w:r>
      <w:r w:rsidR="0016113B">
        <w:rPr>
          <w:vertAlign w:val="superscript"/>
        </w:rPr>
        <w:t>14</w:t>
      </w:r>
      <w:r>
        <w:rPr>
          <w:vertAlign w:val="superscript"/>
        </w:rPr>
        <w:fldChar w:fldCharType="end"/>
      </w:r>
      <w:r w:rsidRPr="005717F7">
        <w:rPr>
          <w:vertAlign w:val="superscript"/>
        </w:rPr>
        <w:t>]</w:t>
      </w:r>
      <w:r>
        <w:rPr>
          <w:rFonts w:hint="eastAsia"/>
        </w:rPr>
        <w:t>使用高频数据得到的结论相似，即分析</w:t>
      </w:r>
      <w:proofErr w:type="gramStart"/>
      <w:r>
        <w:rPr>
          <w:rFonts w:hint="eastAsia"/>
        </w:rPr>
        <w:t>师报告</w:t>
      </w:r>
      <w:proofErr w:type="gramEnd"/>
      <w:r>
        <w:rPr>
          <w:rFonts w:hint="eastAsia"/>
        </w:rPr>
        <w:t>能够吸引更多的投资者关注度。但本文所计算的个股投资者情绪指数使用滞后变量度量，此外通过宏观和微观两个层次进行回归分析，一定程度上避免了分析师跟踪反向影响投资者情绪带来的内生性问题。</w:t>
      </w:r>
    </w:p>
    <w:p w14:paraId="3B96D5CB" w14:textId="00162CEE" w:rsidR="00C51E79" w:rsidRDefault="00C51E79" w:rsidP="009E2CF7">
      <w:pPr>
        <w:pStyle w:val="1"/>
        <w:spacing w:line="240" w:lineRule="auto"/>
      </w:pPr>
      <w:bookmarkStart w:id="42" w:name="_Toc510120308"/>
      <w:bookmarkStart w:id="43" w:name="_Toc510121728"/>
      <w:bookmarkStart w:id="44" w:name="_Toc510124641"/>
      <w:bookmarkStart w:id="45" w:name="_Toc510124792"/>
      <w:r>
        <w:rPr>
          <w:rFonts w:hint="eastAsia"/>
        </w:rPr>
        <w:t>实证</w:t>
      </w:r>
      <w:bookmarkEnd w:id="42"/>
      <w:bookmarkEnd w:id="43"/>
      <w:bookmarkEnd w:id="44"/>
      <w:bookmarkEnd w:id="45"/>
      <w:r w:rsidR="00370B46">
        <w:rPr>
          <w:rFonts w:hint="eastAsia"/>
        </w:rPr>
        <w:t>结果分析</w:t>
      </w:r>
    </w:p>
    <w:p w14:paraId="7354F65B" w14:textId="7F813D33" w:rsidR="006E7775" w:rsidRPr="00370B46" w:rsidRDefault="00370B46" w:rsidP="009E2CF7">
      <w:pPr>
        <w:pStyle w:val="2"/>
        <w:numPr>
          <w:ilvl w:val="0"/>
          <w:numId w:val="24"/>
        </w:numPr>
        <w:spacing w:line="240" w:lineRule="auto"/>
      </w:pPr>
      <w:bookmarkStart w:id="46" w:name="_Toc510120309"/>
      <w:bookmarkStart w:id="47" w:name="_Toc510121730"/>
      <w:bookmarkStart w:id="48" w:name="_Toc510124642"/>
      <w:bookmarkStart w:id="49" w:name="_Toc510124794"/>
      <w:r w:rsidRPr="00370B46">
        <w:rPr>
          <w:rFonts w:hint="eastAsia"/>
        </w:rPr>
        <w:t>投资者情绪与</w:t>
      </w:r>
      <w:proofErr w:type="gramStart"/>
      <w:r w:rsidR="003947DF" w:rsidRPr="00370B46">
        <w:rPr>
          <w:rFonts w:hint="eastAsia"/>
        </w:rPr>
        <w:t>分析师择时行</w:t>
      </w:r>
      <w:proofErr w:type="gramEnd"/>
      <w:r w:rsidR="003947DF" w:rsidRPr="00370B46">
        <w:rPr>
          <w:rFonts w:hint="eastAsia"/>
        </w:rPr>
        <w:t>为</w:t>
      </w:r>
      <w:bookmarkEnd w:id="46"/>
      <w:bookmarkEnd w:id="47"/>
      <w:bookmarkEnd w:id="48"/>
      <w:bookmarkEnd w:id="49"/>
    </w:p>
    <w:p w14:paraId="38D4A79A" w14:textId="491757DF" w:rsidR="00C1411C" w:rsidRPr="00C1411C" w:rsidRDefault="001E195A" w:rsidP="009E2CF7">
      <w:pPr>
        <w:spacing w:line="240" w:lineRule="auto"/>
        <w:ind w:firstLine="420"/>
      </w:pPr>
      <w:r>
        <w:rPr>
          <w:rFonts w:hint="eastAsia"/>
        </w:rPr>
        <w:t>本部分主要从</w:t>
      </w:r>
      <w:r w:rsidR="00986A71">
        <w:rPr>
          <w:rFonts w:hint="eastAsia"/>
        </w:rPr>
        <w:t>宏观和</w:t>
      </w:r>
      <w:r w:rsidR="0005666F">
        <w:rPr>
          <w:rFonts w:hint="eastAsia"/>
        </w:rPr>
        <w:t>微观</w:t>
      </w:r>
      <w:r>
        <w:rPr>
          <w:rFonts w:hint="eastAsia"/>
        </w:rPr>
        <w:t>两个角度对</w:t>
      </w:r>
      <w:proofErr w:type="gramStart"/>
      <w:r>
        <w:rPr>
          <w:rFonts w:hint="eastAsia"/>
        </w:rPr>
        <w:t>分析师择时行</w:t>
      </w:r>
      <w:proofErr w:type="gramEnd"/>
      <w:r>
        <w:rPr>
          <w:rFonts w:hint="eastAsia"/>
        </w:rPr>
        <w:t>为进行了</w:t>
      </w:r>
      <w:r w:rsidR="00360417">
        <w:rPr>
          <w:rFonts w:hint="eastAsia"/>
        </w:rPr>
        <w:t>检验。</w:t>
      </w:r>
      <w:r>
        <w:rPr>
          <w:rFonts w:hint="eastAsia"/>
        </w:rPr>
        <w:t>首先</w:t>
      </w:r>
      <w:r w:rsidR="00986A71">
        <w:rPr>
          <w:rFonts w:hint="eastAsia"/>
        </w:rPr>
        <w:t>从宏观</w:t>
      </w:r>
      <w:r w:rsidR="00360417">
        <w:rPr>
          <w:rFonts w:hint="eastAsia"/>
        </w:rPr>
        <w:t>层次</w:t>
      </w:r>
      <w:r w:rsidR="00BA011F">
        <w:rPr>
          <w:rFonts w:hint="eastAsia"/>
        </w:rPr>
        <w:t>进行</w:t>
      </w:r>
      <w:r w:rsidR="00360417">
        <w:rPr>
          <w:rFonts w:hint="eastAsia"/>
        </w:rPr>
        <w:t>回归</w:t>
      </w:r>
      <w:r w:rsidR="00BA011F">
        <w:rPr>
          <w:rFonts w:hint="eastAsia"/>
        </w:rPr>
        <w:t>分析，</w:t>
      </w:r>
      <w:r w:rsidR="00360417">
        <w:rPr>
          <w:rFonts w:hint="eastAsia"/>
        </w:rPr>
        <w:t>使用</w:t>
      </w:r>
      <w:r w:rsidR="0005666F">
        <w:rPr>
          <w:rFonts w:hint="eastAsia"/>
        </w:rPr>
        <w:t>所有</w:t>
      </w:r>
      <w:r w:rsidR="00360417">
        <w:rPr>
          <w:rFonts w:hint="eastAsia"/>
        </w:rPr>
        <w:t>分析师各月发布</w:t>
      </w:r>
      <w:r w:rsidR="0005666F">
        <w:rPr>
          <w:rFonts w:hint="eastAsia"/>
        </w:rPr>
        <w:t>的</w:t>
      </w:r>
      <w:r w:rsidR="00360417">
        <w:rPr>
          <w:rFonts w:hint="eastAsia"/>
        </w:rPr>
        <w:t>报告</w:t>
      </w:r>
      <w:r w:rsidR="00A17E1F">
        <w:rPr>
          <w:rFonts w:hint="eastAsia"/>
        </w:rPr>
        <w:t>占当年深度报告总数的比例</w:t>
      </w:r>
      <w:r w:rsidR="00360417">
        <w:rPr>
          <w:rFonts w:hint="eastAsia"/>
        </w:rPr>
        <w:t>度量分析师的择时行为，使用</w:t>
      </w:r>
      <w:r w:rsidR="00A17E1F">
        <w:t>SENT</w:t>
      </w:r>
      <w:r w:rsidR="008A4764">
        <w:t>INX</w:t>
      </w:r>
      <w:r w:rsidR="00360417">
        <w:rPr>
          <w:rFonts w:hint="eastAsia"/>
        </w:rPr>
        <w:t>投资者情绪指数度量各月的投资者情绪高低，并使用市场收益率控制</w:t>
      </w:r>
      <w:r w:rsidR="006E1D07">
        <w:rPr>
          <w:rFonts w:hint="eastAsia"/>
        </w:rPr>
        <w:t>宏观影响因素。</w:t>
      </w:r>
      <w:r w:rsidR="00C1411C" w:rsidRPr="00C1411C">
        <w:rPr>
          <w:rFonts w:hint="eastAsia"/>
        </w:rPr>
        <w:t>报告数量与投资者情绪的折线图如</w:t>
      </w:r>
      <w:r w:rsidR="00C1411C" w:rsidRPr="00C1411C">
        <w:fldChar w:fldCharType="begin"/>
      </w:r>
      <w:r w:rsidR="00C1411C" w:rsidRPr="00C1411C">
        <w:instrText xml:space="preserve"> </w:instrText>
      </w:r>
      <w:r w:rsidR="00C1411C" w:rsidRPr="00C1411C">
        <w:rPr>
          <w:rFonts w:hint="eastAsia"/>
        </w:rPr>
        <w:instrText>REF _Ref514423005 \h</w:instrText>
      </w:r>
      <w:r w:rsidR="00C1411C" w:rsidRPr="00C1411C">
        <w:instrText xml:space="preserve"> </w:instrText>
      </w:r>
      <w:r w:rsidR="009E2CF7">
        <w:instrText xml:space="preserve"> \* MERGEFORMAT </w:instrText>
      </w:r>
      <w:r w:rsidR="00C1411C" w:rsidRPr="00C1411C">
        <w:fldChar w:fldCharType="separate"/>
      </w:r>
      <w:r w:rsidR="0016113B" w:rsidRPr="00C1411C">
        <w:rPr>
          <w:rFonts w:hint="eastAsia"/>
          <w:b/>
        </w:rPr>
        <w:t>图</w:t>
      </w:r>
      <w:r w:rsidR="0016113B">
        <w:rPr>
          <w:b/>
          <w:noProof/>
        </w:rPr>
        <w:t>3</w:t>
      </w:r>
      <w:r w:rsidR="00C1411C" w:rsidRPr="00C1411C">
        <w:fldChar w:fldCharType="end"/>
      </w:r>
      <w:r w:rsidR="00C1411C" w:rsidRPr="00C1411C">
        <w:rPr>
          <w:rFonts w:hint="eastAsia"/>
        </w:rPr>
        <w:t>所示，使用滞后变量计算出的投资者情绪指数波动较之标准化后的报告发布数量平滑，但二者的波动基本同步，可以判断分析</w:t>
      </w:r>
      <w:proofErr w:type="gramStart"/>
      <w:r w:rsidR="00C1411C" w:rsidRPr="00C1411C">
        <w:rPr>
          <w:rFonts w:hint="eastAsia"/>
        </w:rPr>
        <w:t>师发布</w:t>
      </w:r>
      <w:proofErr w:type="gramEnd"/>
      <w:r w:rsidR="00C1411C" w:rsidRPr="00C1411C">
        <w:rPr>
          <w:rFonts w:hint="eastAsia"/>
        </w:rPr>
        <w:t>报告反向影响投资者情绪的可能性较小。</w:t>
      </w:r>
    </w:p>
    <w:p w14:paraId="512E92CA" w14:textId="77777777" w:rsidR="00C1411C" w:rsidRPr="00C1411C" w:rsidRDefault="00C1411C" w:rsidP="009E2CF7">
      <w:pPr>
        <w:spacing w:line="240" w:lineRule="auto"/>
        <w:ind w:firstLineChars="0" w:firstLine="0"/>
        <w:jc w:val="center"/>
      </w:pPr>
      <w:r w:rsidRPr="00C1411C">
        <w:rPr>
          <w:noProof/>
        </w:rPr>
        <w:lastRenderedPageBreak/>
        <w:drawing>
          <wp:inline distT="0" distB="0" distL="0" distR="0" wp14:anchorId="25452F4F" wp14:editId="6A34B35A">
            <wp:extent cx="5029200" cy="25430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2543087"/>
                    </a:xfrm>
                    <a:prstGeom prst="rect">
                      <a:avLst/>
                    </a:prstGeom>
                    <a:noFill/>
                    <a:ln>
                      <a:noFill/>
                    </a:ln>
                  </pic:spPr>
                </pic:pic>
              </a:graphicData>
            </a:graphic>
          </wp:inline>
        </w:drawing>
      </w:r>
    </w:p>
    <w:p w14:paraId="02C2330B" w14:textId="7AFE8918" w:rsidR="00C1411C" w:rsidRPr="00C1411C" w:rsidRDefault="00C1411C" w:rsidP="009E2CF7">
      <w:pPr>
        <w:spacing w:line="240" w:lineRule="auto"/>
        <w:ind w:firstLineChars="0" w:firstLine="0"/>
        <w:jc w:val="center"/>
        <w:rPr>
          <w:b/>
        </w:rPr>
      </w:pPr>
      <w:bookmarkStart w:id="50" w:name="_Ref514423005"/>
      <w:r w:rsidRPr="00C1411C">
        <w:rPr>
          <w:rFonts w:hint="eastAsia"/>
          <w:b/>
        </w:rPr>
        <w:t>图</w:t>
      </w:r>
      <w:r w:rsidRPr="00C1411C">
        <w:rPr>
          <w:b/>
        </w:rPr>
        <w:fldChar w:fldCharType="begin"/>
      </w:r>
      <w:r w:rsidRPr="00C1411C">
        <w:rPr>
          <w:b/>
        </w:rPr>
        <w:instrText xml:space="preserve"> </w:instrText>
      </w:r>
      <w:r w:rsidRPr="00C1411C">
        <w:rPr>
          <w:rFonts w:hint="eastAsia"/>
          <w:b/>
        </w:rPr>
        <w:instrText xml:space="preserve">SEQ </w:instrText>
      </w:r>
      <w:r w:rsidRPr="00C1411C">
        <w:rPr>
          <w:rFonts w:hint="eastAsia"/>
          <w:b/>
        </w:rPr>
        <w:instrText>图</w:instrText>
      </w:r>
      <w:r w:rsidRPr="00C1411C">
        <w:rPr>
          <w:rFonts w:hint="eastAsia"/>
          <w:b/>
        </w:rPr>
        <w:instrText xml:space="preserve"> \* ARABIC</w:instrText>
      </w:r>
      <w:r w:rsidRPr="00C1411C">
        <w:rPr>
          <w:b/>
        </w:rPr>
        <w:instrText xml:space="preserve"> </w:instrText>
      </w:r>
      <w:r w:rsidRPr="00C1411C">
        <w:rPr>
          <w:b/>
        </w:rPr>
        <w:fldChar w:fldCharType="separate"/>
      </w:r>
      <w:r w:rsidR="0016113B">
        <w:rPr>
          <w:b/>
          <w:noProof/>
        </w:rPr>
        <w:t>3</w:t>
      </w:r>
      <w:r w:rsidRPr="00C1411C">
        <w:fldChar w:fldCharType="end"/>
      </w:r>
      <w:bookmarkEnd w:id="50"/>
      <w:r w:rsidRPr="00C1411C">
        <w:rPr>
          <w:b/>
        </w:rPr>
        <w:t xml:space="preserve"> 2009</w:t>
      </w:r>
      <w:r w:rsidRPr="00C1411C">
        <w:rPr>
          <w:rFonts w:hint="eastAsia"/>
          <w:b/>
        </w:rPr>
        <w:t>-</w:t>
      </w:r>
      <w:r w:rsidRPr="00C1411C">
        <w:rPr>
          <w:b/>
        </w:rPr>
        <w:t>2017</w:t>
      </w:r>
      <w:r w:rsidRPr="00C1411C">
        <w:rPr>
          <w:rFonts w:hint="eastAsia"/>
          <w:b/>
        </w:rPr>
        <w:t>年各月投资者情绪与报告发布数量</w:t>
      </w:r>
    </w:p>
    <w:p w14:paraId="54C9EDF0" w14:textId="1F92E5D9" w:rsidR="00732D74" w:rsidRDefault="00595646" w:rsidP="009E2CF7">
      <w:pPr>
        <w:spacing w:line="240" w:lineRule="auto"/>
        <w:ind w:firstLine="420"/>
      </w:pPr>
      <w:r>
        <w:rPr>
          <w:rFonts w:hint="eastAsia"/>
        </w:rPr>
        <w:t>回归结果如</w:t>
      </w:r>
      <w:r w:rsidR="00FC036D">
        <w:fldChar w:fldCharType="begin"/>
      </w:r>
      <w:r w:rsidR="00FC036D">
        <w:instrText xml:space="preserve"> </w:instrText>
      </w:r>
      <w:r w:rsidR="00FC036D">
        <w:rPr>
          <w:rFonts w:hint="eastAsia"/>
        </w:rPr>
        <w:instrText>REF _Ref509306999 \h</w:instrText>
      </w:r>
      <w:r w:rsidR="00FC036D">
        <w:instrText xml:space="preserve"> </w:instrText>
      </w:r>
      <w:r w:rsidR="009E2CF7">
        <w:instrText xml:space="preserve"> \* MERGEFORMAT </w:instrText>
      </w:r>
      <w:r w:rsidR="00FC036D">
        <w:fldChar w:fldCharType="separate"/>
      </w:r>
      <w:r w:rsidR="0016113B">
        <w:rPr>
          <w:rFonts w:hint="eastAsia"/>
        </w:rPr>
        <w:t>表</w:t>
      </w:r>
      <w:r w:rsidR="0016113B">
        <w:rPr>
          <w:noProof/>
        </w:rPr>
        <w:t>5</w:t>
      </w:r>
      <w:r w:rsidR="00FC036D">
        <w:fldChar w:fldCharType="end"/>
      </w:r>
      <w:r>
        <w:rPr>
          <w:rFonts w:hint="eastAsia"/>
        </w:rPr>
        <w:t>所示</w:t>
      </w:r>
      <w:r w:rsidR="00A17E1F">
        <w:rPr>
          <w:rFonts w:hint="eastAsia"/>
        </w:rPr>
        <w:t>，其</w:t>
      </w:r>
      <w:r w:rsidR="006E1D07">
        <w:rPr>
          <w:rFonts w:hint="eastAsia"/>
        </w:rPr>
        <w:t>中</w:t>
      </w:r>
      <w:r w:rsidR="00C1411C">
        <w:rPr>
          <w:rFonts w:hint="eastAsia"/>
        </w:rPr>
        <w:t>列</w:t>
      </w:r>
      <w:r w:rsidR="00C1411C">
        <w:rPr>
          <w:rFonts w:hint="eastAsia"/>
        </w:rPr>
        <w:t xml:space="preserve"> </w:t>
      </w:r>
      <w:r w:rsidR="006E1D07">
        <w:rPr>
          <w:rFonts w:hint="eastAsia"/>
        </w:rPr>
        <w:t>(</w:t>
      </w:r>
      <w:r w:rsidR="006E1D07">
        <w:t>1</w:t>
      </w:r>
      <w:r w:rsidR="006E1D07">
        <w:rPr>
          <w:rFonts w:hint="eastAsia"/>
        </w:rPr>
        <w:t>)</w:t>
      </w:r>
      <w:r w:rsidR="001070B0">
        <w:t xml:space="preserve"> </w:t>
      </w:r>
      <w:proofErr w:type="gramStart"/>
      <w:r w:rsidR="006E1D07">
        <w:rPr>
          <w:rFonts w:hint="eastAsia"/>
        </w:rPr>
        <w:t>代表仅</w:t>
      </w:r>
      <w:proofErr w:type="gramEnd"/>
      <w:r w:rsidR="006E1D07">
        <w:rPr>
          <w:rFonts w:hint="eastAsia"/>
        </w:rPr>
        <w:t>使用情绪指数与报告数量回归的结果，回归系数为</w:t>
      </w:r>
      <w:r w:rsidR="00A17E1F">
        <w:rPr>
          <w:rFonts w:hint="eastAsia"/>
        </w:rPr>
        <w:t>0.0027</w:t>
      </w:r>
      <w:r w:rsidR="006E1D07">
        <w:rPr>
          <w:rFonts w:hint="eastAsia"/>
        </w:rPr>
        <w:t>，在</w:t>
      </w:r>
      <w:r w:rsidR="00A17E1F">
        <w:rPr>
          <w:rFonts w:hint="eastAsia"/>
        </w:rPr>
        <w:t>95</w:t>
      </w:r>
      <w:r w:rsidR="006E1D07">
        <w:rPr>
          <w:rFonts w:hint="eastAsia"/>
        </w:rPr>
        <w:t>%</w:t>
      </w:r>
      <w:r w:rsidR="006E1D07">
        <w:rPr>
          <w:rFonts w:hint="eastAsia"/>
        </w:rPr>
        <w:t>的置信水平上显著；</w:t>
      </w:r>
      <w:r w:rsidR="00C1411C">
        <w:rPr>
          <w:rFonts w:hint="eastAsia"/>
        </w:rPr>
        <w:t>列</w:t>
      </w:r>
      <w:r w:rsidR="00C1411C">
        <w:rPr>
          <w:rFonts w:hint="eastAsia"/>
        </w:rPr>
        <w:t xml:space="preserve"> </w:t>
      </w:r>
      <w:r w:rsidR="006E1D07">
        <w:rPr>
          <w:rFonts w:hint="eastAsia"/>
        </w:rPr>
        <w:t>(</w:t>
      </w:r>
      <w:r w:rsidR="006E1D07">
        <w:t>2</w:t>
      </w:r>
      <w:r w:rsidR="006E1D07">
        <w:rPr>
          <w:rFonts w:hint="eastAsia"/>
        </w:rPr>
        <w:t>)</w:t>
      </w:r>
      <w:r w:rsidR="001070B0">
        <w:t xml:space="preserve"> </w:t>
      </w:r>
      <w:proofErr w:type="gramStart"/>
      <w:r w:rsidR="006E1D07">
        <w:rPr>
          <w:rFonts w:hint="eastAsia"/>
        </w:rPr>
        <w:t>代表仅</w:t>
      </w:r>
      <w:proofErr w:type="gramEnd"/>
      <w:r w:rsidR="006E1D07">
        <w:rPr>
          <w:rFonts w:hint="eastAsia"/>
        </w:rPr>
        <w:t>使用市场综合收益率与报告数量回归的结果，回归系数为</w:t>
      </w:r>
      <w:r w:rsidR="006E1D07">
        <w:rPr>
          <w:rFonts w:hint="eastAsia"/>
        </w:rPr>
        <w:t>-0.0</w:t>
      </w:r>
      <w:r w:rsidR="00A17E1F">
        <w:rPr>
          <w:rFonts w:hint="eastAsia"/>
        </w:rPr>
        <w:t>005</w:t>
      </w:r>
      <w:r w:rsidR="006E1D07">
        <w:rPr>
          <w:rFonts w:hint="eastAsia"/>
        </w:rPr>
        <w:t>；</w:t>
      </w:r>
      <w:r w:rsidR="00C1411C">
        <w:rPr>
          <w:rFonts w:hint="eastAsia"/>
        </w:rPr>
        <w:t>列</w:t>
      </w:r>
      <w:r w:rsidR="00C1411C">
        <w:rPr>
          <w:rFonts w:hint="eastAsia"/>
        </w:rPr>
        <w:t xml:space="preserve"> </w:t>
      </w:r>
      <w:r w:rsidR="006E1D07">
        <w:t>(3)</w:t>
      </w:r>
      <w:r w:rsidR="001070B0">
        <w:t xml:space="preserve"> </w:t>
      </w:r>
      <w:r w:rsidR="006E1D07">
        <w:rPr>
          <w:rFonts w:hint="eastAsia"/>
        </w:rPr>
        <w:t>将</w:t>
      </w:r>
      <w:r w:rsidR="00A17E1F">
        <w:t>SENT</w:t>
      </w:r>
      <w:r w:rsidR="008A4764">
        <w:t>INX</w:t>
      </w:r>
      <w:r w:rsidR="006E1D07">
        <w:rPr>
          <w:rFonts w:hint="eastAsia"/>
        </w:rPr>
        <w:t>情绪指数和市场综合收益率同时纳入模型，</w:t>
      </w:r>
      <w:r w:rsidR="0005666F">
        <w:rPr>
          <w:rFonts w:hint="eastAsia"/>
        </w:rPr>
        <w:t>发现</w:t>
      </w:r>
      <w:r w:rsidR="006E1D07">
        <w:rPr>
          <w:rFonts w:hint="eastAsia"/>
        </w:rPr>
        <w:t>回归系数分别为</w:t>
      </w:r>
      <w:r w:rsidR="006E1D07">
        <w:rPr>
          <w:rFonts w:hint="eastAsia"/>
        </w:rPr>
        <w:t>0.</w:t>
      </w:r>
      <w:r w:rsidR="00732D74">
        <w:rPr>
          <w:rFonts w:hint="eastAsia"/>
        </w:rPr>
        <w:t>002</w:t>
      </w:r>
      <w:r w:rsidR="006E1D07">
        <w:rPr>
          <w:rFonts w:hint="eastAsia"/>
        </w:rPr>
        <w:t>6</w:t>
      </w:r>
      <w:r w:rsidR="006E1D07">
        <w:rPr>
          <w:rFonts w:hint="eastAsia"/>
        </w:rPr>
        <w:t>和</w:t>
      </w:r>
      <w:r w:rsidR="006E1D07">
        <w:rPr>
          <w:rFonts w:hint="eastAsia"/>
        </w:rPr>
        <w:t>-0.0</w:t>
      </w:r>
      <w:r w:rsidR="00732D74">
        <w:rPr>
          <w:rFonts w:hint="eastAsia"/>
        </w:rPr>
        <w:t>005</w:t>
      </w:r>
      <w:r w:rsidR="006E1D07">
        <w:rPr>
          <w:rFonts w:hint="eastAsia"/>
        </w:rPr>
        <w:t>，显著性保持不变。</w:t>
      </w:r>
    </w:p>
    <w:p w14:paraId="65E1BB70" w14:textId="0DFF0F2C" w:rsidR="001E195A" w:rsidRDefault="001E195A" w:rsidP="009E2CF7">
      <w:pPr>
        <w:pStyle w:val="ac"/>
        <w:spacing w:line="240" w:lineRule="auto"/>
      </w:pPr>
      <w:bookmarkStart w:id="51" w:name="_Ref50930699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5</w:t>
      </w:r>
      <w:r>
        <w:fldChar w:fldCharType="end"/>
      </w:r>
      <w:bookmarkEnd w:id="51"/>
      <w:r>
        <w:t xml:space="preserve"> </w:t>
      </w:r>
      <w:proofErr w:type="gramStart"/>
      <w:r>
        <w:rPr>
          <w:rFonts w:hint="eastAsia"/>
        </w:rPr>
        <w:t>分析师择时行</w:t>
      </w:r>
      <w:proofErr w:type="gramEnd"/>
      <w:r>
        <w:rPr>
          <w:rFonts w:hint="eastAsia"/>
        </w:rPr>
        <w:t>为回归结果（</w:t>
      </w:r>
      <w:r>
        <w:rPr>
          <w:rFonts w:hint="eastAsia"/>
        </w:rPr>
        <w:t>A</w:t>
      </w:r>
      <w:r>
        <w:rPr>
          <w:rFonts w:hint="eastAsia"/>
        </w:rPr>
        <w:t>）</w:t>
      </w:r>
    </w:p>
    <w:tbl>
      <w:tblPr>
        <w:tblW w:w="0" w:type="auto"/>
        <w:jc w:val="center"/>
        <w:tblLayout w:type="fixed"/>
        <w:tblCellMar>
          <w:left w:w="144" w:type="dxa"/>
          <w:right w:w="144" w:type="dxa"/>
        </w:tblCellMar>
        <w:tblLook w:val="0000" w:firstRow="0" w:lastRow="0" w:firstColumn="0" w:lastColumn="0" w:noHBand="0" w:noVBand="0"/>
      </w:tblPr>
      <w:tblGrid>
        <w:gridCol w:w="3443"/>
        <w:gridCol w:w="1621"/>
        <w:gridCol w:w="1621"/>
        <w:gridCol w:w="1621"/>
      </w:tblGrid>
      <w:tr w:rsidR="00C1411C" w:rsidRPr="00BC1BAC" w14:paraId="5EB593DF" w14:textId="77777777" w:rsidTr="0016113B">
        <w:trPr>
          <w:jc w:val="center"/>
        </w:trPr>
        <w:tc>
          <w:tcPr>
            <w:tcW w:w="3443" w:type="dxa"/>
            <w:tcBorders>
              <w:top w:val="single" w:sz="4" w:space="0" w:color="auto"/>
              <w:left w:val="nil"/>
              <w:bottom w:val="single" w:sz="6" w:space="0" w:color="auto"/>
              <w:right w:val="nil"/>
            </w:tcBorders>
          </w:tcPr>
          <w:p w14:paraId="2531C42A" w14:textId="77777777" w:rsidR="00C1411C" w:rsidRPr="00BC1BAC" w:rsidRDefault="00C1411C" w:rsidP="009E2CF7">
            <w:pPr>
              <w:autoSpaceDE w:val="0"/>
              <w:autoSpaceDN w:val="0"/>
              <w:adjustRightInd w:val="0"/>
              <w:spacing w:before="79" w:after="79" w:line="240" w:lineRule="auto"/>
              <w:ind w:firstLineChars="0" w:firstLine="0"/>
              <w:rPr>
                <w:b/>
                <w:kern w:val="0"/>
                <w:szCs w:val="21"/>
              </w:rPr>
            </w:pPr>
          </w:p>
        </w:tc>
        <w:tc>
          <w:tcPr>
            <w:tcW w:w="1621" w:type="dxa"/>
            <w:tcBorders>
              <w:top w:val="single" w:sz="4" w:space="0" w:color="auto"/>
              <w:left w:val="nil"/>
              <w:bottom w:val="single" w:sz="6" w:space="0" w:color="auto"/>
              <w:right w:val="nil"/>
            </w:tcBorders>
          </w:tcPr>
          <w:p w14:paraId="013F4A0A" w14:textId="77777777" w:rsidR="00C1411C" w:rsidRPr="00BC1BAC" w:rsidRDefault="00C1411C" w:rsidP="009E2CF7">
            <w:pPr>
              <w:autoSpaceDE w:val="0"/>
              <w:autoSpaceDN w:val="0"/>
              <w:adjustRightInd w:val="0"/>
              <w:spacing w:before="79" w:after="79" w:line="240" w:lineRule="auto"/>
              <w:ind w:firstLineChars="0" w:firstLine="0"/>
              <w:jc w:val="center"/>
              <w:rPr>
                <w:b/>
                <w:kern w:val="0"/>
                <w:szCs w:val="21"/>
              </w:rPr>
            </w:pPr>
            <w:r w:rsidRPr="00BC1BAC">
              <w:rPr>
                <w:b/>
                <w:szCs w:val="21"/>
              </w:rPr>
              <w:t>列</w:t>
            </w:r>
            <w:r w:rsidRPr="00BC1BAC">
              <w:rPr>
                <w:b/>
                <w:szCs w:val="21"/>
              </w:rPr>
              <w:t xml:space="preserve"> (1)</w:t>
            </w:r>
          </w:p>
        </w:tc>
        <w:tc>
          <w:tcPr>
            <w:tcW w:w="1621" w:type="dxa"/>
            <w:tcBorders>
              <w:top w:val="single" w:sz="4" w:space="0" w:color="auto"/>
              <w:left w:val="nil"/>
              <w:bottom w:val="single" w:sz="6" w:space="0" w:color="auto"/>
              <w:right w:val="nil"/>
            </w:tcBorders>
          </w:tcPr>
          <w:p w14:paraId="74081FBF" w14:textId="77777777" w:rsidR="00C1411C" w:rsidRPr="00BC1BAC" w:rsidRDefault="00C1411C" w:rsidP="009E2CF7">
            <w:pPr>
              <w:autoSpaceDE w:val="0"/>
              <w:autoSpaceDN w:val="0"/>
              <w:adjustRightInd w:val="0"/>
              <w:spacing w:before="79" w:after="79" w:line="240" w:lineRule="auto"/>
              <w:ind w:firstLineChars="0" w:firstLine="0"/>
              <w:jc w:val="center"/>
              <w:rPr>
                <w:b/>
                <w:kern w:val="0"/>
                <w:szCs w:val="21"/>
              </w:rPr>
            </w:pPr>
            <w:r w:rsidRPr="00BC1BAC">
              <w:rPr>
                <w:b/>
                <w:szCs w:val="21"/>
              </w:rPr>
              <w:t>列</w:t>
            </w:r>
            <w:r w:rsidRPr="00BC1BAC">
              <w:rPr>
                <w:b/>
                <w:szCs w:val="21"/>
              </w:rPr>
              <w:t xml:space="preserve"> (2)</w:t>
            </w:r>
          </w:p>
        </w:tc>
        <w:tc>
          <w:tcPr>
            <w:tcW w:w="1621" w:type="dxa"/>
            <w:tcBorders>
              <w:top w:val="single" w:sz="4" w:space="0" w:color="auto"/>
              <w:left w:val="nil"/>
              <w:bottom w:val="single" w:sz="6" w:space="0" w:color="auto"/>
              <w:right w:val="nil"/>
            </w:tcBorders>
          </w:tcPr>
          <w:p w14:paraId="76B6D27A" w14:textId="77777777" w:rsidR="00C1411C" w:rsidRPr="00BC1BAC" w:rsidRDefault="00C1411C" w:rsidP="009E2CF7">
            <w:pPr>
              <w:autoSpaceDE w:val="0"/>
              <w:autoSpaceDN w:val="0"/>
              <w:adjustRightInd w:val="0"/>
              <w:spacing w:before="79" w:after="79" w:line="240" w:lineRule="auto"/>
              <w:ind w:firstLineChars="0" w:firstLine="0"/>
              <w:jc w:val="center"/>
              <w:rPr>
                <w:b/>
                <w:kern w:val="0"/>
                <w:szCs w:val="21"/>
              </w:rPr>
            </w:pPr>
            <w:r w:rsidRPr="00BC1BAC">
              <w:rPr>
                <w:b/>
                <w:szCs w:val="21"/>
              </w:rPr>
              <w:t>列</w:t>
            </w:r>
            <w:r w:rsidRPr="00BC1BAC">
              <w:rPr>
                <w:b/>
                <w:szCs w:val="21"/>
              </w:rPr>
              <w:t xml:space="preserve"> (3)</w:t>
            </w:r>
          </w:p>
        </w:tc>
      </w:tr>
      <w:tr w:rsidR="00C1411C" w:rsidRPr="00BC1BAC" w14:paraId="1DF76E9E" w14:textId="77777777" w:rsidTr="0016113B">
        <w:trPr>
          <w:jc w:val="center"/>
        </w:trPr>
        <w:tc>
          <w:tcPr>
            <w:tcW w:w="3443" w:type="dxa"/>
            <w:vMerge w:val="restart"/>
            <w:tcBorders>
              <w:top w:val="single" w:sz="6" w:space="0" w:color="auto"/>
              <w:left w:val="nil"/>
              <w:right w:val="nil"/>
            </w:tcBorders>
          </w:tcPr>
          <w:p w14:paraId="76F6AE18" w14:textId="77777777" w:rsidR="00C1411C" w:rsidRPr="00BC1BAC" w:rsidRDefault="00C1411C" w:rsidP="009E2CF7">
            <w:pPr>
              <w:autoSpaceDE w:val="0"/>
              <w:autoSpaceDN w:val="0"/>
              <w:adjustRightInd w:val="0"/>
              <w:spacing w:line="240" w:lineRule="auto"/>
              <w:ind w:firstLineChars="0" w:firstLine="0"/>
              <w:jc w:val="center"/>
              <w:rPr>
                <w:b/>
                <w:kern w:val="0"/>
                <w:szCs w:val="21"/>
              </w:rPr>
            </w:pPr>
            <w:r w:rsidRPr="00BC1BAC">
              <w:rPr>
                <w:rFonts w:hint="eastAsia"/>
                <w:b/>
                <w:kern w:val="0"/>
                <w:szCs w:val="21"/>
              </w:rPr>
              <w:t>投资者情绪指数</w:t>
            </w:r>
          </w:p>
        </w:tc>
        <w:tc>
          <w:tcPr>
            <w:tcW w:w="1621" w:type="dxa"/>
            <w:tcBorders>
              <w:top w:val="single" w:sz="6" w:space="0" w:color="auto"/>
              <w:left w:val="nil"/>
              <w:bottom w:val="nil"/>
              <w:right w:val="nil"/>
            </w:tcBorders>
            <w:vAlign w:val="center"/>
          </w:tcPr>
          <w:p w14:paraId="7081D7FC"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0.0027</w:t>
            </w:r>
          </w:p>
        </w:tc>
        <w:tc>
          <w:tcPr>
            <w:tcW w:w="1621" w:type="dxa"/>
            <w:tcBorders>
              <w:top w:val="single" w:sz="6" w:space="0" w:color="auto"/>
              <w:left w:val="nil"/>
              <w:bottom w:val="nil"/>
              <w:right w:val="nil"/>
            </w:tcBorders>
            <w:vAlign w:val="center"/>
          </w:tcPr>
          <w:p w14:paraId="4047D5C2" w14:textId="77777777" w:rsidR="00C1411C" w:rsidRPr="00BC1BAC" w:rsidRDefault="00C1411C" w:rsidP="009E2CF7">
            <w:pPr>
              <w:tabs>
                <w:tab w:val="decimal" w:pos="811"/>
              </w:tabs>
              <w:autoSpaceDE w:val="0"/>
              <w:autoSpaceDN w:val="0"/>
              <w:adjustRightInd w:val="0"/>
              <w:spacing w:line="240" w:lineRule="auto"/>
              <w:ind w:firstLineChars="0" w:firstLine="0"/>
              <w:rPr>
                <w:kern w:val="0"/>
                <w:szCs w:val="21"/>
              </w:rPr>
            </w:pPr>
          </w:p>
        </w:tc>
        <w:tc>
          <w:tcPr>
            <w:tcW w:w="1621" w:type="dxa"/>
            <w:tcBorders>
              <w:top w:val="single" w:sz="6" w:space="0" w:color="auto"/>
              <w:left w:val="nil"/>
              <w:bottom w:val="nil"/>
              <w:right w:val="nil"/>
            </w:tcBorders>
            <w:vAlign w:val="center"/>
          </w:tcPr>
          <w:p w14:paraId="1EE04D05"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0.0026</w:t>
            </w:r>
          </w:p>
        </w:tc>
      </w:tr>
      <w:tr w:rsidR="00C1411C" w:rsidRPr="00BC1BAC" w14:paraId="394E648A" w14:textId="77777777" w:rsidTr="0016113B">
        <w:trPr>
          <w:jc w:val="center"/>
        </w:trPr>
        <w:tc>
          <w:tcPr>
            <w:tcW w:w="3443" w:type="dxa"/>
            <w:vMerge/>
            <w:tcBorders>
              <w:left w:val="nil"/>
              <w:bottom w:val="nil"/>
              <w:right w:val="nil"/>
            </w:tcBorders>
          </w:tcPr>
          <w:p w14:paraId="385B66E9" w14:textId="77777777" w:rsidR="00C1411C" w:rsidRPr="00BC1BAC" w:rsidRDefault="00C1411C" w:rsidP="009E2CF7">
            <w:pPr>
              <w:autoSpaceDE w:val="0"/>
              <w:autoSpaceDN w:val="0"/>
              <w:adjustRightInd w:val="0"/>
              <w:spacing w:line="240" w:lineRule="auto"/>
              <w:ind w:firstLineChars="0" w:firstLine="0"/>
              <w:jc w:val="center"/>
              <w:rPr>
                <w:b/>
                <w:kern w:val="0"/>
                <w:szCs w:val="21"/>
              </w:rPr>
            </w:pPr>
          </w:p>
        </w:tc>
        <w:tc>
          <w:tcPr>
            <w:tcW w:w="1621" w:type="dxa"/>
            <w:tcBorders>
              <w:top w:val="nil"/>
              <w:left w:val="nil"/>
              <w:bottom w:val="nil"/>
              <w:right w:val="nil"/>
            </w:tcBorders>
            <w:vAlign w:val="center"/>
          </w:tcPr>
          <w:p w14:paraId="2587C55F"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(2.06)*</w:t>
            </w:r>
          </w:p>
        </w:tc>
        <w:tc>
          <w:tcPr>
            <w:tcW w:w="1621" w:type="dxa"/>
            <w:tcBorders>
              <w:top w:val="nil"/>
              <w:left w:val="nil"/>
              <w:bottom w:val="nil"/>
              <w:right w:val="nil"/>
            </w:tcBorders>
            <w:vAlign w:val="center"/>
          </w:tcPr>
          <w:p w14:paraId="64ABA759" w14:textId="77777777" w:rsidR="00C1411C" w:rsidRPr="00BC1BAC" w:rsidRDefault="00C1411C" w:rsidP="009E2CF7">
            <w:pPr>
              <w:tabs>
                <w:tab w:val="decimal" w:pos="811"/>
              </w:tabs>
              <w:autoSpaceDE w:val="0"/>
              <w:autoSpaceDN w:val="0"/>
              <w:adjustRightInd w:val="0"/>
              <w:spacing w:line="240" w:lineRule="auto"/>
              <w:ind w:firstLineChars="0" w:firstLine="0"/>
              <w:rPr>
                <w:kern w:val="0"/>
                <w:szCs w:val="21"/>
              </w:rPr>
            </w:pPr>
          </w:p>
        </w:tc>
        <w:tc>
          <w:tcPr>
            <w:tcW w:w="1621" w:type="dxa"/>
            <w:tcBorders>
              <w:top w:val="nil"/>
              <w:left w:val="nil"/>
              <w:bottom w:val="nil"/>
              <w:right w:val="nil"/>
            </w:tcBorders>
            <w:vAlign w:val="center"/>
          </w:tcPr>
          <w:p w14:paraId="283FF95E"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(2.03)*</w:t>
            </w:r>
          </w:p>
        </w:tc>
      </w:tr>
      <w:tr w:rsidR="00C1411C" w:rsidRPr="00BC1BAC" w14:paraId="2BA9ADCA" w14:textId="77777777" w:rsidTr="0016113B">
        <w:trPr>
          <w:jc w:val="center"/>
        </w:trPr>
        <w:tc>
          <w:tcPr>
            <w:tcW w:w="3443" w:type="dxa"/>
            <w:vMerge w:val="restart"/>
            <w:tcBorders>
              <w:top w:val="nil"/>
              <w:left w:val="nil"/>
              <w:right w:val="nil"/>
            </w:tcBorders>
          </w:tcPr>
          <w:p w14:paraId="0F73D05C" w14:textId="77777777" w:rsidR="00C1411C" w:rsidRPr="00BC1BAC" w:rsidRDefault="00C1411C" w:rsidP="009E2CF7">
            <w:pPr>
              <w:autoSpaceDE w:val="0"/>
              <w:autoSpaceDN w:val="0"/>
              <w:adjustRightInd w:val="0"/>
              <w:spacing w:line="240" w:lineRule="auto"/>
              <w:ind w:firstLineChars="0" w:firstLine="0"/>
              <w:jc w:val="center"/>
              <w:rPr>
                <w:b/>
                <w:kern w:val="0"/>
                <w:szCs w:val="21"/>
              </w:rPr>
            </w:pPr>
            <w:r w:rsidRPr="00BC1BAC">
              <w:rPr>
                <w:rFonts w:hint="eastAsia"/>
                <w:b/>
                <w:kern w:val="0"/>
                <w:szCs w:val="21"/>
              </w:rPr>
              <w:t>市场收益率</w:t>
            </w:r>
          </w:p>
        </w:tc>
        <w:tc>
          <w:tcPr>
            <w:tcW w:w="1621" w:type="dxa"/>
            <w:tcBorders>
              <w:top w:val="nil"/>
              <w:left w:val="nil"/>
              <w:bottom w:val="nil"/>
              <w:right w:val="nil"/>
            </w:tcBorders>
            <w:vAlign w:val="center"/>
          </w:tcPr>
          <w:p w14:paraId="690D252C"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p>
        </w:tc>
        <w:tc>
          <w:tcPr>
            <w:tcW w:w="1621" w:type="dxa"/>
            <w:tcBorders>
              <w:top w:val="nil"/>
              <w:left w:val="nil"/>
              <w:bottom w:val="nil"/>
              <w:right w:val="nil"/>
            </w:tcBorders>
            <w:vAlign w:val="center"/>
          </w:tcPr>
          <w:p w14:paraId="3857FB53" w14:textId="77777777" w:rsidR="00C1411C" w:rsidRPr="00BC1BAC" w:rsidRDefault="00C1411C" w:rsidP="009E2CF7">
            <w:pPr>
              <w:tabs>
                <w:tab w:val="decimal" w:pos="546"/>
              </w:tabs>
              <w:autoSpaceDE w:val="0"/>
              <w:autoSpaceDN w:val="0"/>
              <w:adjustRightInd w:val="0"/>
              <w:spacing w:line="240" w:lineRule="auto"/>
              <w:ind w:firstLineChars="0" w:firstLine="0"/>
              <w:rPr>
                <w:kern w:val="0"/>
                <w:szCs w:val="21"/>
              </w:rPr>
            </w:pPr>
            <w:r w:rsidRPr="00BC1BAC">
              <w:rPr>
                <w:szCs w:val="21"/>
              </w:rPr>
              <w:t>-0.0005</w:t>
            </w:r>
          </w:p>
        </w:tc>
        <w:tc>
          <w:tcPr>
            <w:tcW w:w="1621" w:type="dxa"/>
            <w:tcBorders>
              <w:top w:val="nil"/>
              <w:left w:val="nil"/>
              <w:bottom w:val="nil"/>
              <w:right w:val="nil"/>
            </w:tcBorders>
            <w:vAlign w:val="center"/>
          </w:tcPr>
          <w:p w14:paraId="22518009"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-0.0005</w:t>
            </w:r>
          </w:p>
        </w:tc>
      </w:tr>
      <w:tr w:rsidR="00C1411C" w:rsidRPr="00BC1BAC" w14:paraId="2DADA771" w14:textId="77777777" w:rsidTr="0016113B">
        <w:trPr>
          <w:jc w:val="center"/>
        </w:trPr>
        <w:tc>
          <w:tcPr>
            <w:tcW w:w="3443" w:type="dxa"/>
            <w:vMerge/>
            <w:tcBorders>
              <w:left w:val="nil"/>
              <w:bottom w:val="nil"/>
              <w:right w:val="nil"/>
            </w:tcBorders>
          </w:tcPr>
          <w:p w14:paraId="277CF407" w14:textId="77777777" w:rsidR="00C1411C" w:rsidRPr="00BC1BAC" w:rsidRDefault="00C1411C" w:rsidP="009E2CF7">
            <w:pPr>
              <w:autoSpaceDE w:val="0"/>
              <w:autoSpaceDN w:val="0"/>
              <w:adjustRightInd w:val="0"/>
              <w:spacing w:line="240" w:lineRule="auto"/>
              <w:ind w:firstLineChars="0" w:firstLine="0"/>
              <w:jc w:val="center"/>
              <w:rPr>
                <w:b/>
                <w:kern w:val="0"/>
                <w:szCs w:val="21"/>
              </w:rPr>
            </w:pPr>
          </w:p>
        </w:tc>
        <w:tc>
          <w:tcPr>
            <w:tcW w:w="1621" w:type="dxa"/>
            <w:tcBorders>
              <w:top w:val="nil"/>
              <w:left w:val="nil"/>
              <w:bottom w:val="nil"/>
              <w:right w:val="nil"/>
            </w:tcBorders>
            <w:vAlign w:val="center"/>
          </w:tcPr>
          <w:p w14:paraId="7FAA7B9E"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p>
        </w:tc>
        <w:tc>
          <w:tcPr>
            <w:tcW w:w="1621" w:type="dxa"/>
            <w:tcBorders>
              <w:top w:val="nil"/>
              <w:left w:val="nil"/>
              <w:bottom w:val="nil"/>
              <w:right w:val="nil"/>
            </w:tcBorders>
            <w:vAlign w:val="center"/>
          </w:tcPr>
          <w:p w14:paraId="4A555CC0" w14:textId="77777777" w:rsidR="00C1411C" w:rsidRPr="00BC1BAC" w:rsidRDefault="00C1411C" w:rsidP="009E2CF7">
            <w:pPr>
              <w:tabs>
                <w:tab w:val="decimal" w:pos="546"/>
              </w:tabs>
              <w:autoSpaceDE w:val="0"/>
              <w:autoSpaceDN w:val="0"/>
              <w:adjustRightInd w:val="0"/>
              <w:spacing w:line="240" w:lineRule="auto"/>
              <w:ind w:firstLineChars="0" w:firstLine="0"/>
              <w:rPr>
                <w:kern w:val="0"/>
                <w:szCs w:val="21"/>
              </w:rPr>
            </w:pPr>
            <w:r w:rsidRPr="00BC1BAC">
              <w:rPr>
                <w:szCs w:val="21"/>
              </w:rPr>
              <w:t>(1.82)</w:t>
            </w:r>
          </w:p>
        </w:tc>
        <w:tc>
          <w:tcPr>
            <w:tcW w:w="1621" w:type="dxa"/>
            <w:tcBorders>
              <w:top w:val="nil"/>
              <w:left w:val="nil"/>
              <w:bottom w:val="nil"/>
              <w:right w:val="nil"/>
            </w:tcBorders>
            <w:vAlign w:val="center"/>
          </w:tcPr>
          <w:p w14:paraId="47D4116F"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(1.79)</w:t>
            </w:r>
          </w:p>
        </w:tc>
      </w:tr>
      <w:tr w:rsidR="00C1411C" w:rsidRPr="00BC1BAC" w14:paraId="2F4539D3" w14:textId="77777777" w:rsidTr="0016113B">
        <w:trPr>
          <w:jc w:val="center"/>
        </w:trPr>
        <w:tc>
          <w:tcPr>
            <w:tcW w:w="3443" w:type="dxa"/>
            <w:vMerge w:val="restart"/>
            <w:tcBorders>
              <w:top w:val="nil"/>
              <w:left w:val="nil"/>
              <w:right w:val="nil"/>
            </w:tcBorders>
          </w:tcPr>
          <w:p w14:paraId="79FD64E7" w14:textId="77777777" w:rsidR="00C1411C" w:rsidRPr="00BC1BAC" w:rsidRDefault="00C1411C" w:rsidP="009E2CF7">
            <w:pPr>
              <w:autoSpaceDE w:val="0"/>
              <w:autoSpaceDN w:val="0"/>
              <w:adjustRightInd w:val="0"/>
              <w:spacing w:line="240" w:lineRule="auto"/>
              <w:ind w:firstLineChars="0" w:firstLine="0"/>
              <w:jc w:val="center"/>
              <w:rPr>
                <w:b/>
                <w:kern w:val="0"/>
                <w:szCs w:val="21"/>
              </w:rPr>
            </w:pPr>
            <w:r w:rsidRPr="00BC1BAC">
              <w:rPr>
                <w:b/>
                <w:szCs w:val="21"/>
              </w:rPr>
              <w:t>_Cons</w:t>
            </w:r>
          </w:p>
        </w:tc>
        <w:tc>
          <w:tcPr>
            <w:tcW w:w="1621" w:type="dxa"/>
            <w:tcBorders>
              <w:top w:val="nil"/>
              <w:left w:val="nil"/>
              <w:bottom w:val="nil"/>
              <w:right w:val="nil"/>
            </w:tcBorders>
            <w:vAlign w:val="center"/>
          </w:tcPr>
          <w:p w14:paraId="0914DD5E"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0.0689</w:t>
            </w:r>
          </w:p>
        </w:tc>
        <w:tc>
          <w:tcPr>
            <w:tcW w:w="1621" w:type="dxa"/>
            <w:tcBorders>
              <w:top w:val="nil"/>
              <w:left w:val="nil"/>
              <w:bottom w:val="nil"/>
              <w:right w:val="nil"/>
            </w:tcBorders>
            <w:vAlign w:val="center"/>
          </w:tcPr>
          <w:p w14:paraId="007D24E9" w14:textId="77777777" w:rsidR="00C1411C" w:rsidRPr="00BC1BAC" w:rsidRDefault="00C1411C" w:rsidP="009E2CF7">
            <w:pPr>
              <w:tabs>
                <w:tab w:val="decimal" w:pos="546"/>
              </w:tabs>
              <w:autoSpaceDE w:val="0"/>
              <w:autoSpaceDN w:val="0"/>
              <w:adjustRightInd w:val="0"/>
              <w:spacing w:line="240" w:lineRule="auto"/>
              <w:ind w:firstLineChars="0" w:firstLine="0"/>
              <w:rPr>
                <w:kern w:val="0"/>
                <w:szCs w:val="21"/>
              </w:rPr>
            </w:pPr>
            <w:r w:rsidRPr="00BC1BAC">
              <w:rPr>
                <w:szCs w:val="21"/>
              </w:rPr>
              <w:t>0.0840</w:t>
            </w:r>
          </w:p>
        </w:tc>
        <w:tc>
          <w:tcPr>
            <w:tcW w:w="1621" w:type="dxa"/>
            <w:tcBorders>
              <w:top w:val="nil"/>
              <w:left w:val="nil"/>
              <w:bottom w:val="nil"/>
              <w:right w:val="nil"/>
            </w:tcBorders>
            <w:vAlign w:val="center"/>
          </w:tcPr>
          <w:p w14:paraId="5BFDB63D"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0.0699</w:t>
            </w:r>
          </w:p>
        </w:tc>
      </w:tr>
      <w:tr w:rsidR="00C1411C" w:rsidRPr="00BC1BAC" w14:paraId="6E039D39" w14:textId="77777777" w:rsidTr="0016113B">
        <w:trPr>
          <w:jc w:val="center"/>
        </w:trPr>
        <w:tc>
          <w:tcPr>
            <w:tcW w:w="3443" w:type="dxa"/>
            <w:vMerge/>
            <w:tcBorders>
              <w:left w:val="nil"/>
              <w:bottom w:val="double" w:sz="4" w:space="0" w:color="auto"/>
              <w:right w:val="nil"/>
            </w:tcBorders>
          </w:tcPr>
          <w:p w14:paraId="0DC815AB" w14:textId="77777777" w:rsidR="00C1411C" w:rsidRPr="00BC1BAC" w:rsidRDefault="00C1411C" w:rsidP="009E2CF7">
            <w:pPr>
              <w:autoSpaceDE w:val="0"/>
              <w:autoSpaceDN w:val="0"/>
              <w:adjustRightInd w:val="0"/>
              <w:spacing w:line="240" w:lineRule="auto"/>
              <w:ind w:firstLineChars="0" w:firstLine="0"/>
              <w:jc w:val="center"/>
              <w:rPr>
                <w:b/>
                <w:kern w:val="0"/>
                <w:szCs w:val="21"/>
              </w:rPr>
            </w:pPr>
          </w:p>
        </w:tc>
        <w:tc>
          <w:tcPr>
            <w:tcW w:w="1621" w:type="dxa"/>
            <w:tcBorders>
              <w:top w:val="nil"/>
              <w:left w:val="nil"/>
              <w:bottom w:val="double" w:sz="4" w:space="0" w:color="auto"/>
              <w:right w:val="nil"/>
            </w:tcBorders>
            <w:vAlign w:val="center"/>
          </w:tcPr>
          <w:p w14:paraId="4FF3F592"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(9.46)**</w:t>
            </w:r>
          </w:p>
        </w:tc>
        <w:tc>
          <w:tcPr>
            <w:tcW w:w="1621" w:type="dxa"/>
            <w:tcBorders>
              <w:top w:val="nil"/>
              <w:left w:val="nil"/>
              <w:bottom w:val="double" w:sz="4" w:space="0" w:color="auto"/>
              <w:right w:val="nil"/>
            </w:tcBorders>
            <w:vAlign w:val="center"/>
          </w:tcPr>
          <w:p w14:paraId="5D20C192" w14:textId="77777777" w:rsidR="00C1411C" w:rsidRPr="00BC1BAC" w:rsidRDefault="00C1411C" w:rsidP="009E2CF7">
            <w:pPr>
              <w:tabs>
                <w:tab w:val="decimal" w:pos="546"/>
              </w:tabs>
              <w:autoSpaceDE w:val="0"/>
              <w:autoSpaceDN w:val="0"/>
              <w:adjustRightInd w:val="0"/>
              <w:spacing w:line="240" w:lineRule="auto"/>
              <w:ind w:firstLineChars="0" w:firstLine="0"/>
              <w:rPr>
                <w:kern w:val="0"/>
                <w:szCs w:val="21"/>
              </w:rPr>
            </w:pPr>
            <w:r w:rsidRPr="00BC1BAC">
              <w:rPr>
                <w:szCs w:val="21"/>
              </w:rPr>
              <w:t>(39.52)**</w:t>
            </w:r>
          </w:p>
        </w:tc>
        <w:tc>
          <w:tcPr>
            <w:tcW w:w="1621" w:type="dxa"/>
            <w:tcBorders>
              <w:top w:val="nil"/>
              <w:left w:val="nil"/>
              <w:bottom w:val="double" w:sz="4" w:space="0" w:color="auto"/>
              <w:right w:val="nil"/>
            </w:tcBorders>
            <w:vAlign w:val="center"/>
          </w:tcPr>
          <w:p w14:paraId="4CAEEE95" w14:textId="77777777" w:rsidR="00C1411C" w:rsidRPr="00BC1BAC" w:rsidRDefault="00C1411C" w:rsidP="009E2CF7">
            <w:pPr>
              <w:tabs>
                <w:tab w:val="decimal" w:pos="538"/>
              </w:tabs>
              <w:autoSpaceDE w:val="0"/>
              <w:autoSpaceDN w:val="0"/>
              <w:adjustRightInd w:val="0"/>
              <w:spacing w:line="240" w:lineRule="auto"/>
              <w:ind w:firstLineChars="0" w:firstLine="0"/>
              <w:rPr>
                <w:kern w:val="0"/>
                <w:szCs w:val="21"/>
              </w:rPr>
            </w:pPr>
            <w:r w:rsidRPr="00BC1BAC">
              <w:rPr>
                <w:szCs w:val="21"/>
              </w:rPr>
              <w:t>(9.66)**</w:t>
            </w:r>
          </w:p>
        </w:tc>
      </w:tr>
      <w:tr w:rsidR="00C1411C" w:rsidRPr="00BC1BAC" w14:paraId="59C15C18" w14:textId="77777777" w:rsidTr="0016113B">
        <w:trPr>
          <w:jc w:val="center"/>
        </w:trPr>
        <w:tc>
          <w:tcPr>
            <w:tcW w:w="3443" w:type="dxa"/>
            <w:tcBorders>
              <w:top w:val="double" w:sz="4" w:space="0" w:color="auto"/>
              <w:left w:val="nil"/>
              <w:right w:val="nil"/>
            </w:tcBorders>
          </w:tcPr>
          <w:p w14:paraId="1BB37E68" w14:textId="77777777" w:rsidR="00C1411C" w:rsidRPr="00B33FD4" w:rsidRDefault="00C1411C" w:rsidP="009E2CF7">
            <w:pPr>
              <w:autoSpaceDE w:val="0"/>
              <w:autoSpaceDN w:val="0"/>
              <w:adjustRightInd w:val="0"/>
              <w:spacing w:line="240" w:lineRule="auto"/>
              <w:ind w:firstLineChars="0" w:firstLine="0"/>
              <w:jc w:val="center"/>
              <w:rPr>
                <w:b/>
                <w:szCs w:val="21"/>
              </w:rPr>
            </w:pPr>
            <w:proofErr w:type="spellStart"/>
            <w:r w:rsidRPr="00B33FD4">
              <w:rPr>
                <w:b/>
                <w:szCs w:val="21"/>
              </w:rPr>
              <w:t>Obs</w:t>
            </w:r>
            <w:proofErr w:type="spellEnd"/>
          </w:p>
        </w:tc>
        <w:tc>
          <w:tcPr>
            <w:tcW w:w="1621" w:type="dxa"/>
            <w:tcBorders>
              <w:top w:val="double" w:sz="4" w:space="0" w:color="auto"/>
              <w:left w:val="nil"/>
              <w:right w:val="nil"/>
            </w:tcBorders>
            <w:vAlign w:val="center"/>
          </w:tcPr>
          <w:p w14:paraId="5005286F" w14:textId="77777777" w:rsidR="00C1411C" w:rsidRPr="00B33FD4" w:rsidRDefault="00C1411C" w:rsidP="009E2CF7">
            <w:pPr>
              <w:autoSpaceDE w:val="0"/>
              <w:autoSpaceDN w:val="0"/>
              <w:adjustRightInd w:val="0"/>
              <w:spacing w:line="240" w:lineRule="auto"/>
              <w:ind w:firstLineChars="0" w:firstLine="0"/>
              <w:jc w:val="center"/>
              <w:rPr>
                <w:b/>
                <w:szCs w:val="21"/>
              </w:rPr>
            </w:pPr>
            <w:r w:rsidRPr="00B33FD4">
              <w:rPr>
                <w:b/>
                <w:szCs w:val="21"/>
              </w:rPr>
              <w:t>108</w:t>
            </w:r>
          </w:p>
        </w:tc>
        <w:tc>
          <w:tcPr>
            <w:tcW w:w="1621" w:type="dxa"/>
            <w:tcBorders>
              <w:top w:val="double" w:sz="4" w:space="0" w:color="auto"/>
              <w:left w:val="nil"/>
              <w:right w:val="nil"/>
            </w:tcBorders>
            <w:vAlign w:val="center"/>
          </w:tcPr>
          <w:p w14:paraId="70ECFD31" w14:textId="77777777" w:rsidR="00C1411C" w:rsidRPr="00B33FD4" w:rsidRDefault="00C1411C" w:rsidP="009E2CF7">
            <w:pPr>
              <w:autoSpaceDE w:val="0"/>
              <w:autoSpaceDN w:val="0"/>
              <w:adjustRightInd w:val="0"/>
              <w:spacing w:line="240" w:lineRule="auto"/>
              <w:ind w:firstLineChars="0" w:firstLine="0"/>
              <w:jc w:val="center"/>
              <w:rPr>
                <w:b/>
                <w:szCs w:val="21"/>
              </w:rPr>
            </w:pPr>
            <w:r w:rsidRPr="00B33FD4">
              <w:rPr>
                <w:b/>
                <w:szCs w:val="21"/>
              </w:rPr>
              <w:t>108</w:t>
            </w:r>
          </w:p>
        </w:tc>
        <w:tc>
          <w:tcPr>
            <w:tcW w:w="1621" w:type="dxa"/>
            <w:tcBorders>
              <w:top w:val="double" w:sz="4" w:space="0" w:color="auto"/>
              <w:left w:val="nil"/>
              <w:right w:val="nil"/>
            </w:tcBorders>
            <w:vAlign w:val="center"/>
          </w:tcPr>
          <w:p w14:paraId="4EBA3CF5" w14:textId="77777777" w:rsidR="00C1411C" w:rsidRPr="00B33FD4" w:rsidRDefault="00C1411C" w:rsidP="009E2CF7">
            <w:pPr>
              <w:autoSpaceDE w:val="0"/>
              <w:autoSpaceDN w:val="0"/>
              <w:adjustRightInd w:val="0"/>
              <w:spacing w:line="240" w:lineRule="auto"/>
              <w:ind w:firstLineChars="0" w:firstLine="0"/>
              <w:jc w:val="center"/>
              <w:rPr>
                <w:b/>
                <w:szCs w:val="21"/>
              </w:rPr>
            </w:pPr>
            <w:r w:rsidRPr="00B33FD4">
              <w:rPr>
                <w:b/>
                <w:szCs w:val="21"/>
              </w:rPr>
              <w:t>108</w:t>
            </w:r>
          </w:p>
        </w:tc>
      </w:tr>
      <w:tr w:rsidR="00C1411C" w:rsidRPr="00BC1BAC" w14:paraId="145EEBE9" w14:textId="77777777" w:rsidTr="0016113B">
        <w:trPr>
          <w:jc w:val="center"/>
        </w:trPr>
        <w:tc>
          <w:tcPr>
            <w:tcW w:w="3443" w:type="dxa"/>
            <w:tcBorders>
              <w:left w:val="nil"/>
              <w:right w:val="nil"/>
            </w:tcBorders>
          </w:tcPr>
          <w:p w14:paraId="69F6DD6E"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F Statistics</w:t>
            </w:r>
          </w:p>
        </w:tc>
        <w:tc>
          <w:tcPr>
            <w:tcW w:w="1621" w:type="dxa"/>
            <w:tcBorders>
              <w:left w:val="nil"/>
              <w:right w:val="nil"/>
            </w:tcBorders>
            <w:vAlign w:val="center"/>
          </w:tcPr>
          <w:p w14:paraId="3E99C790"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4.26</w:t>
            </w:r>
          </w:p>
        </w:tc>
        <w:tc>
          <w:tcPr>
            <w:tcW w:w="1621" w:type="dxa"/>
            <w:tcBorders>
              <w:left w:val="nil"/>
              <w:right w:val="nil"/>
            </w:tcBorders>
            <w:vAlign w:val="center"/>
          </w:tcPr>
          <w:p w14:paraId="2C89A9CB"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3.30</w:t>
            </w:r>
          </w:p>
        </w:tc>
        <w:tc>
          <w:tcPr>
            <w:tcW w:w="1621" w:type="dxa"/>
            <w:tcBorders>
              <w:left w:val="nil"/>
              <w:right w:val="nil"/>
            </w:tcBorders>
            <w:vAlign w:val="center"/>
          </w:tcPr>
          <w:p w14:paraId="3843995A"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3.77</w:t>
            </w:r>
          </w:p>
        </w:tc>
      </w:tr>
      <w:tr w:rsidR="00C1411C" w:rsidRPr="00BC1BAC" w14:paraId="3854CD3E" w14:textId="77777777" w:rsidTr="0016113B">
        <w:trPr>
          <w:jc w:val="center"/>
        </w:trPr>
        <w:tc>
          <w:tcPr>
            <w:tcW w:w="3443" w:type="dxa"/>
            <w:tcBorders>
              <w:top w:val="nil"/>
              <w:left w:val="nil"/>
              <w:bottom w:val="single" w:sz="4" w:space="0" w:color="auto"/>
              <w:right w:val="nil"/>
            </w:tcBorders>
          </w:tcPr>
          <w:p w14:paraId="188D17CC"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R</w:t>
            </w:r>
            <w:r w:rsidRPr="00B33FD4">
              <w:rPr>
                <w:b/>
                <w:szCs w:val="21"/>
                <w:vertAlign w:val="superscript"/>
              </w:rPr>
              <w:t>2</w:t>
            </w:r>
          </w:p>
        </w:tc>
        <w:tc>
          <w:tcPr>
            <w:tcW w:w="1621" w:type="dxa"/>
            <w:tcBorders>
              <w:top w:val="nil"/>
              <w:left w:val="nil"/>
              <w:bottom w:val="single" w:sz="4" w:space="0" w:color="auto"/>
              <w:right w:val="nil"/>
            </w:tcBorders>
            <w:vAlign w:val="center"/>
          </w:tcPr>
          <w:p w14:paraId="77D6B1E4"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0.04</w:t>
            </w:r>
          </w:p>
        </w:tc>
        <w:tc>
          <w:tcPr>
            <w:tcW w:w="1621" w:type="dxa"/>
            <w:tcBorders>
              <w:top w:val="nil"/>
              <w:left w:val="nil"/>
              <w:bottom w:val="single" w:sz="4" w:space="0" w:color="auto"/>
              <w:right w:val="nil"/>
            </w:tcBorders>
            <w:vAlign w:val="center"/>
          </w:tcPr>
          <w:p w14:paraId="02736E4B"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0.03</w:t>
            </w:r>
          </w:p>
        </w:tc>
        <w:tc>
          <w:tcPr>
            <w:tcW w:w="1621" w:type="dxa"/>
            <w:tcBorders>
              <w:top w:val="nil"/>
              <w:left w:val="nil"/>
              <w:bottom w:val="single" w:sz="4" w:space="0" w:color="auto"/>
              <w:right w:val="nil"/>
            </w:tcBorders>
            <w:vAlign w:val="center"/>
          </w:tcPr>
          <w:p w14:paraId="215AED78" w14:textId="77777777" w:rsidR="00C1411C" w:rsidRPr="00B33FD4" w:rsidRDefault="00C1411C" w:rsidP="009E2CF7">
            <w:pPr>
              <w:autoSpaceDE w:val="0"/>
              <w:autoSpaceDN w:val="0"/>
              <w:adjustRightInd w:val="0"/>
              <w:spacing w:line="240" w:lineRule="auto"/>
              <w:ind w:firstLineChars="0" w:firstLine="0"/>
              <w:jc w:val="center"/>
              <w:rPr>
                <w:b/>
                <w:kern w:val="0"/>
                <w:szCs w:val="21"/>
              </w:rPr>
            </w:pPr>
            <w:r w:rsidRPr="00B33FD4">
              <w:rPr>
                <w:b/>
                <w:szCs w:val="21"/>
              </w:rPr>
              <w:t>0.07</w:t>
            </w:r>
          </w:p>
        </w:tc>
      </w:tr>
    </w:tbl>
    <w:p w14:paraId="015D039F" w14:textId="5069FB58" w:rsidR="003C7D82" w:rsidRDefault="009A295C" w:rsidP="009E2CF7">
      <w:pPr>
        <w:pStyle w:val="ad"/>
        <w:spacing w:line="240" w:lineRule="auto"/>
      </w:pPr>
      <w:r>
        <w:rPr>
          <w:rFonts w:hint="eastAsia"/>
        </w:rPr>
        <w:t>注：</w:t>
      </w:r>
      <w:r w:rsidR="003C7D82">
        <w:t xml:space="preserve">* </w:t>
      </w:r>
      <w:r w:rsidR="003C7D82">
        <w:rPr>
          <w:i/>
          <w:iCs/>
        </w:rPr>
        <w:t>p</w:t>
      </w:r>
      <w:r w:rsidR="003C7D82">
        <w:t xml:space="preserve">&lt;0.05; ** </w:t>
      </w:r>
      <w:r w:rsidR="003C7D82">
        <w:rPr>
          <w:i/>
          <w:iCs/>
        </w:rPr>
        <w:t>p</w:t>
      </w:r>
      <w:r w:rsidR="003C7D82">
        <w:t>&lt;0.01</w:t>
      </w:r>
    </w:p>
    <w:p w14:paraId="57ACBAC6" w14:textId="141E1C11" w:rsidR="005156F8" w:rsidRDefault="00732D74" w:rsidP="009E2CF7">
      <w:pPr>
        <w:spacing w:line="240" w:lineRule="auto"/>
        <w:ind w:firstLine="420"/>
      </w:pPr>
      <w:r>
        <w:rPr>
          <w:rFonts w:hint="eastAsia"/>
        </w:rPr>
        <w:t>总体来看，各月的</w:t>
      </w:r>
      <w:r>
        <w:t>SENT</w:t>
      </w:r>
      <w:r w:rsidR="008A4764">
        <w:t>INX</w:t>
      </w:r>
      <w:r>
        <w:rPr>
          <w:rFonts w:hint="eastAsia"/>
        </w:rPr>
        <w:t>情绪指数和深度研究报告报告数量显著正相关，与</w:t>
      </w:r>
      <w:r w:rsidR="00E81A57">
        <w:rPr>
          <w:rFonts w:hint="eastAsia"/>
        </w:rPr>
        <w:t>本文</w:t>
      </w:r>
      <w:r>
        <w:rPr>
          <w:rFonts w:hint="eastAsia"/>
        </w:rPr>
        <w:t>预期</w:t>
      </w:r>
      <w:r w:rsidRPr="00732D74">
        <w:rPr>
          <w:rFonts w:hint="eastAsia"/>
        </w:rPr>
        <w:t>相符</w:t>
      </w:r>
      <w:r w:rsidR="00E81A57">
        <w:rPr>
          <w:rFonts w:hint="eastAsia"/>
        </w:rPr>
        <w:t>，当市场整体投资者情绪高涨时，分析</w:t>
      </w:r>
      <w:proofErr w:type="gramStart"/>
      <w:r w:rsidR="00E81A57">
        <w:rPr>
          <w:rFonts w:hint="eastAsia"/>
        </w:rPr>
        <w:t>师发布</w:t>
      </w:r>
      <w:proofErr w:type="gramEnd"/>
      <w:r w:rsidR="00E81A57">
        <w:rPr>
          <w:rFonts w:hint="eastAsia"/>
        </w:rPr>
        <w:t>的报告数量更多</w:t>
      </w:r>
      <w:r w:rsidRPr="00732D74">
        <w:rPr>
          <w:rFonts w:hint="eastAsia"/>
        </w:rPr>
        <w:t>。</w:t>
      </w:r>
      <w:r w:rsidR="001E195A">
        <w:rPr>
          <w:rFonts w:hint="eastAsia"/>
        </w:rPr>
        <w:t>接下来本文从</w:t>
      </w:r>
      <w:r w:rsidR="00986A71">
        <w:rPr>
          <w:rFonts w:hint="eastAsia"/>
        </w:rPr>
        <w:t>微观</w:t>
      </w:r>
      <w:r w:rsidR="001E195A">
        <w:rPr>
          <w:rFonts w:hint="eastAsia"/>
        </w:rPr>
        <w:t>的角度对分析师是否存在择时行为进行检验。</w:t>
      </w:r>
      <w:r w:rsidR="00B95493">
        <w:rPr>
          <w:rFonts w:hint="eastAsia"/>
        </w:rPr>
        <w:t>为了避免极端值的影响，此处对</w:t>
      </w:r>
      <w:r w:rsidR="00F95BC0">
        <w:rPr>
          <w:rFonts w:hint="eastAsia"/>
        </w:rPr>
        <w:t>R</w:t>
      </w:r>
      <w:r w:rsidR="00F95BC0">
        <w:t>OA</w:t>
      </w:r>
      <w:r w:rsidR="00F95BC0">
        <w:rPr>
          <w:rFonts w:hint="eastAsia"/>
        </w:rPr>
        <w:t>、</w:t>
      </w:r>
      <w:r w:rsidR="00F95BC0">
        <w:t>ROE</w:t>
      </w:r>
      <w:r w:rsidR="00F95BC0">
        <w:rPr>
          <w:rFonts w:hint="eastAsia"/>
        </w:rPr>
        <w:t>等</w:t>
      </w:r>
      <w:r w:rsidR="00F615E7">
        <w:rPr>
          <w:rFonts w:hint="eastAsia"/>
        </w:rPr>
        <w:t>连续型</w:t>
      </w:r>
      <w:r w:rsidR="00B95493">
        <w:rPr>
          <w:rFonts w:hint="eastAsia"/>
        </w:rPr>
        <w:t>数据进行了</w:t>
      </w:r>
      <w:r w:rsidR="00B95493">
        <w:rPr>
          <w:rFonts w:hint="eastAsia"/>
        </w:rPr>
        <w:t>1%</w:t>
      </w:r>
      <w:r w:rsidR="00B95493">
        <w:rPr>
          <w:rFonts w:hint="eastAsia"/>
        </w:rPr>
        <w:t>的缩尾处理</w:t>
      </w:r>
      <w:r w:rsidR="008A4764">
        <w:rPr>
          <w:rFonts w:hint="eastAsia"/>
        </w:rPr>
        <w:t>，将极大和极小值分别替换为</w:t>
      </w:r>
      <w:r w:rsidR="008A4764">
        <w:rPr>
          <w:rFonts w:hint="eastAsia"/>
        </w:rPr>
        <w:t>1</w:t>
      </w:r>
      <w:r w:rsidR="008A4764">
        <w:t>%</w:t>
      </w:r>
      <w:r w:rsidR="008A4764">
        <w:rPr>
          <w:rFonts w:hint="eastAsia"/>
        </w:rPr>
        <w:t>和</w:t>
      </w:r>
      <w:r w:rsidR="008A4764">
        <w:rPr>
          <w:rFonts w:hint="eastAsia"/>
        </w:rPr>
        <w:t>99%</w:t>
      </w:r>
      <w:r w:rsidR="008A4764">
        <w:rPr>
          <w:rFonts w:hint="eastAsia"/>
        </w:rPr>
        <w:t>的水平值</w:t>
      </w:r>
      <w:r w:rsidR="00B95493">
        <w:rPr>
          <w:rFonts w:hint="eastAsia"/>
        </w:rPr>
        <w:t>。</w:t>
      </w:r>
      <w:r w:rsidR="00367A54">
        <w:rPr>
          <w:rFonts w:hint="eastAsia"/>
        </w:rPr>
        <w:t>根据假设</w:t>
      </w:r>
      <w:r w:rsidR="00367A54">
        <w:rPr>
          <w:rFonts w:hint="eastAsia"/>
        </w:rPr>
        <w:t>1</w:t>
      </w:r>
      <w:r w:rsidR="00367A54">
        <w:rPr>
          <w:rFonts w:hint="eastAsia"/>
        </w:rPr>
        <w:t>，分析师倾向于在投资者情绪高涨的时期发布报告，预期度量情绪的异常换手率指标系数为正。</w:t>
      </w:r>
      <w:r w:rsidR="006D1172">
        <w:rPr>
          <w:rFonts w:hint="eastAsia"/>
        </w:rPr>
        <w:t>回归结果如</w:t>
      </w:r>
      <w:r w:rsidR="00681347">
        <w:fldChar w:fldCharType="begin"/>
      </w:r>
      <w:r w:rsidR="00681347">
        <w:instrText xml:space="preserve"> </w:instrText>
      </w:r>
      <w:r w:rsidR="00681347">
        <w:rPr>
          <w:rFonts w:hint="eastAsia"/>
        </w:rPr>
        <w:instrText>REF _Ref509338566 \h</w:instrText>
      </w:r>
      <w:r w:rsidR="00681347">
        <w:instrText xml:space="preserve"> </w:instrText>
      </w:r>
      <w:r w:rsidR="00FB532D">
        <w:instrText xml:space="preserve"> \* MERGEFORMAT </w:instrText>
      </w:r>
      <w:r w:rsidR="00681347">
        <w:fldChar w:fldCharType="separate"/>
      </w:r>
      <w:r w:rsidR="0016113B">
        <w:rPr>
          <w:rFonts w:hint="eastAsia"/>
        </w:rPr>
        <w:t>表</w:t>
      </w:r>
      <w:r w:rsidR="0016113B">
        <w:t>6</w:t>
      </w:r>
      <w:r w:rsidR="00681347">
        <w:fldChar w:fldCharType="end"/>
      </w:r>
      <w:r w:rsidR="006D1172">
        <w:rPr>
          <w:rFonts w:hint="eastAsia"/>
        </w:rPr>
        <w:t>所示。</w:t>
      </w:r>
    </w:p>
    <w:p w14:paraId="7F086AA4" w14:textId="2C3251F7" w:rsidR="00DD3994" w:rsidRDefault="00DD3994" w:rsidP="009E2CF7">
      <w:pPr>
        <w:pStyle w:val="ac"/>
        <w:spacing w:line="240" w:lineRule="auto"/>
      </w:pPr>
      <w:bookmarkStart w:id="52" w:name="_Ref50933856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6</w:t>
      </w:r>
      <w:r>
        <w:fldChar w:fldCharType="end"/>
      </w:r>
      <w:bookmarkEnd w:id="52"/>
      <w:r>
        <w:t xml:space="preserve"> </w:t>
      </w:r>
      <w:proofErr w:type="gramStart"/>
      <w:r>
        <w:rPr>
          <w:rFonts w:hint="eastAsia"/>
        </w:rPr>
        <w:t>分析师择时行</w:t>
      </w:r>
      <w:proofErr w:type="gramEnd"/>
      <w:r>
        <w:rPr>
          <w:rFonts w:hint="eastAsia"/>
        </w:rPr>
        <w:t>为回归结果</w:t>
      </w:r>
      <w:r>
        <w:rPr>
          <w:rFonts w:hint="eastAsia"/>
          <w:noProof/>
        </w:rPr>
        <w:t>（</w:t>
      </w:r>
      <w:r>
        <w:rPr>
          <w:rFonts w:hint="eastAsia"/>
          <w:noProof/>
        </w:rPr>
        <w:t>B</w:t>
      </w:r>
      <w:r>
        <w:rPr>
          <w:rFonts w:hint="eastAsia"/>
          <w:noProof/>
        </w:rPr>
        <w:t>）</w:t>
      </w:r>
    </w:p>
    <w:tbl>
      <w:tblPr>
        <w:tblW w:w="8306" w:type="dxa"/>
        <w:jc w:val="center"/>
        <w:tblLayout w:type="fixed"/>
        <w:tblCellMar>
          <w:left w:w="144" w:type="dxa"/>
          <w:right w:w="144" w:type="dxa"/>
        </w:tblCellMar>
        <w:tblLook w:val="0000" w:firstRow="0" w:lastRow="0" w:firstColumn="0" w:lastColumn="0" w:noHBand="0" w:noVBand="0"/>
      </w:tblPr>
      <w:tblGrid>
        <w:gridCol w:w="1710"/>
        <w:gridCol w:w="1649"/>
        <w:gridCol w:w="1649"/>
        <w:gridCol w:w="1649"/>
        <w:gridCol w:w="1649"/>
      </w:tblGrid>
      <w:tr w:rsidR="00F95BC0" w:rsidRPr="00F95BC0" w14:paraId="207FA9CC" w14:textId="77777777" w:rsidTr="00F95BC0">
        <w:trPr>
          <w:jc w:val="center"/>
        </w:trPr>
        <w:tc>
          <w:tcPr>
            <w:tcW w:w="1710" w:type="dxa"/>
            <w:tcBorders>
              <w:top w:val="single" w:sz="6" w:space="0" w:color="auto"/>
              <w:left w:val="nil"/>
              <w:right w:val="nil"/>
            </w:tcBorders>
            <w:vAlign w:val="center"/>
          </w:tcPr>
          <w:p w14:paraId="52349EF7" w14:textId="77777777" w:rsidR="00F95BC0" w:rsidRPr="00F95BC0" w:rsidRDefault="00F95BC0" w:rsidP="009E2CF7">
            <w:pPr>
              <w:autoSpaceDE w:val="0"/>
              <w:autoSpaceDN w:val="0"/>
              <w:adjustRightInd w:val="0"/>
              <w:spacing w:before="79" w:after="79" w:line="240" w:lineRule="auto"/>
              <w:ind w:firstLineChars="0" w:firstLine="0"/>
              <w:jc w:val="center"/>
              <w:rPr>
                <w:b/>
                <w:kern w:val="0"/>
                <w:szCs w:val="21"/>
              </w:rPr>
            </w:pPr>
          </w:p>
        </w:tc>
        <w:tc>
          <w:tcPr>
            <w:tcW w:w="1649" w:type="dxa"/>
            <w:tcBorders>
              <w:top w:val="single" w:sz="6" w:space="0" w:color="auto"/>
              <w:left w:val="nil"/>
              <w:bottom w:val="nil"/>
              <w:right w:val="nil"/>
            </w:tcBorders>
            <w:vAlign w:val="center"/>
          </w:tcPr>
          <w:p w14:paraId="47C35913" w14:textId="77777777" w:rsidR="00F95BC0" w:rsidRPr="00F95BC0" w:rsidRDefault="00F95BC0" w:rsidP="009E2CF7">
            <w:pPr>
              <w:autoSpaceDE w:val="0"/>
              <w:autoSpaceDN w:val="0"/>
              <w:adjustRightInd w:val="0"/>
              <w:spacing w:before="79" w:after="79" w:line="240" w:lineRule="auto"/>
              <w:ind w:firstLineChars="0" w:firstLine="0"/>
              <w:jc w:val="center"/>
              <w:rPr>
                <w:b/>
                <w:kern w:val="0"/>
                <w:szCs w:val="21"/>
              </w:rPr>
            </w:pPr>
            <w:r w:rsidRPr="00F95BC0">
              <w:rPr>
                <w:b/>
                <w:kern w:val="0"/>
                <w:szCs w:val="21"/>
              </w:rPr>
              <w:t>列</w:t>
            </w:r>
            <w:r w:rsidRPr="00F95BC0">
              <w:rPr>
                <w:b/>
                <w:kern w:val="0"/>
                <w:szCs w:val="21"/>
              </w:rPr>
              <w:t xml:space="preserve"> (4)</w:t>
            </w:r>
          </w:p>
        </w:tc>
        <w:tc>
          <w:tcPr>
            <w:tcW w:w="1649" w:type="dxa"/>
            <w:tcBorders>
              <w:top w:val="single" w:sz="6" w:space="0" w:color="auto"/>
              <w:left w:val="nil"/>
              <w:bottom w:val="nil"/>
              <w:right w:val="nil"/>
            </w:tcBorders>
            <w:vAlign w:val="center"/>
          </w:tcPr>
          <w:p w14:paraId="2C3D0499" w14:textId="77777777" w:rsidR="00F95BC0" w:rsidRPr="00F95BC0" w:rsidRDefault="00F95BC0" w:rsidP="009E2CF7">
            <w:pPr>
              <w:autoSpaceDE w:val="0"/>
              <w:autoSpaceDN w:val="0"/>
              <w:adjustRightInd w:val="0"/>
              <w:spacing w:before="79" w:after="79" w:line="240" w:lineRule="auto"/>
              <w:ind w:firstLineChars="0" w:firstLine="0"/>
              <w:jc w:val="center"/>
              <w:rPr>
                <w:b/>
                <w:kern w:val="0"/>
                <w:szCs w:val="21"/>
              </w:rPr>
            </w:pPr>
            <w:r w:rsidRPr="00F95BC0">
              <w:rPr>
                <w:b/>
                <w:kern w:val="0"/>
                <w:szCs w:val="21"/>
              </w:rPr>
              <w:t>列</w:t>
            </w:r>
            <w:r w:rsidRPr="00F95BC0">
              <w:rPr>
                <w:b/>
                <w:kern w:val="0"/>
                <w:szCs w:val="21"/>
              </w:rPr>
              <w:t xml:space="preserve"> (5)</w:t>
            </w:r>
          </w:p>
        </w:tc>
        <w:tc>
          <w:tcPr>
            <w:tcW w:w="1649" w:type="dxa"/>
            <w:tcBorders>
              <w:top w:val="single" w:sz="6" w:space="0" w:color="auto"/>
              <w:left w:val="nil"/>
              <w:bottom w:val="nil"/>
              <w:right w:val="nil"/>
            </w:tcBorders>
            <w:vAlign w:val="center"/>
          </w:tcPr>
          <w:p w14:paraId="3BE61B21" w14:textId="77777777" w:rsidR="00F95BC0" w:rsidRPr="00F95BC0" w:rsidRDefault="00F95BC0" w:rsidP="009E2CF7">
            <w:pPr>
              <w:autoSpaceDE w:val="0"/>
              <w:autoSpaceDN w:val="0"/>
              <w:adjustRightInd w:val="0"/>
              <w:spacing w:before="79" w:after="79" w:line="240" w:lineRule="auto"/>
              <w:ind w:firstLineChars="0" w:firstLine="0"/>
              <w:jc w:val="center"/>
              <w:rPr>
                <w:b/>
                <w:kern w:val="0"/>
                <w:szCs w:val="21"/>
              </w:rPr>
            </w:pPr>
            <w:r w:rsidRPr="00F95BC0">
              <w:rPr>
                <w:b/>
                <w:kern w:val="0"/>
                <w:szCs w:val="21"/>
              </w:rPr>
              <w:t>列</w:t>
            </w:r>
            <w:r w:rsidRPr="00F95BC0">
              <w:rPr>
                <w:b/>
                <w:kern w:val="0"/>
                <w:szCs w:val="21"/>
              </w:rPr>
              <w:t xml:space="preserve"> (6)</w:t>
            </w:r>
          </w:p>
        </w:tc>
        <w:tc>
          <w:tcPr>
            <w:tcW w:w="1649" w:type="dxa"/>
            <w:tcBorders>
              <w:top w:val="single" w:sz="6" w:space="0" w:color="auto"/>
              <w:left w:val="nil"/>
              <w:bottom w:val="nil"/>
              <w:right w:val="nil"/>
            </w:tcBorders>
            <w:vAlign w:val="center"/>
          </w:tcPr>
          <w:p w14:paraId="05AB87A6" w14:textId="77777777" w:rsidR="00F95BC0" w:rsidRPr="00F95BC0" w:rsidRDefault="00F95BC0" w:rsidP="009E2CF7">
            <w:pPr>
              <w:autoSpaceDE w:val="0"/>
              <w:autoSpaceDN w:val="0"/>
              <w:adjustRightInd w:val="0"/>
              <w:spacing w:before="79" w:after="79" w:line="240" w:lineRule="auto"/>
              <w:ind w:firstLineChars="0" w:firstLine="0"/>
              <w:jc w:val="center"/>
              <w:rPr>
                <w:b/>
                <w:kern w:val="0"/>
                <w:szCs w:val="21"/>
              </w:rPr>
            </w:pPr>
            <w:r w:rsidRPr="00F95BC0">
              <w:rPr>
                <w:b/>
                <w:kern w:val="0"/>
                <w:szCs w:val="21"/>
              </w:rPr>
              <w:t>列</w:t>
            </w:r>
            <w:r w:rsidRPr="00F95BC0">
              <w:rPr>
                <w:b/>
                <w:kern w:val="0"/>
                <w:szCs w:val="21"/>
              </w:rPr>
              <w:t xml:space="preserve"> (7)</w:t>
            </w:r>
          </w:p>
        </w:tc>
      </w:tr>
      <w:tr w:rsidR="00F95BC0" w:rsidRPr="00F95BC0" w14:paraId="141E607C" w14:textId="77777777" w:rsidTr="00F95BC0">
        <w:trPr>
          <w:jc w:val="center"/>
        </w:trPr>
        <w:tc>
          <w:tcPr>
            <w:tcW w:w="1710" w:type="dxa"/>
            <w:vMerge w:val="restart"/>
            <w:tcBorders>
              <w:top w:val="single" w:sz="6" w:space="0" w:color="auto"/>
              <w:left w:val="nil"/>
              <w:right w:val="nil"/>
            </w:tcBorders>
          </w:tcPr>
          <w:p w14:paraId="5CA1BD51"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rFonts w:hint="eastAsia"/>
                <w:b/>
                <w:kern w:val="0"/>
                <w:szCs w:val="21"/>
              </w:rPr>
              <w:t>异常换手率</w:t>
            </w:r>
          </w:p>
        </w:tc>
        <w:tc>
          <w:tcPr>
            <w:tcW w:w="1649" w:type="dxa"/>
            <w:tcBorders>
              <w:top w:val="single" w:sz="6" w:space="0" w:color="auto"/>
              <w:left w:val="nil"/>
              <w:bottom w:val="nil"/>
              <w:right w:val="nil"/>
            </w:tcBorders>
            <w:vAlign w:val="center"/>
          </w:tcPr>
          <w:p w14:paraId="43E8ADD5"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0.0681</w:t>
            </w:r>
          </w:p>
        </w:tc>
        <w:tc>
          <w:tcPr>
            <w:tcW w:w="1649" w:type="dxa"/>
            <w:tcBorders>
              <w:top w:val="single" w:sz="6" w:space="0" w:color="auto"/>
              <w:left w:val="nil"/>
              <w:bottom w:val="nil"/>
              <w:right w:val="nil"/>
            </w:tcBorders>
            <w:vAlign w:val="center"/>
          </w:tcPr>
          <w:p w14:paraId="5061A35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single" w:sz="6" w:space="0" w:color="auto"/>
              <w:left w:val="nil"/>
              <w:bottom w:val="nil"/>
              <w:right w:val="nil"/>
            </w:tcBorders>
            <w:vAlign w:val="center"/>
          </w:tcPr>
          <w:p w14:paraId="4CC31339"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0.0488</w:t>
            </w:r>
          </w:p>
        </w:tc>
        <w:tc>
          <w:tcPr>
            <w:tcW w:w="1649" w:type="dxa"/>
            <w:tcBorders>
              <w:top w:val="single" w:sz="6" w:space="0" w:color="auto"/>
              <w:left w:val="nil"/>
              <w:bottom w:val="nil"/>
              <w:right w:val="nil"/>
            </w:tcBorders>
            <w:vAlign w:val="center"/>
          </w:tcPr>
          <w:p w14:paraId="72C53F68"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4D6330A5" w14:textId="77777777" w:rsidTr="00F95BC0">
        <w:trPr>
          <w:jc w:val="center"/>
        </w:trPr>
        <w:tc>
          <w:tcPr>
            <w:tcW w:w="1710" w:type="dxa"/>
            <w:vMerge/>
            <w:tcBorders>
              <w:left w:val="nil"/>
              <w:bottom w:val="nil"/>
              <w:right w:val="nil"/>
            </w:tcBorders>
          </w:tcPr>
          <w:p w14:paraId="6C683782"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7526547C"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(6.34)**</w:t>
            </w:r>
          </w:p>
        </w:tc>
        <w:tc>
          <w:tcPr>
            <w:tcW w:w="1649" w:type="dxa"/>
            <w:tcBorders>
              <w:top w:val="nil"/>
              <w:left w:val="nil"/>
              <w:bottom w:val="nil"/>
              <w:right w:val="nil"/>
            </w:tcBorders>
            <w:vAlign w:val="center"/>
          </w:tcPr>
          <w:p w14:paraId="5A84065E"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15F51E97"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(4.52)**</w:t>
            </w:r>
          </w:p>
        </w:tc>
        <w:tc>
          <w:tcPr>
            <w:tcW w:w="1649" w:type="dxa"/>
            <w:tcBorders>
              <w:top w:val="nil"/>
              <w:left w:val="nil"/>
              <w:bottom w:val="nil"/>
              <w:right w:val="nil"/>
            </w:tcBorders>
            <w:vAlign w:val="center"/>
          </w:tcPr>
          <w:p w14:paraId="77A3438B"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29C289D4" w14:textId="77777777" w:rsidTr="00F95BC0">
        <w:trPr>
          <w:jc w:val="center"/>
        </w:trPr>
        <w:tc>
          <w:tcPr>
            <w:tcW w:w="1710" w:type="dxa"/>
            <w:vMerge w:val="restart"/>
            <w:tcBorders>
              <w:top w:val="nil"/>
              <w:left w:val="nil"/>
              <w:right w:val="nil"/>
            </w:tcBorders>
          </w:tcPr>
          <w:p w14:paraId="714DFB3C"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rFonts w:hint="eastAsia"/>
                <w:b/>
                <w:kern w:val="0"/>
                <w:szCs w:val="21"/>
              </w:rPr>
              <w:t>分析</w:t>
            </w:r>
            <w:proofErr w:type="gramStart"/>
            <w:r w:rsidRPr="00F95BC0">
              <w:rPr>
                <w:rFonts w:hint="eastAsia"/>
                <w:b/>
                <w:kern w:val="0"/>
                <w:szCs w:val="21"/>
              </w:rPr>
              <w:t>师关注</w:t>
            </w:r>
            <w:proofErr w:type="gramEnd"/>
            <w:r w:rsidRPr="00F95BC0">
              <w:rPr>
                <w:rFonts w:hint="eastAsia"/>
                <w:b/>
                <w:kern w:val="0"/>
                <w:szCs w:val="21"/>
              </w:rPr>
              <w:t>度</w:t>
            </w:r>
          </w:p>
        </w:tc>
        <w:tc>
          <w:tcPr>
            <w:tcW w:w="1649" w:type="dxa"/>
            <w:tcBorders>
              <w:top w:val="nil"/>
              <w:left w:val="nil"/>
              <w:bottom w:val="nil"/>
              <w:right w:val="nil"/>
            </w:tcBorders>
            <w:vAlign w:val="center"/>
          </w:tcPr>
          <w:p w14:paraId="57AC301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0.0691</w:t>
            </w:r>
          </w:p>
        </w:tc>
        <w:tc>
          <w:tcPr>
            <w:tcW w:w="1649" w:type="dxa"/>
            <w:tcBorders>
              <w:top w:val="nil"/>
              <w:left w:val="nil"/>
              <w:bottom w:val="nil"/>
              <w:right w:val="nil"/>
            </w:tcBorders>
            <w:vAlign w:val="center"/>
          </w:tcPr>
          <w:p w14:paraId="03BD056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0.0690</w:t>
            </w:r>
          </w:p>
        </w:tc>
        <w:tc>
          <w:tcPr>
            <w:tcW w:w="1649" w:type="dxa"/>
            <w:tcBorders>
              <w:top w:val="nil"/>
              <w:left w:val="nil"/>
              <w:bottom w:val="nil"/>
              <w:right w:val="nil"/>
            </w:tcBorders>
            <w:vAlign w:val="center"/>
          </w:tcPr>
          <w:p w14:paraId="0583D765"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2DEAF4EA"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40320117" w14:textId="77777777" w:rsidTr="00F95BC0">
        <w:trPr>
          <w:jc w:val="center"/>
        </w:trPr>
        <w:tc>
          <w:tcPr>
            <w:tcW w:w="1710" w:type="dxa"/>
            <w:vMerge/>
            <w:tcBorders>
              <w:left w:val="nil"/>
              <w:bottom w:val="nil"/>
              <w:right w:val="nil"/>
            </w:tcBorders>
          </w:tcPr>
          <w:p w14:paraId="272E552C"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37863394"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(87.29)**</w:t>
            </w:r>
          </w:p>
        </w:tc>
        <w:tc>
          <w:tcPr>
            <w:tcW w:w="1649" w:type="dxa"/>
            <w:tcBorders>
              <w:top w:val="nil"/>
              <w:left w:val="nil"/>
              <w:bottom w:val="nil"/>
              <w:right w:val="nil"/>
            </w:tcBorders>
            <w:vAlign w:val="center"/>
          </w:tcPr>
          <w:p w14:paraId="32759041"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(87.22)**</w:t>
            </w:r>
          </w:p>
        </w:tc>
        <w:tc>
          <w:tcPr>
            <w:tcW w:w="1649" w:type="dxa"/>
            <w:tcBorders>
              <w:top w:val="nil"/>
              <w:left w:val="nil"/>
              <w:bottom w:val="nil"/>
              <w:right w:val="nil"/>
            </w:tcBorders>
            <w:vAlign w:val="center"/>
          </w:tcPr>
          <w:p w14:paraId="632BDF2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251C0D2B"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4AFD90D1" w14:textId="77777777" w:rsidTr="00F95BC0">
        <w:trPr>
          <w:jc w:val="center"/>
        </w:trPr>
        <w:tc>
          <w:tcPr>
            <w:tcW w:w="1710" w:type="dxa"/>
            <w:vMerge w:val="restart"/>
            <w:tcBorders>
              <w:top w:val="nil"/>
              <w:left w:val="nil"/>
              <w:right w:val="nil"/>
            </w:tcBorders>
          </w:tcPr>
          <w:p w14:paraId="59609A5C"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ROA</w:t>
            </w:r>
          </w:p>
        </w:tc>
        <w:tc>
          <w:tcPr>
            <w:tcW w:w="1649" w:type="dxa"/>
            <w:tcBorders>
              <w:top w:val="nil"/>
              <w:left w:val="nil"/>
              <w:bottom w:val="nil"/>
              <w:right w:val="nil"/>
            </w:tcBorders>
            <w:vAlign w:val="center"/>
          </w:tcPr>
          <w:p w14:paraId="6A0E8E71"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0.0004</w:t>
            </w:r>
          </w:p>
        </w:tc>
        <w:tc>
          <w:tcPr>
            <w:tcW w:w="1649" w:type="dxa"/>
            <w:tcBorders>
              <w:top w:val="nil"/>
              <w:left w:val="nil"/>
              <w:bottom w:val="nil"/>
              <w:right w:val="nil"/>
            </w:tcBorders>
            <w:vAlign w:val="center"/>
          </w:tcPr>
          <w:p w14:paraId="4B7B68C8"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0.0004</w:t>
            </w:r>
          </w:p>
        </w:tc>
        <w:tc>
          <w:tcPr>
            <w:tcW w:w="1649" w:type="dxa"/>
            <w:tcBorders>
              <w:top w:val="nil"/>
              <w:left w:val="nil"/>
              <w:bottom w:val="nil"/>
              <w:right w:val="nil"/>
            </w:tcBorders>
            <w:vAlign w:val="center"/>
          </w:tcPr>
          <w:p w14:paraId="586F916E"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4B2AFB75"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506D192A" w14:textId="77777777" w:rsidTr="00F95BC0">
        <w:trPr>
          <w:jc w:val="center"/>
        </w:trPr>
        <w:tc>
          <w:tcPr>
            <w:tcW w:w="1710" w:type="dxa"/>
            <w:vMerge/>
            <w:tcBorders>
              <w:left w:val="nil"/>
              <w:bottom w:val="nil"/>
              <w:right w:val="nil"/>
            </w:tcBorders>
          </w:tcPr>
          <w:p w14:paraId="7CA98F8B"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0FF4BDBC"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(0.28)</w:t>
            </w:r>
          </w:p>
        </w:tc>
        <w:tc>
          <w:tcPr>
            <w:tcW w:w="1649" w:type="dxa"/>
            <w:tcBorders>
              <w:top w:val="nil"/>
              <w:left w:val="nil"/>
              <w:bottom w:val="nil"/>
              <w:right w:val="nil"/>
            </w:tcBorders>
            <w:vAlign w:val="center"/>
          </w:tcPr>
          <w:p w14:paraId="3B1FA10D"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(0.27)</w:t>
            </w:r>
          </w:p>
        </w:tc>
        <w:tc>
          <w:tcPr>
            <w:tcW w:w="1649" w:type="dxa"/>
            <w:tcBorders>
              <w:top w:val="nil"/>
              <w:left w:val="nil"/>
              <w:bottom w:val="nil"/>
              <w:right w:val="nil"/>
            </w:tcBorders>
            <w:vAlign w:val="center"/>
          </w:tcPr>
          <w:p w14:paraId="47723BB3"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046922EA"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32EA7764" w14:textId="77777777" w:rsidTr="00F95BC0">
        <w:trPr>
          <w:jc w:val="center"/>
        </w:trPr>
        <w:tc>
          <w:tcPr>
            <w:tcW w:w="1710" w:type="dxa"/>
            <w:vMerge w:val="restart"/>
            <w:tcBorders>
              <w:top w:val="nil"/>
              <w:left w:val="nil"/>
              <w:right w:val="nil"/>
            </w:tcBorders>
          </w:tcPr>
          <w:p w14:paraId="046B35E8"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rFonts w:hint="eastAsia"/>
                <w:b/>
                <w:kern w:val="0"/>
                <w:szCs w:val="21"/>
              </w:rPr>
              <w:t>总资产</w:t>
            </w:r>
          </w:p>
        </w:tc>
        <w:tc>
          <w:tcPr>
            <w:tcW w:w="1649" w:type="dxa"/>
            <w:tcBorders>
              <w:top w:val="nil"/>
              <w:left w:val="nil"/>
              <w:bottom w:val="nil"/>
              <w:right w:val="nil"/>
            </w:tcBorders>
            <w:vAlign w:val="center"/>
          </w:tcPr>
          <w:p w14:paraId="1FFFAA0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-0.5808</w:t>
            </w:r>
          </w:p>
        </w:tc>
        <w:tc>
          <w:tcPr>
            <w:tcW w:w="1649" w:type="dxa"/>
            <w:tcBorders>
              <w:top w:val="nil"/>
              <w:left w:val="nil"/>
              <w:bottom w:val="nil"/>
              <w:right w:val="nil"/>
            </w:tcBorders>
            <w:vAlign w:val="center"/>
          </w:tcPr>
          <w:p w14:paraId="2E2975A1"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-0.5814</w:t>
            </w:r>
          </w:p>
        </w:tc>
        <w:tc>
          <w:tcPr>
            <w:tcW w:w="1649" w:type="dxa"/>
            <w:tcBorders>
              <w:top w:val="nil"/>
              <w:left w:val="nil"/>
              <w:bottom w:val="nil"/>
              <w:right w:val="nil"/>
            </w:tcBorders>
            <w:vAlign w:val="center"/>
          </w:tcPr>
          <w:p w14:paraId="07925ABD"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14AFAF7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5DD92416" w14:textId="77777777" w:rsidTr="00F95BC0">
        <w:trPr>
          <w:jc w:val="center"/>
        </w:trPr>
        <w:tc>
          <w:tcPr>
            <w:tcW w:w="1710" w:type="dxa"/>
            <w:vMerge/>
            <w:tcBorders>
              <w:left w:val="nil"/>
              <w:bottom w:val="nil"/>
              <w:right w:val="nil"/>
            </w:tcBorders>
          </w:tcPr>
          <w:p w14:paraId="67F2FC09"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6FBBD4C3"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(31.73)**</w:t>
            </w:r>
          </w:p>
        </w:tc>
        <w:tc>
          <w:tcPr>
            <w:tcW w:w="1649" w:type="dxa"/>
            <w:tcBorders>
              <w:top w:val="nil"/>
              <w:left w:val="nil"/>
              <w:bottom w:val="nil"/>
              <w:right w:val="nil"/>
            </w:tcBorders>
            <w:vAlign w:val="center"/>
          </w:tcPr>
          <w:p w14:paraId="13DE2179"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(31.77)**</w:t>
            </w:r>
          </w:p>
        </w:tc>
        <w:tc>
          <w:tcPr>
            <w:tcW w:w="1649" w:type="dxa"/>
            <w:tcBorders>
              <w:top w:val="nil"/>
              <w:left w:val="nil"/>
              <w:bottom w:val="nil"/>
              <w:right w:val="nil"/>
            </w:tcBorders>
            <w:vAlign w:val="center"/>
          </w:tcPr>
          <w:p w14:paraId="4BB6D056"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3F63419E"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r>
      <w:tr w:rsidR="00F95BC0" w:rsidRPr="00F95BC0" w14:paraId="404CF22C" w14:textId="77777777" w:rsidTr="00F95BC0">
        <w:trPr>
          <w:jc w:val="center"/>
        </w:trPr>
        <w:tc>
          <w:tcPr>
            <w:tcW w:w="1710" w:type="dxa"/>
            <w:vMerge w:val="restart"/>
            <w:tcBorders>
              <w:top w:val="nil"/>
              <w:left w:val="nil"/>
              <w:right w:val="nil"/>
            </w:tcBorders>
          </w:tcPr>
          <w:p w14:paraId="6E4A4A17"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rFonts w:hint="eastAsia"/>
                <w:b/>
                <w:kern w:val="0"/>
                <w:szCs w:val="21"/>
              </w:rPr>
              <w:t>报告关注度</w:t>
            </w:r>
          </w:p>
        </w:tc>
        <w:tc>
          <w:tcPr>
            <w:tcW w:w="1649" w:type="dxa"/>
            <w:tcBorders>
              <w:top w:val="nil"/>
              <w:left w:val="nil"/>
              <w:bottom w:val="nil"/>
              <w:right w:val="nil"/>
            </w:tcBorders>
            <w:vAlign w:val="center"/>
          </w:tcPr>
          <w:p w14:paraId="330935FD"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0368F877"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6D10A0A1"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0.0298</w:t>
            </w:r>
          </w:p>
        </w:tc>
        <w:tc>
          <w:tcPr>
            <w:tcW w:w="1649" w:type="dxa"/>
            <w:tcBorders>
              <w:top w:val="nil"/>
              <w:left w:val="nil"/>
              <w:bottom w:val="nil"/>
              <w:right w:val="nil"/>
            </w:tcBorders>
            <w:vAlign w:val="center"/>
          </w:tcPr>
          <w:p w14:paraId="31EF318E"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0.0298</w:t>
            </w:r>
          </w:p>
        </w:tc>
      </w:tr>
      <w:tr w:rsidR="00F95BC0" w:rsidRPr="00F95BC0" w14:paraId="39C0487C" w14:textId="77777777" w:rsidTr="00F95BC0">
        <w:trPr>
          <w:jc w:val="center"/>
        </w:trPr>
        <w:tc>
          <w:tcPr>
            <w:tcW w:w="1710" w:type="dxa"/>
            <w:vMerge/>
            <w:tcBorders>
              <w:left w:val="nil"/>
              <w:bottom w:val="nil"/>
              <w:right w:val="nil"/>
            </w:tcBorders>
          </w:tcPr>
          <w:p w14:paraId="62F356CD"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2C55E7FE"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76B1B5DD"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1A9AE123"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(82.84)**</w:t>
            </w:r>
          </w:p>
        </w:tc>
        <w:tc>
          <w:tcPr>
            <w:tcW w:w="1649" w:type="dxa"/>
            <w:tcBorders>
              <w:top w:val="nil"/>
              <w:left w:val="nil"/>
              <w:bottom w:val="nil"/>
              <w:right w:val="nil"/>
            </w:tcBorders>
            <w:vAlign w:val="center"/>
          </w:tcPr>
          <w:p w14:paraId="42BBCD5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(82.80)**</w:t>
            </w:r>
          </w:p>
        </w:tc>
      </w:tr>
      <w:tr w:rsidR="00F95BC0" w:rsidRPr="00F95BC0" w14:paraId="0E833684" w14:textId="77777777" w:rsidTr="00F95BC0">
        <w:trPr>
          <w:jc w:val="center"/>
        </w:trPr>
        <w:tc>
          <w:tcPr>
            <w:tcW w:w="1710" w:type="dxa"/>
            <w:vMerge w:val="restart"/>
            <w:tcBorders>
              <w:top w:val="nil"/>
              <w:left w:val="nil"/>
              <w:right w:val="nil"/>
            </w:tcBorders>
          </w:tcPr>
          <w:p w14:paraId="20A98F65"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ROE</w:t>
            </w:r>
          </w:p>
        </w:tc>
        <w:tc>
          <w:tcPr>
            <w:tcW w:w="1649" w:type="dxa"/>
            <w:tcBorders>
              <w:top w:val="nil"/>
              <w:left w:val="nil"/>
              <w:bottom w:val="nil"/>
              <w:right w:val="nil"/>
            </w:tcBorders>
            <w:vAlign w:val="center"/>
          </w:tcPr>
          <w:p w14:paraId="23EEE11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1E3D3F0A"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2EA831C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0.0100</w:t>
            </w:r>
          </w:p>
        </w:tc>
        <w:tc>
          <w:tcPr>
            <w:tcW w:w="1649" w:type="dxa"/>
            <w:tcBorders>
              <w:top w:val="nil"/>
              <w:left w:val="nil"/>
              <w:bottom w:val="nil"/>
              <w:right w:val="nil"/>
            </w:tcBorders>
            <w:vAlign w:val="center"/>
          </w:tcPr>
          <w:p w14:paraId="0589B22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0.0100</w:t>
            </w:r>
          </w:p>
        </w:tc>
      </w:tr>
      <w:tr w:rsidR="00F95BC0" w:rsidRPr="00F95BC0" w14:paraId="4A11472D" w14:textId="77777777" w:rsidTr="00F95BC0">
        <w:trPr>
          <w:jc w:val="center"/>
        </w:trPr>
        <w:tc>
          <w:tcPr>
            <w:tcW w:w="1710" w:type="dxa"/>
            <w:vMerge/>
            <w:tcBorders>
              <w:left w:val="nil"/>
              <w:bottom w:val="nil"/>
              <w:right w:val="nil"/>
            </w:tcBorders>
          </w:tcPr>
          <w:p w14:paraId="5ACF24F7"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57CA0EB7"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7DA36D66"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01A8E9FB"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(10.29)**</w:t>
            </w:r>
          </w:p>
        </w:tc>
        <w:tc>
          <w:tcPr>
            <w:tcW w:w="1649" w:type="dxa"/>
            <w:tcBorders>
              <w:top w:val="nil"/>
              <w:left w:val="nil"/>
              <w:bottom w:val="nil"/>
              <w:right w:val="nil"/>
            </w:tcBorders>
            <w:vAlign w:val="center"/>
          </w:tcPr>
          <w:p w14:paraId="4824E27A"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(10.30)**</w:t>
            </w:r>
          </w:p>
        </w:tc>
      </w:tr>
      <w:tr w:rsidR="00F95BC0" w:rsidRPr="00F95BC0" w14:paraId="47B88BA4" w14:textId="77777777" w:rsidTr="00F95BC0">
        <w:trPr>
          <w:jc w:val="center"/>
        </w:trPr>
        <w:tc>
          <w:tcPr>
            <w:tcW w:w="1710" w:type="dxa"/>
            <w:vMerge w:val="restart"/>
            <w:tcBorders>
              <w:top w:val="nil"/>
              <w:left w:val="nil"/>
              <w:right w:val="nil"/>
            </w:tcBorders>
          </w:tcPr>
          <w:p w14:paraId="13E45B06"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rFonts w:hint="eastAsia"/>
                <w:b/>
                <w:kern w:val="0"/>
                <w:szCs w:val="21"/>
              </w:rPr>
              <w:t>总市值</w:t>
            </w:r>
          </w:p>
        </w:tc>
        <w:tc>
          <w:tcPr>
            <w:tcW w:w="1649" w:type="dxa"/>
            <w:tcBorders>
              <w:top w:val="nil"/>
              <w:left w:val="nil"/>
              <w:bottom w:val="nil"/>
              <w:right w:val="nil"/>
            </w:tcBorders>
            <w:vAlign w:val="center"/>
          </w:tcPr>
          <w:p w14:paraId="3A84A835"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0E35C77B"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4032857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-0.8408</w:t>
            </w:r>
          </w:p>
        </w:tc>
        <w:tc>
          <w:tcPr>
            <w:tcW w:w="1649" w:type="dxa"/>
            <w:tcBorders>
              <w:top w:val="nil"/>
              <w:left w:val="nil"/>
              <w:bottom w:val="nil"/>
              <w:right w:val="nil"/>
            </w:tcBorders>
            <w:vAlign w:val="center"/>
          </w:tcPr>
          <w:p w14:paraId="6D35E5AA"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-0.8436</w:t>
            </w:r>
          </w:p>
        </w:tc>
      </w:tr>
      <w:tr w:rsidR="00F95BC0" w:rsidRPr="00F95BC0" w14:paraId="621BDC5A" w14:textId="77777777" w:rsidTr="00F95BC0">
        <w:trPr>
          <w:jc w:val="center"/>
        </w:trPr>
        <w:tc>
          <w:tcPr>
            <w:tcW w:w="1710" w:type="dxa"/>
            <w:vMerge/>
            <w:tcBorders>
              <w:left w:val="nil"/>
              <w:bottom w:val="nil"/>
              <w:right w:val="nil"/>
            </w:tcBorders>
          </w:tcPr>
          <w:p w14:paraId="0DD1E72D"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nil"/>
              <w:right w:val="nil"/>
            </w:tcBorders>
            <w:vAlign w:val="center"/>
          </w:tcPr>
          <w:p w14:paraId="489E5F98"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7EC63789"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p>
        </w:tc>
        <w:tc>
          <w:tcPr>
            <w:tcW w:w="1649" w:type="dxa"/>
            <w:tcBorders>
              <w:top w:val="nil"/>
              <w:left w:val="nil"/>
              <w:bottom w:val="nil"/>
              <w:right w:val="nil"/>
            </w:tcBorders>
            <w:vAlign w:val="center"/>
          </w:tcPr>
          <w:p w14:paraId="154D8380"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(43.03)**</w:t>
            </w:r>
          </w:p>
        </w:tc>
        <w:tc>
          <w:tcPr>
            <w:tcW w:w="1649" w:type="dxa"/>
            <w:tcBorders>
              <w:top w:val="nil"/>
              <w:left w:val="nil"/>
              <w:bottom w:val="nil"/>
              <w:right w:val="nil"/>
            </w:tcBorders>
            <w:vAlign w:val="center"/>
          </w:tcPr>
          <w:p w14:paraId="59BA7B5F"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(43.21)**</w:t>
            </w:r>
          </w:p>
        </w:tc>
      </w:tr>
      <w:tr w:rsidR="00F95BC0" w:rsidRPr="00F95BC0" w14:paraId="2A86DD74" w14:textId="77777777" w:rsidTr="00F95BC0">
        <w:trPr>
          <w:jc w:val="center"/>
        </w:trPr>
        <w:tc>
          <w:tcPr>
            <w:tcW w:w="1710" w:type="dxa"/>
            <w:vMerge w:val="restart"/>
            <w:tcBorders>
              <w:top w:val="nil"/>
              <w:left w:val="nil"/>
              <w:right w:val="nil"/>
            </w:tcBorders>
          </w:tcPr>
          <w:p w14:paraId="61E157AA"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_Cons</w:t>
            </w:r>
          </w:p>
        </w:tc>
        <w:tc>
          <w:tcPr>
            <w:tcW w:w="1649" w:type="dxa"/>
            <w:tcBorders>
              <w:top w:val="nil"/>
              <w:left w:val="nil"/>
              <w:bottom w:val="nil"/>
              <w:right w:val="nil"/>
            </w:tcBorders>
            <w:vAlign w:val="center"/>
          </w:tcPr>
          <w:p w14:paraId="1CECEEF9"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-2.8011</w:t>
            </w:r>
          </w:p>
        </w:tc>
        <w:tc>
          <w:tcPr>
            <w:tcW w:w="1649" w:type="dxa"/>
            <w:tcBorders>
              <w:top w:val="nil"/>
              <w:left w:val="nil"/>
              <w:bottom w:val="nil"/>
              <w:right w:val="nil"/>
            </w:tcBorders>
            <w:vAlign w:val="center"/>
          </w:tcPr>
          <w:p w14:paraId="4898949B"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-2.7</w:t>
            </w:r>
            <w:r w:rsidRPr="00F95BC0">
              <w:rPr>
                <w:rFonts w:hint="eastAsia"/>
                <w:kern w:val="0"/>
                <w:szCs w:val="21"/>
              </w:rPr>
              <w:t>217</w:t>
            </w:r>
          </w:p>
        </w:tc>
        <w:tc>
          <w:tcPr>
            <w:tcW w:w="1649" w:type="dxa"/>
            <w:tcBorders>
              <w:top w:val="nil"/>
              <w:left w:val="nil"/>
              <w:bottom w:val="nil"/>
              <w:right w:val="nil"/>
            </w:tcBorders>
            <w:vAlign w:val="center"/>
          </w:tcPr>
          <w:p w14:paraId="2089E975"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-2.6</w:t>
            </w:r>
            <w:r w:rsidRPr="00F95BC0">
              <w:rPr>
                <w:rFonts w:hint="eastAsia"/>
                <w:kern w:val="0"/>
                <w:szCs w:val="21"/>
              </w:rPr>
              <w:t>271</w:t>
            </w:r>
          </w:p>
        </w:tc>
        <w:tc>
          <w:tcPr>
            <w:tcW w:w="1649" w:type="dxa"/>
            <w:tcBorders>
              <w:top w:val="nil"/>
              <w:left w:val="nil"/>
              <w:bottom w:val="nil"/>
              <w:right w:val="nil"/>
            </w:tcBorders>
            <w:vAlign w:val="center"/>
          </w:tcPr>
          <w:p w14:paraId="65CDFD9A"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-2.5</w:t>
            </w:r>
            <w:r w:rsidRPr="00F95BC0">
              <w:rPr>
                <w:rFonts w:hint="eastAsia"/>
                <w:kern w:val="0"/>
                <w:szCs w:val="21"/>
              </w:rPr>
              <w:t>695</w:t>
            </w:r>
          </w:p>
        </w:tc>
      </w:tr>
      <w:tr w:rsidR="00F95BC0" w:rsidRPr="00F95BC0" w14:paraId="6E251FB2" w14:textId="77777777" w:rsidTr="00F95BC0">
        <w:trPr>
          <w:jc w:val="center"/>
        </w:trPr>
        <w:tc>
          <w:tcPr>
            <w:tcW w:w="1710" w:type="dxa"/>
            <w:vMerge/>
            <w:tcBorders>
              <w:left w:val="nil"/>
              <w:bottom w:val="double" w:sz="4" w:space="0" w:color="auto"/>
              <w:right w:val="nil"/>
            </w:tcBorders>
            <w:vAlign w:val="center"/>
          </w:tcPr>
          <w:p w14:paraId="12EA832F" w14:textId="77777777" w:rsidR="00F95BC0" w:rsidRPr="00F95BC0" w:rsidRDefault="00F95BC0" w:rsidP="009E2CF7">
            <w:pPr>
              <w:autoSpaceDE w:val="0"/>
              <w:autoSpaceDN w:val="0"/>
              <w:adjustRightInd w:val="0"/>
              <w:spacing w:line="240" w:lineRule="auto"/>
              <w:ind w:firstLineChars="0" w:firstLine="0"/>
              <w:jc w:val="center"/>
              <w:rPr>
                <w:b/>
                <w:kern w:val="0"/>
                <w:szCs w:val="21"/>
              </w:rPr>
            </w:pPr>
          </w:p>
        </w:tc>
        <w:tc>
          <w:tcPr>
            <w:tcW w:w="1649" w:type="dxa"/>
            <w:tcBorders>
              <w:top w:val="nil"/>
              <w:left w:val="nil"/>
              <w:bottom w:val="double" w:sz="4" w:space="0" w:color="auto"/>
              <w:right w:val="nil"/>
            </w:tcBorders>
            <w:vAlign w:val="center"/>
          </w:tcPr>
          <w:p w14:paraId="49B765F6"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(13</w:t>
            </w:r>
            <w:r w:rsidRPr="00F95BC0">
              <w:rPr>
                <w:rFonts w:hint="eastAsia"/>
                <w:kern w:val="0"/>
                <w:szCs w:val="21"/>
              </w:rPr>
              <w:t>8.51</w:t>
            </w:r>
            <w:r w:rsidRPr="00F95BC0">
              <w:rPr>
                <w:kern w:val="0"/>
                <w:szCs w:val="21"/>
              </w:rPr>
              <w:t>)**</w:t>
            </w:r>
          </w:p>
        </w:tc>
        <w:tc>
          <w:tcPr>
            <w:tcW w:w="1649" w:type="dxa"/>
            <w:tcBorders>
              <w:top w:val="nil"/>
              <w:left w:val="nil"/>
              <w:bottom w:val="double" w:sz="4" w:space="0" w:color="auto"/>
              <w:right w:val="nil"/>
            </w:tcBorders>
            <w:vAlign w:val="center"/>
          </w:tcPr>
          <w:p w14:paraId="1BCF5793"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(17</w:t>
            </w:r>
            <w:r w:rsidRPr="00F95BC0">
              <w:rPr>
                <w:rFonts w:hint="eastAsia"/>
                <w:kern w:val="0"/>
                <w:szCs w:val="21"/>
              </w:rPr>
              <w:t>5</w:t>
            </w:r>
            <w:r w:rsidRPr="00F95BC0">
              <w:rPr>
                <w:kern w:val="0"/>
                <w:szCs w:val="21"/>
              </w:rPr>
              <w:t>.</w:t>
            </w:r>
            <w:r w:rsidRPr="00F95BC0">
              <w:rPr>
                <w:rFonts w:hint="eastAsia"/>
                <w:kern w:val="0"/>
                <w:szCs w:val="21"/>
              </w:rPr>
              <w:t>05</w:t>
            </w:r>
            <w:r w:rsidRPr="00F95BC0">
              <w:rPr>
                <w:kern w:val="0"/>
                <w:szCs w:val="21"/>
              </w:rPr>
              <w:t>)**</w:t>
            </w:r>
          </w:p>
        </w:tc>
        <w:tc>
          <w:tcPr>
            <w:tcW w:w="1649" w:type="dxa"/>
            <w:tcBorders>
              <w:top w:val="nil"/>
              <w:left w:val="nil"/>
              <w:bottom w:val="double" w:sz="4" w:space="0" w:color="auto"/>
              <w:right w:val="nil"/>
            </w:tcBorders>
            <w:vAlign w:val="center"/>
          </w:tcPr>
          <w:p w14:paraId="7C5F67A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(138.</w:t>
            </w:r>
            <w:r w:rsidRPr="00F95BC0">
              <w:rPr>
                <w:rFonts w:hint="eastAsia"/>
                <w:kern w:val="0"/>
                <w:szCs w:val="21"/>
              </w:rPr>
              <w:t>82</w:t>
            </w:r>
            <w:r w:rsidRPr="00F95BC0">
              <w:rPr>
                <w:kern w:val="0"/>
                <w:szCs w:val="21"/>
              </w:rPr>
              <w:t>)**</w:t>
            </w:r>
          </w:p>
        </w:tc>
        <w:tc>
          <w:tcPr>
            <w:tcW w:w="1649" w:type="dxa"/>
            <w:tcBorders>
              <w:top w:val="nil"/>
              <w:left w:val="nil"/>
              <w:bottom w:val="double" w:sz="4" w:space="0" w:color="auto"/>
              <w:right w:val="nil"/>
            </w:tcBorders>
            <w:vAlign w:val="center"/>
          </w:tcPr>
          <w:p w14:paraId="7317ABC2" w14:textId="77777777" w:rsidR="00F95BC0" w:rsidRPr="00F95BC0" w:rsidRDefault="00F95BC0" w:rsidP="009E2CF7">
            <w:pPr>
              <w:tabs>
                <w:tab w:val="decimal" w:pos="948"/>
              </w:tabs>
              <w:autoSpaceDE w:val="0"/>
              <w:autoSpaceDN w:val="0"/>
              <w:adjustRightInd w:val="0"/>
              <w:spacing w:line="240" w:lineRule="auto"/>
              <w:ind w:firstLineChars="0" w:firstLine="0"/>
              <w:rPr>
                <w:kern w:val="0"/>
                <w:szCs w:val="21"/>
              </w:rPr>
            </w:pPr>
            <w:r w:rsidRPr="00F95BC0">
              <w:rPr>
                <w:kern w:val="0"/>
                <w:szCs w:val="21"/>
              </w:rPr>
              <w:t>(18</w:t>
            </w:r>
            <w:r w:rsidRPr="00F95BC0">
              <w:rPr>
                <w:rFonts w:hint="eastAsia"/>
                <w:kern w:val="0"/>
                <w:szCs w:val="21"/>
              </w:rPr>
              <w:t>6</w:t>
            </w:r>
            <w:r w:rsidRPr="00F95BC0">
              <w:rPr>
                <w:kern w:val="0"/>
                <w:szCs w:val="21"/>
              </w:rPr>
              <w:t>.9</w:t>
            </w:r>
            <w:r w:rsidRPr="00F95BC0">
              <w:rPr>
                <w:rFonts w:hint="eastAsia"/>
                <w:kern w:val="0"/>
                <w:szCs w:val="21"/>
              </w:rPr>
              <w:t>1</w:t>
            </w:r>
            <w:r w:rsidRPr="00F95BC0">
              <w:rPr>
                <w:kern w:val="0"/>
                <w:szCs w:val="21"/>
              </w:rPr>
              <w:t>)**</w:t>
            </w:r>
          </w:p>
        </w:tc>
      </w:tr>
      <w:tr w:rsidR="00F95BC0" w:rsidRPr="00F95BC0" w14:paraId="08CE1751" w14:textId="77777777" w:rsidTr="00F95BC0">
        <w:trPr>
          <w:jc w:val="center"/>
        </w:trPr>
        <w:tc>
          <w:tcPr>
            <w:tcW w:w="1710" w:type="dxa"/>
            <w:tcBorders>
              <w:top w:val="double" w:sz="4" w:space="0" w:color="auto"/>
              <w:left w:val="nil"/>
              <w:right w:val="nil"/>
            </w:tcBorders>
            <w:vAlign w:val="center"/>
          </w:tcPr>
          <w:p w14:paraId="213DD100" w14:textId="77777777" w:rsidR="00F95BC0" w:rsidRPr="00F95BC0" w:rsidRDefault="00F95BC0" w:rsidP="009E2CF7">
            <w:pPr>
              <w:autoSpaceDE w:val="0"/>
              <w:autoSpaceDN w:val="0"/>
              <w:adjustRightInd w:val="0"/>
              <w:spacing w:line="240" w:lineRule="auto"/>
              <w:ind w:firstLineChars="0" w:firstLine="0"/>
              <w:jc w:val="center"/>
              <w:rPr>
                <w:b/>
                <w:kern w:val="0"/>
                <w:szCs w:val="21"/>
              </w:rPr>
            </w:pPr>
            <w:proofErr w:type="spellStart"/>
            <w:r w:rsidRPr="00F95BC0">
              <w:rPr>
                <w:b/>
                <w:kern w:val="0"/>
                <w:szCs w:val="21"/>
              </w:rPr>
              <w:t>O</w:t>
            </w:r>
            <w:r w:rsidRPr="00F95BC0">
              <w:rPr>
                <w:rFonts w:hint="eastAsia"/>
                <w:b/>
                <w:kern w:val="0"/>
                <w:szCs w:val="21"/>
              </w:rPr>
              <w:t>bs</w:t>
            </w:r>
            <w:proofErr w:type="spellEnd"/>
          </w:p>
        </w:tc>
        <w:tc>
          <w:tcPr>
            <w:tcW w:w="1649" w:type="dxa"/>
            <w:tcBorders>
              <w:top w:val="double" w:sz="4" w:space="0" w:color="auto"/>
              <w:left w:val="nil"/>
              <w:right w:val="nil"/>
            </w:tcBorders>
            <w:vAlign w:val="center"/>
          </w:tcPr>
          <w:p w14:paraId="5B879EAD"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159,970</w:t>
            </w:r>
          </w:p>
        </w:tc>
        <w:tc>
          <w:tcPr>
            <w:tcW w:w="1649" w:type="dxa"/>
            <w:tcBorders>
              <w:top w:val="double" w:sz="4" w:space="0" w:color="auto"/>
              <w:left w:val="nil"/>
              <w:right w:val="nil"/>
            </w:tcBorders>
            <w:vAlign w:val="center"/>
          </w:tcPr>
          <w:p w14:paraId="7CDF3D18"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159,970</w:t>
            </w:r>
          </w:p>
        </w:tc>
        <w:tc>
          <w:tcPr>
            <w:tcW w:w="1649" w:type="dxa"/>
            <w:tcBorders>
              <w:top w:val="double" w:sz="4" w:space="0" w:color="auto"/>
              <w:left w:val="nil"/>
              <w:right w:val="nil"/>
            </w:tcBorders>
            <w:vAlign w:val="center"/>
          </w:tcPr>
          <w:p w14:paraId="1B37B14A"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162,066</w:t>
            </w:r>
          </w:p>
        </w:tc>
        <w:tc>
          <w:tcPr>
            <w:tcW w:w="1649" w:type="dxa"/>
            <w:tcBorders>
              <w:top w:val="double" w:sz="4" w:space="0" w:color="auto"/>
              <w:left w:val="nil"/>
              <w:right w:val="nil"/>
            </w:tcBorders>
            <w:vAlign w:val="center"/>
          </w:tcPr>
          <w:p w14:paraId="42992931"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162,066</w:t>
            </w:r>
          </w:p>
        </w:tc>
      </w:tr>
      <w:tr w:rsidR="00F95BC0" w:rsidRPr="00F95BC0" w14:paraId="41473FBA" w14:textId="77777777" w:rsidTr="00F95BC0">
        <w:trPr>
          <w:jc w:val="center"/>
        </w:trPr>
        <w:tc>
          <w:tcPr>
            <w:tcW w:w="1710" w:type="dxa"/>
            <w:tcBorders>
              <w:left w:val="nil"/>
              <w:bottom w:val="nil"/>
              <w:right w:val="nil"/>
            </w:tcBorders>
            <w:vAlign w:val="center"/>
          </w:tcPr>
          <w:p w14:paraId="65614216"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Wald Chi2</w:t>
            </w:r>
          </w:p>
        </w:tc>
        <w:tc>
          <w:tcPr>
            <w:tcW w:w="1649" w:type="dxa"/>
            <w:tcBorders>
              <w:left w:val="nil"/>
              <w:bottom w:val="nil"/>
              <w:right w:val="nil"/>
            </w:tcBorders>
            <w:vAlign w:val="center"/>
          </w:tcPr>
          <w:p w14:paraId="5F3120A7"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9213.28</w:t>
            </w:r>
          </w:p>
        </w:tc>
        <w:tc>
          <w:tcPr>
            <w:tcW w:w="1649" w:type="dxa"/>
            <w:tcBorders>
              <w:left w:val="nil"/>
              <w:bottom w:val="nil"/>
              <w:right w:val="nil"/>
            </w:tcBorders>
            <w:vAlign w:val="center"/>
          </w:tcPr>
          <w:p w14:paraId="7ABE9EA0"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9191.22</w:t>
            </w:r>
          </w:p>
        </w:tc>
        <w:tc>
          <w:tcPr>
            <w:tcW w:w="1649" w:type="dxa"/>
            <w:tcBorders>
              <w:left w:val="nil"/>
              <w:bottom w:val="nil"/>
              <w:right w:val="nil"/>
            </w:tcBorders>
            <w:vAlign w:val="center"/>
          </w:tcPr>
          <w:p w14:paraId="7DD858E8"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8290.03</w:t>
            </w:r>
          </w:p>
        </w:tc>
        <w:tc>
          <w:tcPr>
            <w:tcW w:w="1649" w:type="dxa"/>
            <w:tcBorders>
              <w:left w:val="nil"/>
              <w:bottom w:val="nil"/>
              <w:right w:val="nil"/>
            </w:tcBorders>
            <w:vAlign w:val="center"/>
          </w:tcPr>
          <w:p w14:paraId="6FD7B4FD"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8275.81</w:t>
            </w:r>
          </w:p>
        </w:tc>
      </w:tr>
      <w:tr w:rsidR="00F95BC0" w:rsidRPr="00F95BC0" w14:paraId="25285E55" w14:textId="77777777" w:rsidTr="00F95BC0">
        <w:trPr>
          <w:jc w:val="center"/>
        </w:trPr>
        <w:tc>
          <w:tcPr>
            <w:tcW w:w="1710" w:type="dxa"/>
            <w:tcBorders>
              <w:top w:val="nil"/>
              <w:left w:val="nil"/>
              <w:bottom w:val="single" w:sz="6" w:space="0" w:color="auto"/>
              <w:right w:val="nil"/>
            </w:tcBorders>
            <w:vAlign w:val="center"/>
          </w:tcPr>
          <w:p w14:paraId="6564991C"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Prob.</w:t>
            </w:r>
          </w:p>
        </w:tc>
        <w:tc>
          <w:tcPr>
            <w:tcW w:w="1649" w:type="dxa"/>
            <w:tcBorders>
              <w:top w:val="nil"/>
              <w:left w:val="nil"/>
              <w:bottom w:val="single" w:sz="6" w:space="0" w:color="auto"/>
              <w:right w:val="nil"/>
            </w:tcBorders>
            <w:vAlign w:val="center"/>
          </w:tcPr>
          <w:p w14:paraId="5F52BF81"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0.00</w:t>
            </w:r>
          </w:p>
        </w:tc>
        <w:tc>
          <w:tcPr>
            <w:tcW w:w="1649" w:type="dxa"/>
            <w:tcBorders>
              <w:top w:val="nil"/>
              <w:left w:val="nil"/>
              <w:bottom w:val="single" w:sz="6" w:space="0" w:color="auto"/>
              <w:right w:val="nil"/>
            </w:tcBorders>
            <w:vAlign w:val="center"/>
          </w:tcPr>
          <w:p w14:paraId="0489AD21"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0.00</w:t>
            </w:r>
          </w:p>
        </w:tc>
        <w:tc>
          <w:tcPr>
            <w:tcW w:w="1649" w:type="dxa"/>
            <w:tcBorders>
              <w:top w:val="nil"/>
              <w:left w:val="nil"/>
              <w:bottom w:val="single" w:sz="6" w:space="0" w:color="auto"/>
              <w:right w:val="nil"/>
            </w:tcBorders>
            <w:vAlign w:val="center"/>
          </w:tcPr>
          <w:p w14:paraId="30C388BB"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0.00</w:t>
            </w:r>
          </w:p>
        </w:tc>
        <w:tc>
          <w:tcPr>
            <w:tcW w:w="1649" w:type="dxa"/>
            <w:tcBorders>
              <w:top w:val="nil"/>
              <w:left w:val="nil"/>
              <w:bottom w:val="single" w:sz="6" w:space="0" w:color="auto"/>
              <w:right w:val="nil"/>
            </w:tcBorders>
            <w:vAlign w:val="center"/>
          </w:tcPr>
          <w:p w14:paraId="58613B2F" w14:textId="77777777" w:rsidR="00F95BC0" w:rsidRPr="00F95BC0" w:rsidRDefault="00F95BC0" w:rsidP="009E2CF7">
            <w:pPr>
              <w:autoSpaceDE w:val="0"/>
              <w:autoSpaceDN w:val="0"/>
              <w:adjustRightInd w:val="0"/>
              <w:spacing w:line="240" w:lineRule="auto"/>
              <w:ind w:firstLineChars="0" w:firstLine="0"/>
              <w:jc w:val="center"/>
              <w:rPr>
                <w:b/>
                <w:kern w:val="0"/>
                <w:szCs w:val="21"/>
              </w:rPr>
            </w:pPr>
            <w:r w:rsidRPr="00F95BC0">
              <w:rPr>
                <w:b/>
                <w:kern w:val="0"/>
                <w:szCs w:val="21"/>
              </w:rPr>
              <w:t>0.00</w:t>
            </w:r>
          </w:p>
        </w:tc>
      </w:tr>
    </w:tbl>
    <w:p w14:paraId="3826164D" w14:textId="7673504E" w:rsidR="0011644B" w:rsidRDefault="009A295C" w:rsidP="009E2CF7">
      <w:pPr>
        <w:pStyle w:val="ad"/>
        <w:spacing w:line="240" w:lineRule="auto"/>
      </w:pPr>
      <w:r>
        <w:rPr>
          <w:rFonts w:hint="eastAsia"/>
        </w:rPr>
        <w:t>注：</w:t>
      </w:r>
      <w:r w:rsidR="0011644B">
        <w:t xml:space="preserve">* </w:t>
      </w:r>
      <w:r w:rsidR="0011644B">
        <w:rPr>
          <w:i/>
          <w:iCs/>
        </w:rPr>
        <w:t>p</w:t>
      </w:r>
      <w:r w:rsidR="00A03BC1">
        <w:t>&lt;0.05; *</w:t>
      </w:r>
      <w:r w:rsidR="0011644B">
        <w:t xml:space="preserve">* </w:t>
      </w:r>
      <w:r w:rsidR="0011644B">
        <w:rPr>
          <w:i/>
          <w:iCs/>
        </w:rPr>
        <w:t>p</w:t>
      </w:r>
      <w:r w:rsidR="0011644B">
        <w:t>&lt;0.01</w:t>
      </w:r>
    </w:p>
    <w:p w14:paraId="3E61F0BB" w14:textId="0644548F" w:rsidR="00D6351A" w:rsidRDefault="00C1411C" w:rsidP="009E2CF7">
      <w:pPr>
        <w:spacing w:line="240" w:lineRule="auto"/>
        <w:ind w:firstLine="420"/>
      </w:pPr>
      <w:r>
        <w:rPr>
          <w:rFonts w:hint="eastAsia"/>
        </w:rPr>
        <w:t>列</w:t>
      </w:r>
      <w:r>
        <w:rPr>
          <w:rFonts w:hint="eastAsia"/>
        </w:rPr>
        <w:t xml:space="preserve"> </w:t>
      </w:r>
      <w:r w:rsidR="00D6351A">
        <w:t>(</w:t>
      </w:r>
      <w:r w:rsidR="00D6351A">
        <w:rPr>
          <w:rFonts w:hint="eastAsia"/>
        </w:rPr>
        <w:t>4</w:t>
      </w:r>
      <w:r w:rsidR="00D6351A">
        <w:t xml:space="preserve">) </w:t>
      </w:r>
      <w:r w:rsidR="00D6351A">
        <w:rPr>
          <w:rFonts w:hint="eastAsia"/>
        </w:rPr>
        <w:t>和</w:t>
      </w:r>
      <w:r>
        <w:rPr>
          <w:rFonts w:hint="eastAsia"/>
        </w:rPr>
        <w:t>列</w:t>
      </w:r>
      <w:r>
        <w:rPr>
          <w:rFonts w:hint="eastAsia"/>
        </w:rPr>
        <w:t xml:space="preserve"> </w:t>
      </w:r>
      <w:r w:rsidR="00D6351A">
        <w:t xml:space="preserve">(5) </w:t>
      </w:r>
      <w:r w:rsidR="00D6351A">
        <w:rPr>
          <w:rFonts w:hint="eastAsia"/>
        </w:rPr>
        <w:t>分别报告了以分析</w:t>
      </w:r>
      <w:proofErr w:type="gramStart"/>
      <w:r w:rsidR="00D6351A">
        <w:rPr>
          <w:rFonts w:hint="eastAsia"/>
        </w:rPr>
        <w:t>师关注</w:t>
      </w:r>
      <w:proofErr w:type="gramEnd"/>
      <w:r w:rsidR="00D6351A">
        <w:rPr>
          <w:rFonts w:hint="eastAsia"/>
        </w:rPr>
        <w:t>度、</w:t>
      </w:r>
      <w:r w:rsidR="00D6351A">
        <w:rPr>
          <w:rFonts w:hint="eastAsia"/>
        </w:rPr>
        <w:t>ROA</w:t>
      </w:r>
      <w:r w:rsidR="00D6351A">
        <w:rPr>
          <w:rFonts w:hint="eastAsia"/>
        </w:rPr>
        <w:t>和总资产为控制变量，加入异常换手率前后的回归结果，可以看到，异常换手率回归系数为正，并在</w:t>
      </w:r>
      <w:r w:rsidR="00D6351A">
        <w:rPr>
          <w:rFonts w:hint="eastAsia"/>
        </w:rPr>
        <w:t>99%</w:t>
      </w:r>
      <w:r w:rsidR="00D6351A">
        <w:rPr>
          <w:rFonts w:hint="eastAsia"/>
        </w:rPr>
        <w:t>的置信水平上显著。此外，公司的分析</w:t>
      </w:r>
      <w:proofErr w:type="gramStart"/>
      <w:r w:rsidR="00D6351A">
        <w:rPr>
          <w:rFonts w:hint="eastAsia"/>
        </w:rPr>
        <w:t>师关注</w:t>
      </w:r>
      <w:proofErr w:type="gramEnd"/>
      <w:r w:rsidR="00D6351A">
        <w:rPr>
          <w:rFonts w:hint="eastAsia"/>
        </w:rPr>
        <w:t>度的系数显著为正，意味着对于分析</w:t>
      </w:r>
      <w:proofErr w:type="gramStart"/>
      <w:r w:rsidR="00D6351A">
        <w:rPr>
          <w:rFonts w:hint="eastAsia"/>
        </w:rPr>
        <w:t>师关注</w:t>
      </w:r>
      <w:proofErr w:type="gramEnd"/>
      <w:r w:rsidR="00D6351A">
        <w:rPr>
          <w:rFonts w:hint="eastAsia"/>
        </w:rPr>
        <w:t>度更高的公司，证券分析师更有动力</w:t>
      </w:r>
      <w:proofErr w:type="gramStart"/>
      <w:r w:rsidR="00D6351A">
        <w:rPr>
          <w:rFonts w:hint="eastAsia"/>
        </w:rPr>
        <w:t>去发布</w:t>
      </w:r>
      <w:proofErr w:type="gramEnd"/>
      <w:r w:rsidR="00D6351A">
        <w:rPr>
          <w:rFonts w:hint="eastAsia"/>
        </w:rPr>
        <w:t>报告；公司的总资产收益率系数显著为正，意味着分析师倾向于对盈利状况更好的公司发布研究报告；而公司总资产的系数显著为负，与预期相反，这可能是因为本文采用的样本与已有研究不同，此处使用的是在样本期间内被分析师跟踪过的上市公司，在这些公司中，规模越小则其未来成长空间越大，因此更加</w:t>
      </w:r>
      <w:proofErr w:type="gramStart"/>
      <w:r w:rsidR="00D6351A">
        <w:rPr>
          <w:rFonts w:hint="eastAsia"/>
        </w:rPr>
        <w:t>受分析</w:t>
      </w:r>
      <w:proofErr w:type="gramEnd"/>
      <w:r w:rsidR="00D6351A">
        <w:rPr>
          <w:rFonts w:hint="eastAsia"/>
        </w:rPr>
        <w:t>师青睐。</w:t>
      </w:r>
    </w:p>
    <w:p w14:paraId="416D5427" w14:textId="4A7FF701" w:rsidR="00E20294" w:rsidRPr="00FB532D" w:rsidRDefault="00FB532D" w:rsidP="009E2CF7">
      <w:pPr>
        <w:spacing w:line="240" w:lineRule="auto"/>
        <w:ind w:firstLine="420"/>
      </w:pPr>
      <w:r>
        <w:rPr>
          <w:rFonts w:hint="eastAsia"/>
        </w:rPr>
        <w:t>为了避免回归结果受到衡量方法的影响，本文改变了控制变量的代理变量，分别以报告关注度、</w:t>
      </w:r>
      <w:r>
        <w:rPr>
          <w:rFonts w:hint="eastAsia"/>
        </w:rPr>
        <w:t>ROE</w:t>
      </w:r>
      <w:r>
        <w:rPr>
          <w:rFonts w:hint="eastAsia"/>
        </w:rPr>
        <w:t>和总市值衡量公司关注度、盈利水平和公司规模，</w:t>
      </w:r>
      <w:r w:rsidR="00C1411C">
        <w:rPr>
          <w:rFonts w:hint="eastAsia"/>
        </w:rPr>
        <w:t>列</w:t>
      </w:r>
      <w:r w:rsidR="00C1411C">
        <w:rPr>
          <w:rFonts w:hint="eastAsia"/>
        </w:rPr>
        <w:t xml:space="preserve"> </w:t>
      </w:r>
      <w:r>
        <w:t xml:space="preserve">(6) </w:t>
      </w:r>
      <w:r>
        <w:rPr>
          <w:rFonts w:hint="eastAsia"/>
        </w:rPr>
        <w:t>和</w:t>
      </w:r>
      <w:r w:rsidR="00C1411C">
        <w:rPr>
          <w:rFonts w:hint="eastAsia"/>
        </w:rPr>
        <w:t>列</w:t>
      </w:r>
      <w:r w:rsidR="00C1411C">
        <w:rPr>
          <w:rFonts w:hint="eastAsia"/>
        </w:rPr>
        <w:t xml:space="preserve"> </w:t>
      </w:r>
      <w:r>
        <w:t xml:space="preserve">(7) </w:t>
      </w:r>
      <w:r>
        <w:rPr>
          <w:rFonts w:hint="eastAsia"/>
        </w:rPr>
        <w:t>分别报告了加入异常换手率前后重新回归的结果，显示异常换手率回归系数依然显著为正，且控制变量的系数方向及显著性保持不变。</w:t>
      </w:r>
    </w:p>
    <w:p w14:paraId="5A348A61" w14:textId="43F9220D" w:rsidR="00F44949" w:rsidRDefault="00D7679E" w:rsidP="009E2CF7">
      <w:pPr>
        <w:pStyle w:val="2"/>
        <w:spacing w:line="240" w:lineRule="auto"/>
      </w:pPr>
      <w:bookmarkStart w:id="53" w:name="_Toc510120310"/>
      <w:bookmarkStart w:id="54" w:name="_Toc510121732"/>
      <w:bookmarkStart w:id="55" w:name="_Toc510124643"/>
      <w:bookmarkStart w:id="56" w:name="_Toc510124796"/>
      <w:r>
        <w:rPr>
          <w:rFonts w:hint="eastAsia"/>
        </w:rPr>
        <w:t>报告信息含量</w:t>
      </w:r>
      <w:r w:rsidR="00370B46">
        <w:rPr>
          <w:rFonts w:hint="eastAsia"/>
        </w:rPr>
        <w:t>与</w:t>
      </w:r>
      <w:proofErr w:type="gramStart"/>
      <w:r w:rsidR="00370B46">
        <w:rPr>
          <w:rFonts w:hint="eastAsia"/>
        </w:rPr>
        <w:t>分析师择时行</w:t>
      </w:r>
      <w:proofErr w:type="gramEnd"/>
      <w:r w:rsidR="00370B46">
        <w:rPr>
          <w:rFonts w:hint="eastAsia"/>
        </w:rPr>
        <w:t>为</w:t>
      </w:r>
      <w:bookmarkEnd w:id="53"/>
      <w:bookmarkEnd w:id="54"/>
      <w:bookmarkEnd w:id="55"/>
      <w:bookmarkEnd w:id="56"/>
    </w:p>
    <w:p w14:paraId="303C6F0B" w14:textId="75CD6F4E" w:rsidR="00794D68" w:rsidRDefault="00367A54" w:rsidP="009E2CF7">
      <w:pPr>
        <w:spacing w:line="240" w:lineRule="auto"/>
        <w:ind w:firstLine="420"/>
      </w:pPr>
      <w:r>
        <w:rPr>
          <w:rFonts w:hint="eastAsia"/>
        </w:rPr>
        <w:t>为了</w:t>
      </w:r>
      <w:r w:rsidR="002D73AD">
        <w:rPr>
          <w:rFonts w:hint="eastAsia"/>
        </w:rPr>
        <w:t>探究</w:t>
      </w:r>
      <w:r>
        <w:rPr>
          <w:rFonts w:hint="eastAsia"/>
        </w:rPr>
        <w:t>分析师在投资者情绪高的时期发布报告的动机，本文</w:t>
      </w:r>
      <w:r w:rsidR="002D73AD">
        <w:rPr>
          <w:rFonts w:hint="eastAsia"/>
        </w:rPr>
        <w:t>计算了</w:t>
      </w:r>
      <w:r>
        <w:rPr>
          <w:rFonts w:hint="eastAsia"/>
        </w:rPr>
        <w:t>报告发布前后的</w:t>
      </w:r>
      <w:r w:rsidR="00616AAF">
        <w:rPr>
          <w:rFonts w:hint="eastAsia"/>
        </w:rPr>
        <w:t>股价信息含量</w:t>
      </w:r>
      <w:r>
        <w:rPr>
          <w:rFonts w:hint="eastAsia"/>
        </w:rPr>
        <w:t>变化。</w:t>
      </w:r>
      <w:r w:rsidR="00C10483">
        <w:rPr>
          <w:rFonts w:hint="eastAsia"/>
        </w:rPr>
        <w:t>由于部分公司在深度报告发布前有较长的停牌期，</w:t>
      </w:r>
      <w:r w:rsidR="007D522B">
        <w:rPr>
          <w:rFonts w:hint="eastAsia"/>
        </w:rPr>
        <w:t>剔除这部分样本后</w:t>
      </w:r>
      <w:r w:rsidR="00C10483">
        <w:rPr>
          <w:rFonts w:hint="eastAsia"/>
        </w:rPr>
        <w:t>最终</w:t>
      </w:r>
      <w:r w:rsidR="002D73AD">
        <w:rPr>
          <w:rFonts w:hint="eastAsia"/>
        </w:rPr>
        <w:t>共</w:t>
      </w:r>
      <w:r w:rsidR="00F307C2">
        <w:rPr>
          <w:rFonts w:hint="eastAsia"/>
        </w:rPr>
        <w:t>得到</w:t>
      </w:r>
      <w:r w:rsidR="00616AAF">
        <w:rPr>
          <w:rFonts w:hint="eastAsia"/>
        </w:rPr>
        <w:t>1</w:t>
      </w:r>
      <w:r w:rsidR="00F95BC0">
        <w:rPr>
          <w:rFonts w:hint="eastAsia"/>
        </w:rPr>
        <w:t>9</w:t>
      </w:r>
      <w:r w:rsidR="00616AAF">
        <w:t>,</w:t>
      </w:r>
      <w:r w:rsidR="00F95BC0">
        <w:rPr>
          <w:rFonts w:hint="eastAsia"/>
        </w:rPr>
        <w:t>434</w:t>
      </w:r>
      <w:r w:rsidR="00F307C2">
        <w:rPr>
          <w:rFonts w:hint="eastAsia"/>
        </w:rPr>
        <w:t>个同步性序列。</w:t>
      </w:r>
      <w:r w:rsidR="003F58F0">
        <w:rPr>
          <w:rFonts w:hint="eastAsia"/>
        </w:rPr>
        <w:t>为了直观观察股价同步性的变化差异，本文接下来首先依据后续回归中所使用的解释变量</w:t>
      </w:r>
      <w:r w:rsidR="00BF46EB">
        <w:rPr>
          <w:rFonts w:hint="eastAsia"/>
        </w:rPr>
        <w:t>划分子样本</w:t>
      </w:r>
      <w:r w:rsidR="003F58F0">
        <w:rPr>
          <w:rFonts w:hint="eastAsia"/>
        </w:rPr>
        <w:t>，</w:t>
      </w:r>
      <w:r w:rsidR="00C10483">
        <w:rPr>
          <w:rFonts w:hint="eastAsia"/>
        </w:rPr>
        <w:t>分别</w:t>
      </w:r>
      <w:r w:rsidR="003F58F0">
        <w:rPr>
          <w:rFonts w:hint="eastAsia"/>
        </w:rPr>
        <w:t>计算报告发布前后</w:t>
      </w:r>
      <w:r w:rsidR="003F58F0">
        <w:rPr>
          <w:rFonts w:hint="eastAsia"/>
        </w:rPr>
        <w:t>22</w:t>
      </w:r>
      <w:r w:rsidR="003F58F0">
        <w:rPr>
          <w:rFonts w:hint="eastAsia"/>
        </w:rPr>
        <w:t>天窗口期内各天的股价同步性均值并将序列绘制成图。</w:t>
      </w:r>
    </w:p>
    <w:p w14:paraId="18154600" w14:textId="5137FCBE" w:rsidR="00837FD8" w:rsidRDefault="00F95BC0" w:rsidP="009E2CF7">
      <w:pPr>
        <w:spacing w:line="240" w:lineRule="auto"/>
        <w:ind w:firstLineChars="0" w:firstLine="0"/>
        <w:jc w:val="center"/>
      </w:pPr>
      <w:r w:rsidRPr="00A46ECE">
        <w:rPr>
          <w:noProof/>
        </w:rPr>
        <w:drawing>
          <wp:inline distT="0" distB="0" distL="0" distR="0" wp14:anchorId="09B23E46" wp14:editId="04ABFDEA">
            <wp:extent cx="2542032" cy="1269333"/>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2032" cy="1269333"/>
                    </a:xfrm>
                    <a:prstGeom prst="rect">
                      <a:avLst/>
                    </a:prstGeom>
                    <a:noFill/>
                    <a:ln>
                      <a:noFill/>
                    </a:ln>
                  </pic:spPr>
                </pic:pic>
              </a:graphicData>
            </a:graphic>
          </wp:inline>
        </w:drawing>
      </w:r>
      <w:r w:rsidR="00837FD8">
        <w:rPr>
          <w:rFonts w:hint="eastAsia"/>
        </w:rPr>
        <w:t xml:space="preserve">　</w:t>
      </w:r>
      <w:r w:rsidRPr="00A46ECE">
        <w:rPr>
          <w:noProof/>
        </w:rPr>
        <w:drawing>
          <wp:inline distT="0" distB="0" distL="0" distR="0" wp14:anchorId="3B1007B4" wp14:editId="536F48CA">
            <wp:extent cx="2542032" cy="1269333"/>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2032" cy="1269333"/>
                    </a:xfrm>
                    <a:prstGeom prst="rect">
                      <a:avLst/>
                    </a:prstGeom>
                    <a:noFill/>
                    <a:ln>
                      <a:noFill/>
                    </a:ln>
                  </pic:spPr>
                </pic:pic>
              </a:graphicData>
            </a:graphic>
          </wp:inline>
        </w:drawing>
      </w:r>
    </w:p>
    <w:p w14:paraId="70A4BCC5" w14:textId="5744D574" w:rsidR="00837FD8" w:rsidRDefault="00837FD8" w:rsidP="009E2CF7">
      <w:pPr>
        <w:spacing w:line="240" w:lineRule="auto"/>
        <w:ind w:firstLineChars="0" w:firstLine="0"/>
        <w:jc w:val="center"/>
      </w:pPr>
      <w:r>
        <w:t>(a)</w:t>
      </w:r>
      <w:r>
        <w:tab/>
      </w:r>
      <w:r>
        <w:tab/>
      </w:r>
      <w:r>
        <w:tab/>
      </w:r>
      <w:r>
        <w:tab/>
      </w:r>
      <w:r>
        <w:tab/>
      </w:r>
      <w:r>
        <w:tab/>
      </w:r>
      <w:r>
        <w:tab/>
      </w:r>
      <w:r>
        <w:tab/>
      </w:r>
      <w:r>
        <w:tab/>
      </w:r>
      <w:r>
        <w:tab/>
        <w:t>(b)</w:t>
      </w:r>
    </w:p>
    <w:p w14:paraId="0B84AFCF" w14:textId="3255E2EA" w:rsidR="00F307C2" w:rsidRDefault="00F95BC0" w:rsidP="009E2CF7">
      <w:pPr>
        <w:spacing w:line="240" w:lineRule="auto"/>
        <w:ind w:firstLineChars="0" w:firstLine="0"/>
        <w:jc w:val="center"/>
      </w:pPr>
      <w:r w:rsidRPr="00A46ECE">
        <w:rPr>
          <w:noProof/>
        </w:rPr>
        <w:lastRenderedPageBreak/>
        <w:drawing>
          <wp:inline distT="0" distB="0" distL="0" distR="0" wp14:anchorId="322AA8BC" wp14:editId="48D08956">
            <wp:extent cx="2542032" cy="1269333"/>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2032" cy="1269333"/>
                    </a:xfrm>
                    <a:prstGeom prst="rect">
                      <a:avLst/>
                    </a:prstGeom>
                    <a:noFill/>
                    <a:ln>
                      <a:noFill/>
                    </a:ln>
                  </pic:spPr>
                </pic:pic>
              </a:graphicData>
            </a:graphic>
          </wp:inline>
        </w:drawing>
      </w:r>
      <w:r w:rsidR="00D6351A">
        <w:rPr>
          <w:rFonts w:hint="eastAsia"/>
        </w:rPr>
        <w:t xml:space="preserve">　</w:t>
      </w:r>
      <w:r w:rsidRPr="00A46ECE">
        <w:rPr>
          <w:noProof/>
        </w:rPr>
        <w:drawing>
          <wp:inline distT="0" distB="0" distL="0" distR="0" wp14:anchorId="50C1BE01" wp14:editId="67B5539F">
            <wp:extent cx="2542032" cy="1269333"/>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2032" cy="1269333"/>
                    </a:xfrm>
                    <a:prstGeom prst="rect">
                      <a:avLst/>
                    </a:prstGeom>
                    <a:noFill/>
                    <a:ln>
                      <a:noFill/>
                    </a:ln>
                  </pic:spPr>
                </pic:pic>
              </a:graphicData>
            </a:graphic>
          </wp:inline>
        </w:drawing>
      </w:r>
    </w:p>
    <w:p w14:paraId="5A88764F" w14:textId="1CEB09A9" w:rsidR="00837FD8" w:rsidRDefault="00837FD8" w:rsidP="009E2CF7">
      <w:pPr>
        <w:spacing w:line="240" w:lineRule="auto"/>
        <w:ind w:firstLineChars="0" w:firstLine="0"/>
        <w:jc w:val="center"/>
      </w:pPr>
      <w:r>
        <w:t>(c)</w:t>
      </w:r>
      <w:r>
        <w:tab/>
      </w:r>
      <w:r>
        <w:tab/>
      </w:r>
      <w:r>
        <w:tab/>
      </w:r>
      <w:r>
        <w:tab/>
      </w:r>
      <w:r>
        <w:tab/>
      </w:r>
      <w:r>
        <w:tab/>
      </w:r>
      <w:r>
        <w:tab/>
      </w:r>
      <w:r>
        <w:tab/>
      </w:r>
      <w:r>
        <w:tab/>
      </w:r>
      <w:r>
        <w:tab/>
        <w:t>(d)</w:t>
      </w:r>
    </w:p>
    <w:p w14:paraId="6A625A7C" w14:textId="06AC5995" w:rsidR="00D7679E" w:rsidRDefault="00F307C2" w:rsidP="009E2CF7">
      <w:pPr>
        <w:pStyle w:val="ac"/>
        <w:spacing w:line="240" w:lineRule="auto"/>
      </w:pPr>
      <w:bookmarkStart w:id="57" w:name="_Ref50933859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6113B">
        <w:rPr>
          <w:noProof/>
        </w:rPr>
        <w:t>4</w:t>
      </w:r>
      <w:r>
        <w:fldChar w:fldCharType="end"/>
      </w:r>
      <w:bookmarkEnd w:id="57"/>
      <w:r>
        <w:t xml:space="preserve"> </w:t>
      </w:r>
      <w:r>
        <w:rPr>
          <w:rFonts w:hint="eastAsia"/>
        </w:rPr>
        <w:t>同步性变化趋势</w:t>
      </w:r>
      <w:r>
        <w:rPr>
          <w:rFonts w:hint="eastAsia"/>
          <w:noProof/>
        </w:rPr>
        <w:t>（</w:t>
      </w:r>
      <w:r w:rsidR="00837FD8">
        <w:rPr>
          <w:rFonts w:hint="eastAsia"/>
          <w:noProof/>
        </w:rPr>
        <w:t>子样本</w:t>
      </w:r>
      <w:r>
        <w:rPr>
          <w:rFonts w:hint="eastAsia"/>
          <w:noProof/>
        </w:rPr>
        <w:t>）</w:t>
      </w:r>
    </w:p>
    <w:p w14:paraId="0E1D3345" w14:textId="61887585" w:rsidR="00D6351A" w:rsidRDefault="00D6351A" w:rsidP="009E2CF7">
      <w:pPr>
        <w:spacing w:line="240" w:lineRule="auto"/>
        <w:ind w:firstLine="420"/>
      </w:pPr>
      <w:r>
        <w:rPr>
          <w:rFonts w:hint="eastAsia"/>
        </w:rPr>
        <w:t>根据</w:t>
      </w:r>
      <w:r>
        <w:fldChar w:fldCharType="begin"/>
      </w:r>
      <w:r>
        <w:instrText xml:space="preserve"> </w:instrText>
      </w:r>
      <w:r>
        <w:rPr>
          <w:rFonts w:hint="eastAsia"/>
        </w:rPr>
        <w:instrText>REF _Ref509338594 \h</w:instrText>
      </w:r>
      <w:r>
        <w:instrText xml:space="preserve"> </w:instrText>
      </w:r>
      <w:r w:rsidR="009E2CF7">
        <w:instrText xml:space="preserve"> \* MERGEFORMAT </w:instrText>
      </w:r>
      <w:r>
        <w:fldChar w:fldCharType="separate"/>
      </w:r>
      <w:r w:rsidR="0016113B">
        <w:rPr>
          <w:rFonts w:hint="eastAsia"/>
        </w:rPr>
        <w:t>图</w:t>
      </w:r>
      <w:r w:rsidR="0016113B">
        <w:rPr>
          <w:noProof/>
        </w:rPr>
        <w:t>4</w:t>
      </w:r>
      <w:r>
        <w:fldChar w:fldCharType="end"/>
      </w:r>
      <w:r>
        <w:t>-a</w:t>
      </w:r>
      <w:r>
        <w:rPr>
          <w:rFonts w:hint="eastAsia"/>
        </w:rPr>
        <w:t>，将所有样本根据投资者情绪高低分为</w:t>
      </w:r>
      <w:r>
        <w:rPr>
          <w:rFonts w:hint="eastAsia"/>
        </w:rPr>
        <w:t>5</w:t>
      </w:r>
      <w:r>
        <w:rPr>
          <w:rFonts w:hint="eastAsia"/>
        </w:rPr>
        <w:t>组，可以发现在投资者情绪最低时发布的报告发布前后同步性变化幅度最大，但绝对水平最高，而随着投资者情绪的升高，同步性变化的幅度减小，在投资者情绪最高时发布的报告发布后股价同步性反而上升。最终各组的股价同步性水平趋于一致。</w:t>
      </w:r>
    </w:p>
    <w:p w14:paraId="774CBF80" w14:textId="69D11331" w:rsidR="00794D68" w:rsidRDefault="00D6351A" w:rsidP="009E2CF7">
      <w:pPr>
        <w:spacing w:line="240" w:lineRule="auto"/>
        <w:ind w:firstLine="420"/>
      </w:pPr>
      <w:r>
        <w:rPr>
          <w:rFonts w:hint="eastAsia"/>
        </w:rPr>
        <w:t>此外</w:t>
      </w:r>
      <w:r w:rsidR="000A532D">
        <w:rPr>
          <w:rFonts w:hint="eastAsia"/>
        </w:rPr>
        <w:t>，</w:t>
      </w:r>
      <w:r w:rsidR="00837FD8">
        <w:fldChar w:fldCharType="begin"/>
      </w:r>
      <w:r w:rsidR="00837FD8">
        <w:instrText xml:space="preserve"> </w:instrText>
      </w:r>
      <w:r w:rsidR="00837FD8">
        <w:rPr>
          <w:rFonts w:hint="eastAsia"/>
        </w:rPr>
        <w:instrText>REF _Ref509338594 \h</w:instrText>
      </w:r>
      <w:r w:rsidR="00837FD8">
        <w:instrText xml:space="preserve"> </w:instrText>
      </w:r>
      <w:r w:rsidR="009E2CF7">
        <w:instrText xml:space="preserve"> \* MERGEFORMAT </w:instrText>
      </w:r>
      <w:r w:rsidR="00837FD8">
        <w:fldChar w:fldCharType="separate"/>
      </w:r>
      <w:r w:rsidR="0016113B">
        <w:rPr>
          <w:rFonts w:hint="eastAsia"/>
        </w:rPr>
        <w:t>图</w:t>
      </w:r>
      <w:r w:rsidR="0016113B">
        <w:rPr>
          <w:noProof/>
        </w:rPr>
        <w:t>4</w:t>
      </w:r>
      <w:r w:rsidR="00837FD8">
        <w:fldChar w:fldCharType="end"/>
      </w:r>
      <w:r w:rsidR="00837FD8">
        <w:t>-b</w:t>
      </w:r>
      <w:r>
        <w:rPr>
          <w:rFonts w:hint="eastAsia"/>
        </w:rPr>
        <w:t>显示</w:t>
      </w:r>
      <w:r w:rsidR="00794D68">
        <w:rPr>
          <w:rFonts w:hint="eastAsia"/>
        </w:rPr>
        <w:t>“新财富”</w:t>
      </w:r>
      <w:proofErr w:type="gramStart"/>
      <w:r w:rsidR="00794D68">
        <w:rPr>
          <w:rFonts w:hint="eastAsia"/>
        </w:rPr>
        <w:t>最佳分析</w:t>
      </w:r>
      <w:proofErr w:type="gramEnd"/>
      <w:r w:rsidR="00794D68">
        <w:rPr>
          <w:rFonts w:hint="eastAsia"/>
        </w:rPr>
        <w:t>师的研究小组发布深度研究报告后，股价同步性下降的幅度远远大于非</w:t>
      </w:r>
      <w:proofErr w:type="gramStart"/>
      <w:r w:rsidR="00794D68">
        <w:rPr>
          <w:rFonts w:hint="eastAsia"/>
        </w:rPr>
        <w:t>最佳分析</w:t>
      </w:r>
      <w:proofErr w:type="gramEnd"/>
      <w:r w:rsidR="00794D68">
        <w:rPr>
          <w:rFonts w:hint="eastAsia"/>
        </w:rPr>
        <w:t>师，且最终稳定在一个更低的水平，这意味着明星分析师的深度报告具有更高的信息含量。</w:t>
      </w:r>
      <w:r w:rsidR="000A532D">
        <w:fldChar w:fldCharType="begin"/>
      </w:r>
      <w:r w:rsidR="000A532D">
        <w:instrText xml:space="preserve"> </w:instrText>
      </w:r>
      <w:r w:rsidR="000A532D">
        <w:rPr>
          <w:rFonts w:hint="eastAsia"/>
        </w:rPr>
        <w:instrText>REF _Ref509338594 \h</w:instrText>
      </w:r>
      <w:r w:rsidR="000A532D">
        <w:instrText xml:space="preserve"> </w:instrText>
      </w:r>
      <w:r w:rsidR="009E2CF7">
        <w:instrText xml:space="preserve"> \* MERGEFORMAT </w:instrText>
      </w:r>
      <w:r w:rsidR="000A532D">
        <w:fldChar w:fldCharType="separate"/>
      </w:r>
      <w:r w:rsidR="0016113B">
        <w:rPr>
          <w:rFonts w:hint="eastAsia"/>
        </w:rPr>
        <w:t>图</w:t>
      </w:r>
      <w:r w:rsidR="0016113B">
        <w:rPr>
          <w:noProof/>
        </w:rPr>
        <w:t>4</w:t>
      </w:r>
      <w:r w:rsidR="000A532D">
        <w:fldChar w:fldCharType="end"/>
      </w:r>
      <w:r w:rsidR="000A532D">
        <w:t>-</w:t>
      </w:r>
      <w:r w:rsidR="000A532D">
        <w:rPr>
          <w:rFonts w:hint="eastAsia"/>
        </w:rPr>
        <w:t xml:space="preserve">c </w:t>
      </w:r>
      <w:r w:rsidR="000A532D">
        <w:rPr>
          <w:rFonts w:hint="eastAsia"/>
        </w:rPr>
        <w:t>显示</w:t>
      </w:r>
      <w:r w:rsidR="00794D68">
        <w:rPr>
          <w:rFonts w:hint="eastAsia"/>
        </w:rPr>
        <w:t>“中性”评级的报告发布后股价同步性呈现缓慢上升趋势，“增持”和“买入”评级发布后，股价同步性都有所下降</w:t>
      </w:r>
      <w:r w:rsidR="000A532D">
        <w:rPr>
          <w:rFonts w:hint="eastAsia"/>
        </w:rPr>
        <w:t>，“卖出”和“减持”评级得到的序列非常不平滑，可能是由于这两组的样本数量非常少。</w:t>
      </w:r>
      <w:r w:rsidR="000A532D">
        <w:fldChar w:fldCharType="begin"/>
      </w:r>
      <w:r w:rsidR="000A532D">
        <w:instrText xml:space="preserve"> </w:instrText>
      </w:r>
      <w:r w:rsidR="000A532D">
        <w:rPr>
          <w:rFonts w:hint="eastAsia"/>
        </w:rPr>
        <w:instrText>REF _Ref509338594 \h</w:instrText>
      </w:r>
      <w:r w:rsidR="000A532D">
        <w:instrText xml:space="preserve"> </w:instrText>
      </w:r>
      <w:r w:rsidR="009E2CF7">
        <w:instrText xml:space="preserve"> \* MERGEFORMAT </w:instrText>
      </w:r>
      <w:r w:rsidR="000A532D">
        <w:fldChar w:fldCharType="separate"/>
      </w:r>
      <w:r w:rsidR="0016113B">
        <w:rPr>
          <w:rFonts w:hint="eastAsia"/>
        </w:rPr>
        <w:t>图</w:t>
      </w:r>
      <w:r w:rsidR="0016113B">
        <w:rPr>
          <w:noProof/>
        </w:rPr>
        <w:t>4</w:t>
      </w:r>
      <w:r w:rsidR="000A532D">
        <w:fldChar w:fldCharType="end"/>
      </w:r>
      <w:r w:rsidR="000A532D">
        <w:t>-</w:t>
      </w:r>
      <w:r w:rsidR="000A532D">
        <w:rPr>
          <w:rFonts w:hint="eastAsia"/>
        </w:rPr>
        <w:t>d</w:t>
      </w:r>
      <w:r w:rsidR="000A532D">
        <w:rPr>
          <w:rFonts w:hint="eastAsia"/>
        </w:rPr>
        <w:t>显示首次评级、上调评级和维持</w:t>
      </w:r>
      <w:r w:rsidR="00794D68">
        <w:rPr>
          <w:rFonts w:hint="eastAsia"/>
        </w:rPr>
        <w:t>评级后都出现了同步性的下降</w:t>
      </w:r>
      <w:r w:rsidR="000A532D">
        <w:rPr>
          <w:rFonts w:hint="eastAsia"/>
        </w:rPr>
        <w:t>，</w:t>
      </w:r>
      <w:r w:rsidR="00794D68">
        <w:rPr>
          <w:rFonts w:hint="eastAsia"/>
        </w:rPr>
        <w:t>可能是因为本文将样本限制为公司深度研究报告，因此即使分析</w:t>
      </w:r>
      <w:proofErr w:type="gramStart"/>
      <w:r w:rsidR="00794D68">
        <w:rPr>
          <w:rFonts w:hint="eastAsia"/>
        </w:rPr>
        <w:t>师维持</w:t>
      </w:r>
      <w:proofErr w:type="gramEnd"/>
      <w:r w:rsidR="00794D68">
        <w:rPr>
          <w:rFonts w:hint="eastAsia"/>
        </w:rPr>
        <w:t>上次评级，这些深度报告依然向市场传递了一些信息。</w:t>
      </w:r>
    </w:p>
    <w:p w14:paraId="408A93AE" w14:textId="050326C0" w:rsidR="00370B46" w:rsidRDefault="00EB3FF6" w:rsidP="009E2CF7">
      <w:pPr>
        <w:spacing w:line="240" w:lineRule="auto"/>
        <w:ind w:firstLine="420"/>
      </w:pPr>
      <w:r>
        <w:rPr>
          <w:rFonts w:hint="eastAsia"/>
        </w:rPr>
        <w:t>为了</w:t>
      </w:r>
      <w:r w:rsidR="007F77AB">
        <w:rPr>
          <w:rFonts w:hint="eastAsia"/>
        </w:rPr>
        <w:t>更好的控制其他外部因素，本文使用</w:t>
      </w:r>
      <w:r w:rsidR="00616AAF">
        <w:rPr>
          <w:rFonts w:hint="eastAsia"/>
        </w:rPr>
        <w:t>股价</w:t>
      </w:r>
      <w:r w:rsidR="007F77AB">
        <w:rPr>
          <w:rFonts w:hint="eastAsia"/>
        </w:rPr>
        <w:t>同步性变化</w:t>
      </w:r>
      <m:oMath>
        <m:r>
          <w:rPr>
            <w:rFonts w:ascii="Cambria Math" w:hAnsi="Cambria Math"/>
          </w:rPr>
          <m:t>dr2</m:t>
        </m:r>
      </m:oMath>
      <w:r w:rsidR="007F77AB">
        <w:rPr>
          <w:rFonts w:hint="eastAsia"/>
        </w:rPr>
        <w:t>为被解释变量，使用投资者情绪、明星分析师身份、评级水平、评级调整方向为解释变量</w:t>
      </w:r>
      <w:r w:rsidR="005039CD">
        <w:rPr>
          <w:rFonts w:hint="eastAsia"/>
        </w:rPr>
        <w:t>进行多元回归</w:t>
      </w:r>
      <w:r w:rsidR="007F77AB">
        <w:rPr>
          <w:rFonts w:hint="eastAsia"/>
        </w:rPr>
        <w:t>，并控制了市场周期和行业差异。</w:t>
      </w:r>
      <w:r w:rsidR="00370B46">
        <w:rPr>
          <w:rFonts w:hint="eastAsia"/>
        </w:rPr>
        <w:t>根据本文的假设和已有研究，预期报告发布时投资者情绪越高，同步性向下的变化幅度越小，即</w:t>
      </w:r>
      <m:oMath>
        <m:r>
          <w:rPr>
            <w:rFonts w:ascii="Cambria Math" w:hAnsi="Cambria Math"/>
          </w:rPr>
          <m:t>dr2</m:t>
        </m:r>
      </m:oMath>
      <w:r w:rsidR="00370B46">
        <w:rPr>
          <w:rFonts w:hint="eastAsia"/>
        </w:rPr>
        <w:t>越大，回归系数为正。同时，新财富分析师的报告有更高的信息含量，同步性向下变化幅度更大，即</w:t>
      </w:r>
      <m:oMath>
        <m:r>
          <w:rPr>
            <w:rFonts w:ascii="Cambria Math" w:hAnsi="Cambria Math" w:hint="eastAsia"/>
          </w:rPr>
          <m:t>dr2</m:t>
        </m:r>
      </m:oMath>
      <w:r w:rsidR="00370B46">
        <w:rPr>
          <w:rFonts w:hint="eastAsia"/>
        </w:rPr>
        <w:t>更小，回归系数为负；评级为中性的报告有更低的信息含量，同步性向下的变化幅度更小，回归系数为正。</w:t>
      </w:r>
    </w:p>
    <w:p w14:paraId="418668FF" w14:textId="4476074E" w:rsidR="007F3EB0" w:rsidRDefault="007F3EB0" w:rsidP="009E2CF7">
      <w:pPr>
        <w:pStyle w:val="ac"/>
        <w:spacing w:line="240" w:lineRule="auto"/>
      </w:pPr>
      <w:bookmarkStart w:id="58" w:name="_Ref509338647"/>
      <w:bookmarkStart w:id="59" w:name="_Ref50933863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7</w:t>
      </w:r>
      <w:r>
        <w:fldChar w:fldCharType="end"/>
      </w:r>
      <w:bookmarkEnd w:id="58"/>
      <w:r>
        <w:rPr>
          <w:noProof/>
        </w:rPr>
        <w:t xml:space="preserve"> </w:t>
      </w:r>
      <w:r>
        <w:rPr>
          <w:rFonts w:hint="eastAsia"/>
          <w:noProof/>
        </w:rPr>
        <w:t>分析师报告信息含量多元回归结果</w:t>
      </w:r>
      <w:bookmarkEnd w:id="59"/>
    </w:p>
    <w:tbl>
      <w:tblPr>
        <w:tblStyle w:val="6"/>
        <w:tblW w:w="5000" w:type="pct"/>
        <w:tblLook w:val="06A0" w:firstRow="1" w:lastRow="0" w:firstColumn="1" w:lastColumn="0" w:noHBand="1" w:noVBand="1"/>
      </w:tblPr>
      <w:tblGrid>
        <w:gridCol w:w="4080"/>
        <w:gridCol w:w="2113"/>
        <w:gridCol w:w="2113"/>
      </w:tblGrid>
      <w:tr w:rsidR="00F95BC0" w:rsidRPr="0091224D" w14:paraId="1E94CEB7" w14:textId="77777777" w:rsidTr="00161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pct"/>
            <w:vAlign w:val="center"/>
          </w:tcPr>
          <w:p w14:paraId="3DDF170D" w14:textId="77777777" w:rsidR="00F95BC0" w:rsidRPr="0091224D" w:rsidRDefault="00F95BC0" w:rsidP="009E2CF7">
            <w:pPr>
              <w:autoSpaceDE w:val="0"/>
              <w:autoSpaceDN w:val="0"/>
              <w:adjustRightInd w:val="0"/>
              <w:spacing w:before="79" w:after="79" w:line="240" w:lineRule="auto"/>
              <w:ind w:firstLineChars="0" w:firstLine="0"/>
              <w:jc w:val="center"/>
              <w:rPr>
                <w:kern w:val="0"/>
                <w:szCs w:val="21"/>
              </w:rPr>
            </w:pPr>
          </w:p>
        </w:tc>
        <w:tc>
          <w:tcPr>
            <w:tcW w:w="1272" w:type="pct"/>
            <w:vAlign w:val="center"/>
          </w:tcPr>
          <w:p w14:paraId="32841E1F" w14:textId="77777777" w:rsidR="00F95BC0" w:rsidRPr="0091224D" w:rsidRDefault="00F95BC0" w:rsidP="009E2CF7">
            <w:pPr>
              <w:autoSpaceDE w:val="0"/>
              <w:autoSpaceDN w:val="0"/>
              <w:adjustRightInd w:val="0"/>
              <w:spacing w:before="79" w:after="79"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kern w:val="0"/>
                <w:szCs w:val="21"/>
              </w:rPr>
            </w:pPr>
            <w:r w:rsidRPr="0091224D">
              <w:rPr>
                <w:kern w:val="0"/>
                <w:szCs w:val="21"/>
              </w:rPr>
              <w:t>列</w:t>
            </w:r>
            <w:r w:rsidRPr="0091224D">
              <w:rPr>
                <w:kern w:val="0"/>
                <w:szCs w:val="21"/>
              </w:rPr>
              <w:t xml:space="preserve"> (8)</w:t>
            </w:r>
          </w:p>
        </w:tc>
        <w:tc>
          <w:tcPr>
            <w:tcW w:w="1272" w:type="pct"/>
            <w:vAlign w:val="center"/>
          </w:tcPr>
          <w:p w14:paraId="11846148" w14:textId="77777777" w:rsidR="00F95BC0" w:rsidRPr="0091224D" w:rsidRDefault="00F95BC0" w:rsidP="009E2CF7">
            <w:pPr>
              <w:autoSpaceDE w:val="0"/>
              <w:autoSpaceDN w:val="0"/>
              <w:adjustRightInd w:val="0"/>
              <w:spacing w:before="79" w:after="79"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kern w:val="0"/>
                <w:szCs w:val="21"/>
              </w:rPr>
            </w:pPr>
            <w:r w:rsidRPr="0091224D">
              <w:rPr>
                <w:kern w:val="0"/>
                <w:szCs w:val="21"/>
              </w:rPr>
              <w:t>列</w:t>
            </w:r>
            <w:r w:rsidRPr="0091224D">
              <w:rPr>
                <w:kern w:val="0"/>
                <w:szCs w:val="21"/>
              </w:rPr>
              <w:t xml:space="preserve"> (9)</w:t>
            </w:r>
          </w:p>
        </w:tc>
      </w:tr>
      <w:tr w:rsidR="00F95BC0" w:rsidRPr="0091224D" w14:paraId="2D45CB69"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4DCB07DD" w14:textId="77777777" w:rsidR="00F95BC0" w:rsidRPr="0091224D" w:rsidRDefault="00F95BC0" w:rsidP="009E2CF7">
            <w:pPr>
              <w:autoSpaceDE w:val="0"/>
              <w:autoSpaceDN w:val="0"/>
              <w:adjustRightInd w:val="0"/>
              <w:spacing w:line="240" w:lineRule="auto"/>
              <w:ind w:firstLineChars="0" w:firstLine="0"/>
              <w:jc w:val="center"/>
              <w:rPr>
                <w:b w:val="0"/>
                <w:bCs w:val="0"/>
                <w:kern w:val="0"/>
                <w:szCs w:val="21"/>
              </w:rPr>
            </w:pPr>
            <w:r w:rsidRPr="0091224D">
              <w:rPr>
                <w:rFonts w:hint="eastAsia"/>
                <w:kern w:val="0"/>
                <w:szCs w:val="21"/>
              </w:rPr>
              <w:t>异常换手率</w:t>
            </w:r>
          </w:p>
          <w:p w14:paraId="00F98AC5"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（分组变量）</w:t>
            </w:r>
          </w:p>
        </w:tc>
        <w:tc>
          <w:tcPr>
            <w:tcW w:w="1272" w:type="pct"/>
            <w:vAlign w:val="center"/>
          </w:tcPr>
          <w:p w14:paraId="004D671C"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0.0049</w:t>
            </w:r>
          </w:p>
        </w:tc>
        <w:tc>
          <w:tcPr>
            <w:tcW w:w="1272" w:type="pct"/>
            <w:vAlign w:val="center"/>
          </w:tcPr>
          <w:p w14:paraId="347951D9"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p>
        </w:tc>
      </w:tr>
      <w:tr w:rsidR="00F95BC0" w:rsidRPr="0091224D" w14:paraId="4A04B9E3"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Pr>
          <w:p w14:paraId="6999337D"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vAlign w:val="center"/>
          </w:tcPr>
          <w:p w14:paraId="35593307"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(8.72)**</w:t>
            </w:r>
          </w:p>
        </w:tc>
        <w:tc>
          <w:tcPr>
            <w:tcW w:w="1272" w:type="pct"/>
            <w:vAlign w:val="center"/>
          </w:tcPr>
          <w:p w14:paraId="3A076D9C"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p>
        </w:tc>
      </w:tr>
      <w:tr w:rsidR="00F95BC0" w:rsidRPr="0091224D" w14:paraId="1E5EF974"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325C067E"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明星分析师身份</w:t>
            </w:r>
          </w:p>
        </w:tc>
        <w:tc>
          <w:tcPr>
            <w:tcW w:w="1272" w:type="pct"/>
            <w:vAlign w:val="center"/>
          </w:tcPr>
          <w:p w14:paraId="0F71DF20"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-0.0097</w:t>
            </w:r>
          </w:p>
        </w:tc>
        <w:tc>
          <w:tcPr>
            <w:tcW w:w="1272" w:type="pct"/>
            <w:vAlign w:val="center"/>
          </w:tcPr>
          <w:p w14:paraId="1E898FD1"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-0.0098</w:t>
            </w:r>
          </w:p>
        </w:tc>
      </w:tr>
      <w:tr w:rsidR="00F95BC0" w:rsidRPr="0091224D" w14:paraId="66FA52F4"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Pr>
          <w:p w14:paraId="3C949748"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vAlign w:val="center"/>
          </w:tcPr>
          <w:p w14:paraId="2B7C6B37"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(4.91)**</w:t>
            </w:r>
          </w:p>
        </w:tc>
        <w:tc>
          <w:tcPr>
            <w:tcW w:w="1272" w:type="pct"/>
            <w:vAlign w:val="center"/>
          </w:tcPr>
          <w:p w14:paraId="5F29F073"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(4.97)**</w:t>
            </w:r>
          </w:p>
        </w:tc>
      </w:tr>
      <w:tr w:rsidR="00F95BC0" w:rsidRPr="0091224D" w14:paraId="533F765F"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2C4D390D"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评级水平</w:t>
            </w:r>
          </w:p>
        </w:tc>
        <w:tc>
          <w:tcPr>
            <w:tcW w:w="1272" w:type="pct"/>
            <w:vAlign w:val="center"/>
          </w:tcPr>
          <w:p w14:paraId="29927C78"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0.0102</w:t>
            </w:r>
          </w:p>
        </w:tc>
        <w:tc>
          <w:tcPr>
            <w:tcW w:w="1272" w:type="pct"/>
            <w:vAlign w:val="center"/>
          </w:tcPr>
          <w:p w14:paraId="73BDCBC7"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0.0101</w:t>
            </w:r>
          </w:p>
        </w:tc>
      </w:tr>
      <w:tr w:rsidR="00F95BC0" w:rsidRPr="0091224D" w14:paraId="25FFF502"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Pr>
          <w:p w14:paraId="44ACF5B3"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vAlign w:val="center"/>
          </w:tcPr>
          <w:p w14:paraId="3A5AB00A"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(2.36)*</w:t>
            </w:r>
          </w:p>
        </w:tc>
        <w:tc>
          <w:tcPr>
            <w:tcW w:w="1272" w:type="pct"/>
            <w:vAlign w:val="center"/>
          </w:tcPr>
          <w:p w14:paraId="44204B92"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(2.33)*</w:t>
            </w:r>
          </w:p>
        </w:tc>
      </w:tr>
      <w:tr w:rsidR="00F95BC0" w:rsidRPr="0091224D" w14:paraId="1CD16943"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676726D0" w14:textId="77777777" w:rsidR="00F95BC0" w:rsidRPr="0091224D" w:rsidRDefault="00F95BC0" w:rsidP="009E2CF7">
            <w:pPr>
              <w:autoSpaceDE w:val="0"/>
              <w:autoSpaceDN w:val="0"/>
              <w:adjustRightInd w:val="0"/>
              <w:spacing w:line="240" w:lineRule="auto"/>
              <w:ind w:firstLineChars="0" w:firstLine="0"/>
              <w:jc w:val="center"/>
              <w:rPr>
                <w:b w:val="0"/>
                <w:bCs w:val="0"/>
                <w:kern w:val="0"/>
                <w:szCs w:val="21"/>
              </w:rPr>
            </w:pPr>
            <w:r w:rsidRPr="0091224D">
              <w:rPr>
                <w:rFonts w:hint="eastAsia"/>
                <w:kern w:val="0"/>
                <w:szCs w:val="21"/>
              </w:rPr>
              <w:t>评级调整方向</w:t>
            </w:r>
          </w:p>
          <w:p w14:paraId="7B48F8A3"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（首次评级）</w:t>
            </w:r>
          </w:p>
        </w:tc>
        <w:tc>
          <w:tcPr>
            <w:tcW w:w="1272" w:type="pct"/>
            <w:vAlign w:val="center"/>
          </w:tcPr>
          <w:p w14:paraId="397787D1"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-0.0127</w:t>
            </w:r>
          </w:p>
        </w:tc>
        <w:tc>
          <w:tcPr>
            <w:tcW w:w="1272" w:type="pct"/>
            <w:vAlign w:val="center"/>
          </w:tcPr>
          <w:p w14:paraId="39A2277B"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-0.0120</w:t>
            </w:r>
          </w:p>
        </w:tc>
      </w:tr>
      <w:tr w:rsidR="00F95BC0" w:rsidRPr="0091224D" w14:paraId="247B478C"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Pr>
          <w:p w14:paraId="28BFDF12"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vAlign w:val="center"/>
          </w:tcPr>
          <w:p w14:paraId="63DD8410"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(1.49)</w:t>
            </w:r>
          </w:p>
        </w:tc>
        <w:tc>
          <w:tcPr>
            <w:tcW w:w="1272" w:type="pct"/>
            <w:vAlign w:val="center"/>
          </w:tcPr>
          <w:p w14:paraId="44204170"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(1.40)</w:t>
            </w:r>
          </w:p>
        </w:tc>
      </w:tr>
      <w:tr w:rsidR="00F95BC0" w:rsidRPr="0091224D" w14:paraId="5D9CDFF9"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287481E1" w14:textId="77777777" w:rsidR="00F95BC0" w:rsidRPr="0091224D" w:rsidRDefault="00F95BC0" w:rsidP="009E2CF7">
            <w:pPr>
              <w:autoSpaceDE w:val="0"/>
              <w:autoSpaceDN w:val="0"/>
              <w:adjustRightInd w:val="0"/>
              <w:spacing w:line="240" w:lineRule="auto"/>
              <w:ind w:firstLineChars="0" w:firstLine="0"/>
              <w:jc w:val="center"/>
              <w:rPr>
                <w:b w:val="0"/>
                <w:bCs w:val="0"/>
                <w:kern w:val="0"/>
                <w:szCs w:val="21"/>
              </w:rPr>
            </w:pPr>
            <w:r w:rsidRPr="0091224D">
              <w:rPr>
                <w:rFonts w:hint="eastAsia"/>
                <w:kern w:val="0"/>
                <w:szCs w:val="21"/>
              </w:rPr>
              <w:t>评级调整方向</w:t>
            </w:r>
          </w:p>
          <w:p w14:paraId="18A75B2C"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（维持评级）</w:t>
            </w:r>
          </w:p>
        </w:tc>
        <w:tc>
          <w:tcPr>
            <w:tcW w:w="1272" w:type="pct"/>
            <w:vAlign w:val="center"/>
          </w:tcPr>
          <w:p w14:paraId="676176EE"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-0.0131</w:t>
            </w:r>
          </w:p>
        </w:tc>
        <w:tc>
          <w:tcPr>
            <w:tcW w:w="1272" w:type="pct"/>
            <w:vAlign w:val="center"/>
          </w:tcPr>
          <w:p w14:paraId="211C8166"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-0.0123</w:t>
            </w:r>
          </w:p>
        </w:tc>
      </w:tr>
      <w:tr w:rsidR="00F95BC0" w:rsidRPr="0091224D" w14:paraId="17EFF877"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Pr>
          <w:p w14:paraId="66493CF4"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vAlign w:val="center"/>
          </w:tcPr>
          <w:p w14:paraId="22B45341"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(1.54)</w:t>
            </w:r>
          </w:p>
        </w:tc>
        <w:tc>
          <w:tcPr>
            <w:tcW w:w="1272" w:type="pct"/>
            <w:vAlign w:val="center"/>
          </w:tcPr>
          <w:p w14:paraId="7AEAACB1"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(1.42)</w:t>
            </w:r>
          </w:p>
        </w:tc>
      </w:tr>
      <w:tr w:rsidR="00F95BC0" w:rsidRPr="0091224D" w14:paraId="5E2FB435"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6C1BB1F0" w14:textId="77777777" w:rsidR="00F95BC0" w:rsidRPr="0091224D" w:rsidRDefault="00F95BC0" w:rsidP="009E2CF7">
            <w:pPr>
              <w:autoSpaceDE w:val="0"/>
              <w:autoSpaceDN w:val="0"/>
              <w:adjustRightInd w:val="0"/>
              <w:spacing w:line="240" w:lineRule="auto"/>
              <w:ind w:firstLineChars="0" w:firstLine="0"/>
              <w:jc w:val="center"/>
              <w:rPr>
                <w:b w:val="0"/>
                <w:bCs w:val="0"/>
                <w:kern w:val="0"/>
                <w:szCs w:val="21"/>
              </w:rPr>
            </w:pPr>
            <w:r w:rsidRPr="0091224D">
              <w:rPr>
                <w:rFonts w:hint="eastAsia"/>
                <w:kern w:val="0"/>
                <w:szCs w:val="21"/>
              </w:rPr>
              <w:t>评级调整方向</w:t>
            </w:r>
          </w:p>
          <w:p w14:paraId="7D8633AD"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（上调评级）</w:t>
            </w:r>
          </w:p>
        </w:tc>
        <w:tc>
          <w:tcPr>
            <w:tcW w:w="1272" w:type="pct"/>
            <w:vAlign w:val="center"/>
          </w:tcPr>
          <w:p w14:paraId="20797ED8"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-0.0201</w:t>
            </w:r>
          </w:p>
        </w:tc>
        <w:tc>
          <w:tcPr>
            <w:tcW w:w="1272" w:type="pct"/>
            <w:vAlign w:val="center"/>
          </w:tcPr>
          <w:p w14:paraId="7003D5D8"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-0.0191</w:t>
            </w:r>
          </w:p>
        </w:tc>
      </w:tr>
      <w:tr w:rsidR="00F95BC0" w:rsidRPr="0091224D" w14:paraId="3765E725"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Pr>
          <w:p w14:paraId="67212F17"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vAlign w:val="center"/>
          </w:tcPr>
          <w:p w14:paraId="7F187D63"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(2.15)*</w:t>
            </w:r>
          </w:p>
        </w:tc>
        <w:tc>
          <w:tcPr>
            <w:tcW w:w="1272" w:type="pct"/>
            <w:vAlign w:val="center"/>
          </w:tcPr>
          <w:p w14:paraId="698F3EB7"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(2.02)*</w:t>
            </w:r>
          </w:p>
        </w:tc>
      </w:tr>
      <w:tr w:rsidR="00F95BC0" w:rsidRPr="0091224D" w14:paraId="77D249BE" w14:textId="77777777" w:rsidTr="0016113B">
        <w:tc>
          <w:tcPr>
            <w:cnfStyle w:val="001000000000" w:firstRow="0" w:lastRow="0" w:firstColumn="1" w:lastColumn="0" w:oddVBand="0" w:evenVBand="0" w:oddHBand="0" w:evenHBand="0" w:firstRowFirstColumn="0" w:firstRowLastColumn="0" w:lastRowFirstColumn="0" w:lastRowLastColumn="0"/>
            <w:tcW w:w="2456" w:type="pct"/>
          </w:tcPr>
          <w:p w14:paraId="5B614929"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rFonts w:hint="eastAsia"/>
                <w:kern w:val="0"/>
                <w:szCs w:val="21"/>
              </w:rPr>
              <w:t>其他控制变量</w:t>
            </w:r>
          </w:p>
        </w:tc>
        <w:tc>
          <w:tcPr>
            <w:tcW w:w="1272" w:type="pct"/>
            <w:vAlign w:val="center"/>
          </w:tcPr>
          <w:p w14:paraId="3E40981D"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N</w:t>
            </w:r>
          </w:p>
        </w:tc>
        <w:tc>
          <w:tcPr>
            <w:tcW w:w="1272" w:type="pct"/>
            <w:vAlign w:val="center"/>
          </w:tcPr>
          <w:p w14:paraId="4F1871CB"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N</w:t>
            </w:r>
          </w:p>
        </w:tc>
      </w:tr>
      <w:tr w:rsidR="00F95BC0" w:rsidRPr="0091224D" w14:paraId="31E0CF9E"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val="restart"/>
          </w:tcPr>
          <w:p w14:paraId="5963E56C"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kern w:val="0"/>
                <w:szCs w:val="21"/>
              </w:rPr>
              <w:t>_Cons</w:t>
            </w:r>
          </w:p>
        </w:tc>
        <w:tc>
          <w:tcPr>
            <w:tcW w:w="1272" w:type="pct"/>
            <w:vAlign w:val="center"/>
          </w:tcPr>
          <w:p w14:paraId="6865538C"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-0.0151</w:t>
            </w:r>
          </w:p>
        </w:tc>
        <w:tc>
          <w:tcPr>
            <w:tcW w:w="1272" w:type="pct"/>
            <w:vAlign w:val="center"/>
          </w:tcPr>
          <w:p w14:paraId="1243109B"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-0.0017</w:t>
            </w:r>
          </w:p>
        </w:tc>
      </w:tr>
      <w:tr w:rsidR="00F95BC0" w:rsidRPr="0091224D" w14:paraId="645358C4" w14:textId="77777777" w:rsidTr="0016113B">
        <w:tc>
          <w:tcPr>
            <w:cnfStyle w:val="001000000000" w:firstRow="0" w:lastRow="0" w:firstColumn="1" w:lastColumn="0" w:oddVBand="0" w:evenVBand="0" w:oddHBand="0" w:evenHBand="0" w:firstRowFirstColumn="0" w:firstRowLastColumn="0" w:lastRowFirstColumn="0" w:lastRowLastColumn="0"/>
            <w:tcW w:w="2456" w:type="pct"/>
            <w:vMerge/>
            <w:tcBorders>
              <w:bottom w:val="double" w:sz="4" w:space="0" w:color="auto"/>
            </w:tcBorders>
            <w:vAlign w:val="center"/>
          </w:tcPr>
          <w:p w14:paraId="1889BAEA" w14:textId="77777777" w:rsidR="00F95BC0" w:rsidRPr="0091224D" w:rsidRDefault="00F95BC0" w:rsidP="009E2CF7">
            <w:pPr>
              <w:autoSpaceDE w:val="0"/>
              <w:autoSpaceDN w:val="0"/>
              <w:adjustRightInd w:val="0"/>
              <w:spacing w:line="240" w:lineRule="auto"/>
              <w:ind w:firstLineChars="0" w:firstLine="0"/>
              <w:jc w:val="center"/>
              <w:rPr>
                <w:kern w:val="0"/>
                <w:szCs w:val="21"/>
              </w:rPr>
            </w:pPr>
          </w:p>
        </w:tc>
        <w:tc>
          <w:tcPr>
            <w:tcW w:w="1272" w:type="pct"/>
            <w:tcBorders>
              <w:bottom w:val="double" w:sz="4" w:space="0" w:color="auto"/>
            </w:tcBorders>
            <w:vAlign w:val="center"/>
          </w:tcPr>
          <w:p w14:paraId="76D466AA"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(1.45)</w:t>
            </w:r>
          </w:p>
        </w:tc>
        <w:tc>
          <w:tcPr>
            <w:tcW w:w="1272" w:type="pct"/>
            <w:tcBorders>
              <w:bottom w:val="double" w:sz="4" w:space="0" w:color="auto"/>
            </w:tcBorders>
            <w:vAlign w:val="center"/>
          </w:tcPr>
          <w:p w14:paraId="4D7388C9" w14:textId="77777777" w:rsidR="00F95BC0" w:rsidRPr="0091224D" w:rsidRDefault="00F95BC0" w:rsidP="009E2CF7">
            <w:pPr>
              <w:tabs>
                <w:tab w:val="decimal" w:pos="538"/>
              </w:tabs>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91224D">
              <w:rPr>
                <w:kern w:val="0"/>
                <w:szCs w:val="21"/>
              </w:rPr>
              <w:t>(0.16)</w:t>
            </w:r>
          </w:p>
        </w:tc>
      </w:tr>
      <w:tr w:rsidR="00F95BC0" w:rsidRPr="0091224D" w14:paraId="7206EA53" w14:textId="77777777" w:rsidTr="0016113B">
        <w:tc>
          <w:tcPr>
            <w:cnfStyle w:val="001000000000" w:firstRow="0" w:lastRow="0" w:firstColumn="1" w:lastColumn="0" w:oddVBand="0" w:evenVBand="0" w:oddHBand="0" w:evenHBand="0" w:firstRowFirstColumn="0" w:firstRowLastColumn="0" w:lastRowFirstColumn="0" w:lastRowLastColumn="0"/>
            <w:tcW w:w="2456" w:type="pct"/>
            <w:tcBorders>
              <w:top w:val="double" w:sz="4" w:space="0" w:color="auto"/>
              <w:bottom w:val="nil"/>
            </w:tcBorders>
            <w:vAlign w:val="center"/>
          </w:tcPr>
          <w:p w14:paraId="6C81378F" w14:textId="77777777" w:rsidR="00F95BC0" w:rsidRPr="0091224D" w:rsidRDefault="00F95BC0" w:rsidP="009E2CF7">
            <w:pPr>
              <w:autoSpaceDE w:val="0"/>
              <w:autoSpaceDN w:val="0"/>
              <w:adjustRightInd w:val="0"/>
              <w:spacing w:line="240" w:lineRule="auto"/>
              <w:ind w:firstLineChars="0" w:firstLine="0"/>
              <w:jc w:val="center"/>
              <w:rPr>
                <w:kern w:val="0"/>
                <w:szCs w:val="21"/>
              </w:rPr>
            </w:pPr>
            <w:proofErr w:type="spellStart"/>
            <w:r w:rsidRPr="0091224D">
              <w:rPr>
                <w:kern w:val="0"/>
                <w:szCs w:val="21"/>
              </w:rPr>
              <w:t>Obs</w:t>
            </w:r>
            <w:proofErr w:type="spellEnd"/>
          </w:p>
        </w:tc>
        <w:tc>
          <w:tcPr>
            <w:tcW w:w="1272" w:type="pct"/>
            <w:tcBorders>
              <w:top w:val="double" w:sz="4" w:space="0" w:color="auto"/>
              <w:bottom w:val="nil"/>
            </w:tcBorders>
            <w:vAlign w:val="center"/>
          </w:tcPr>
          <w:p w14:paraId="343D596B" w14:textId="77777777" w:rsidR="00F95BC0" w:rsidRPr="0091224D" w:rsidRDefault="00F95BC0" w:rsidP="009E2CF7">
            <w:pPr>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91224D">
              <w:rPr>
                <w:b/>
                <w:kern w:val="0"/>
                <w:szCs w:val="21"/>
              </w:rPr>
              <w:t>19,434</w:t>
            </w:r>
          </w:p>
        </w:tc>
        <w:tc>
          <w:tcPr>
            <w:tcW w:w="1272" w:type="pct"/>
            <w:tcBorders>
              <w:top w:val="double" w:sz="4" w:space="0" w:color="auto"/>
              <w:bottom w:val="nil"/>
            </w:tcBorders>
            <w:vAlign w:val="center"/>
          </w:tcPr>
          <w:p w14:paraId="309C2A13" w14:textId="77777777" w:rsidR="00F95BC0" w:rsidRPr="0091224D" w:rsidRDefault="00F95BC0" w:rsidP="009E2CF7">
            <w:pPr>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91224D">
              <w:rPr>
                <w:b/>
                <w:kern w:val="0"/>
                <w:szCs w:val="21"/>
              </w:rPr>
              <w:t>19,434</w:t>
            </w:r>
          </w:p>
        </w:tc>
      </w:tr>
      <w:tr w:rsidR="00F95BC0" w:rsidRPr="0091224D" w14:paraId="202C0991" w14:textId="77777777" w:rsidTr="0016113B">
        <w:tc>
          <w:tcPr>
            <w:cnfStyle w:val="001000000000" w:firstRow="0" w:lastRow="0" w:firstColumn="1" w:lastColumn="0" w:oddVBand="0" w:evenVBand="0" w:oddHBand="0" w:evenHBand="0" w:firstRowFirstColumn="0" w:firstRowLastColumn="0" w:lastRowFirstColumn="0" w:lastRowLastColumn="0"/>
            <w:tcW w:w="2456" w:type="pct"/>
            <w:tcBorders>
              <w:top w:val="nil"/>
              <w:bottom w:val="nil"/>
            </w:tcBorders>
            <w:vAlign w:val="center"/>
          </w:tcPr>
          <w:p w14:paraId="0E5860AD"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kern w:val="0"/>
                <w:szCs w:val="21"/>
              </w:rPr>
              <w:t>F Statistics</w:t>
            </w:r>
          </w:p>
        </w:tc>
        <w:tc>
          <w:tcPr>
            <w:tcW w:w="1272" w:type="pct"/>
            <w:tcBorders>
              <w:top w:val="nil"/>
              <w:bottom w:val="nil"/>
            </w:tcBorders>
            <w:vAlign w:val="center"/>
          </w:tcPr>
          <w:p w14:paraId="6F817D53" w14:textId="77777777" w:rsidR="00F95BC0" w:rsidRPr="0091224D" w:rsidRDefault="00F95BC0" w:rsidP="009E2CF7">
            <w:pPr>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91224D">
              <w:rPr>
                <w:b/>
                <w:kern w:val="0"/>
                <w:szCs w:val="21"/>
              </w:rPr>
              <w:t>6.28</w:t>
            </w:r>
          </w:p>
        </w:tc>
        <w:tc>
          <w:tcPr>
            <w:tcW w:w="1272" w:type="pct"/>
            <w:tcBorders>
              <w:top w:val="nil"/>
              <w:bottom w:val="nil"/>
            </w:tcBorders>
            <w:vAlign w:val="center"/>
          </w:tcPr>
          <w:p w14:paraId="55B1C6FF" w14:textId="77777777" w:rsidR="00F95BC0" w:rsidRPr="0091224D" w:rsidRDefault="00F95BC0" w:rsidP="009E2CF7">
            <w:pPr>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91224D">
              <w:rPr>
                <w:b/>
                <w:kern w:val="0"/>
                <w:szCs w:val="21"/>
              </w:rPr>
              <w:t>3.25</w:t>
            </w:r>
          </w:p>
        </w:tc>
      </w:tr>
      <w:tr w:rsidR="00F95BC0" w:rsidRPr="0091224D" w14:paraId="68DEA8E9" w14:textId="77777777" w:rsidTr="0016113B">
        <w:tc>
          <w:tcPr>
            <w:cnfStyle w:val="001000000000" w:firstRow="0" w:lastRow="0" w:firstColumn="1" w:lastColumn="0" w:oddVBand="0" w:evenVBand="0" w:oddHBand="0" w:evenHBand="0" w:firstRowFirstColumn="0" w:firstRowLastColumn="0" w:lastRowFirstColumn="0" w:lastRowLastColumn="0"/>
            <w:tcW w:w="2456" w:type="pct"/>
            <w:tcBorders>
              <w:top w:val="nil"/>
            </w:tcBorders>
            <w:vAlign w:val="center"/>
          </w:tcPr>
          <w:p w14:paraId="5477CCDA" w14:textId="77777777" w:rsidR="00F95BC0" w:rsidRPr="0091224D" w:rsidRDefault="00F95BC0" w:rsidP="009E2CF7">
            <w:pPr>
              <w:autoSpaceDE w:val="0"/>
              <w:autoSpaceDN w:val="0"/>
              <w:adjustRightInd w:val="0"/>
              <w:spacing w:line="240" w:lineRule="auto"/>
              <w:ind w:firstLineChars="0" w:firstLine="0"/>
              <w:jc w:val="center"/>
              <w:rPr>
                <w:kern w:val="0"/>
                <w:szCs w:val="21"/>
              </w:rPr>
            </w:pPr>
            <w:r w:rsidRPr="0091224D">
              <w:rPr>
                <w:i/>
                <w:iCs/>
                <w:kern w:val="0"/>
                <w:szCs w:val="21"/>
              </w:rPr>
              <w:t>R</w:t>
            </w:r>
            <w:r w:rsidRPr="0091224D">
              <w:rPr>
                <w:kern w:val="0"/>
                <w:szCs w:val="21"/>
                <w:vertAlign w:val="superscript"/>
              </w:rPr>
              <w:t>2</w:t>
            </w:r>
          </w:p>
        </w:tc>
        <w:tc>
          <w:tcPr>
            <w:tcW w:w="1272" w:type="pct"/>
            <w:tcBorders>
              <w:top w:val="nil"/>
            </w:tcBorders>
            <w:vAlign w:val="center"/>
          </w:tcPr>
          <w:p w14:paraId="12FAA47C" w14:textId="77777777" w:rsidR="00F95BC0" w:rsidRPr="0091224D" w:rsidRDefault="00F95BC0" w:rsidP="009E2CF7">
            <w:pPr>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91224D">
              <w:rPr>
                <w:b/>
                <w:kern w:val="0"/>
                <w:szCs w:val="21"/>
              </w:rPr>
              <w:t>0.01</w:t>
            </w:r>
          </w:p>
        </w:tc>
        <w:tc>
          <w:tcPr>
            <w:tcW w:w="1272" w:type="pct"/>
            <w:tcBorders>
              <w:top w:val="nil"/>
            </w:tcBorders>
            <w:vAlign w:val="center"/>
          </w:tcPr>
          <w:p w14:paraId="3484E1FE" w14:textId="77777777" w:rsidR="00F95BC0" w:rsidRPr="0091224D" w:rsidRDefault="00F95BC0" w:rsidP="009E2CF7">
            <w:pPr>
              <w:autoSpaceDE w:val="0"/>
              <w:autoSpaceDN w:val="0"/>
              <w:adjustRightInd w:val="0"/>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91224D">
              <w:rPr>
                <w:b/>
                <w:kern w:val="0"/>
                <w:szCs w:val="21"/>
              </w:rPr>
              <w:t>0.00</w:t>
            </w:r>
          </w:p>
        </w:tc>
      </w:tr>
    </w:tbl>
    <w:p w14:paraId="550986F4" w14:textId="669C361D" w:rsidR="002B7056" w:rsidRDefault="00E22A49" w:rsidP="009E2CF7">
      <w:pPr>
        <w:pStyle w:val="ad"/>
        <w:spacing w:line="240" w:lineRule="auto"/>
      </w:pPr>
      <w:r>
        <w:rPr>
          <w:rFonts w:hint="eastAsia"/>
        </w:rPr>
        <w:t>注：</w:t>
      </w:r>
      <w:r>
        <w:t xml:space="preserve">* </w:t>
      </w:r>
      <w:r>
        <w:rPr>
          <w:i/>
          <w:iCs/>
        </w:rPr>
        <w:t>p</w:t>
      </w:r>
      <w:r>
        <w:t xml:space="preserve">&lt;0.05; ** </w:t>
      </w:r>
      <w:r>
        <w:rPr>
          <w:i/>
          <w:iCs/>
        </w:rPr>
        <w:t>p</w:t>
      </w:r>
      <w:r>
        <w:t>&lt;0.01</w:t>
      </w:r>
    </w:p>
    <w:p w14:paraId="11D4D53F" w14:textId="11CCF0C4" w:rsidR="003E7F0F" w:rsidRPr="000A532D" w:rsidRDefault="000A532D" w:rsidP="009E2CF7">
      <w:pPr>
        <w:spacing w:line="240" w:lineRule="auto"/>
        <w:ind w:firstLine="420"/>
      </w:pPr>
      <w:r>
        <w:fldChar w:fldCharType="begin"/>
      </w:r>
      <w:r>
        <w:instrText xml:space="preserve"> </w:instrText>
      </w:r>
      <w:r>
        <w:rPr>
          <w:rFonts w:hint="eastAsia"/>
        </w:rPr>
        <w:instrText>REF _Ref509338647 \h</w:instrText>
      </w:r>
      <w:r>
        <w:instrText xml:space="preserve"> </w:instrText>
      </w:r>
      <w:r w:rsidR="009E2CF7">
        <w:instrText xml:space="preserve"> \* MERGEFORMAT </w:instrText>
      </w:r>
      <w:r>
        <w:fldChar w:fldCharType="separate"/>
      </w:r>
      <w:r w:rsidR="0016113B">
        <w:rPr>
          <w:rFonts w:hint="eastAsia"/>
        </w:rPr>
        <w:t>表</w:t>
      </w:r>
      <w:r w:rsidR="0016113B">
        <w:rPr>
          <w:noProof/>
        </w:rPr>
        <w:t>7</w:t>
      </w:r>
      <w:r>
        <w:fldChar w:fldCharType="end"/>
      </w:r>
      <w:r>
        <w:rPr>
          <w:rFonts w:hint="eastAsia"/>
        </w:rPr>
        <w:t>中</w:t>
      </w:r>
      <w:r w:rsidR="00C1411C">
        <w:rPr>
          <w:rFonts w:hint="eastAsia"/>
        </w:rPr>
        <w:t>列</w:t>
      </w:r>
      <w:r w:rsidR="00C1411C">
        <w:rPr>
          <w:rFonts w:hint="eastAsia"/>
        </w:rPr>
        <w:t xml:space="preserve"> </w:t>
      </w:r>
      <w:r>
        <w:rPr>
          <w:rFonts w:hint="eastAsia"/>
        </w:rPr>
        <w:t>(</w:t>
      </w:r>
      <w:r>
        <w:t>8</w:t>
      </w:r>
      <w:r>
        <w:rPr>
          <w:rFonts w:hint="eastAsia"/>
        </w:rPr>
        <w:t>)</w:t>
      </w:r>
      <w:r>
        <w:t xml:space="preserve"> </w:t>
      </w:r>
      <w:r>
        <w:rPr>
          <w:rFonts w:hint="eastAsia"/>
        </w:rPr>
        <w:t>和</w:t>
      </w:r>
      <w:r w:rsidR="00C1411C">
        <w:rPr>
          <w:rFonts w:hint="eastAsia"/>
        </w:rPr>
        <w:t>列</w:t>
      </w:r>
      <w:r w:rsidR="00C1411C">
        <w:rPr>
          <w:rFonts w:hint="eastAsia"/>
        </w:rPr>
        <w:t xml:space="preserve"> </w:t>
      </w:r>
      <w:r>
        <w:rPr>
          <w:rFonts w:hint="eastAsia"/>
        </w:rPr>
        <w:t>(9)</w:t>
      </w:r>
      <w:r>
        <w:t xml:space="preserve"> </w:t>
      </w:r>
      <w:r>
        <w:rPr>
          <w:rFonts w:hint="eastAsia"/>
        </w:rPr>
        <w:t>分别报告了加入投资者情绪变量之后与之前的回归结果。投资者情绪变量</w:t>
      </w:r>
      <w:proofErr w:type="spellStart"/>
      <w:r w:rsidR="0016113B">
        <w:t>AbTURN_G</w:t>
      </w:r>
      <w:proofErr w:type="spellEnd"/>
      <w:r>
        <w:rPr>
          <w:rFonts w:hint="eastAsia"/>
        </w:rPr>
        <w:t>的回归系数为</w:t>
      </w:r>
      <w:r>
        <w:rPr>
          <w:rFonts w:hint="eastAsia"/>
        </w:rPr>
        <w:t>0.0049</w:t>
      </w:r>
      <w:r>
        <w:rPr>
          <w:rFonts w:hint="eastAsia"/>
        </w:rPr>
        <w:t>，在</w:t>
      </w:r>
      <w:r>
        <w:rPr>
          <w:rFonts w:hint="eastAsia"/>
        </w:rPr>
        <w:t>99%</w:t>
      </w:r>
      <w:r>
        <w:rPr>
          <w:rFonts w:hint="eastAsia"/>
        </w:rPr>
        <w:t>的置信水平上显著为正，与预期相符，说明在投资者情绪高涨时期发布的报告对股价同步性的影响更小，信息含量更低。此外，明星分析师身份变量</w:t>
      </w:r>
      <w:r>
        <w:t>star</w:t>
      </w:r>
      <w:r>
        <w:rPr>
          <w:rFonts w:hint="eastAsia"/>
        </w:rPr>
        <w:t>的系数为</w:t>
      </w:r>
      <w:r>
        <w:rPr>
          <w:rFonts w:hint="eastAsia"/>
        </w:rPr>
        <w:t>-0.009</w:t>
      </w:r>
      <w:r w:rsidR="0016113B">
        <w:t>7</w:t>
      </w:r>
      <w:r>
        <w:rPr>
          <w:rFonts w:hint="eastAsia"/>
        </w:rPr>
        <w:t>，在</w:t>
      </w:r>
      <w:r>
        <w:rPr>
          <w:rFonts w:hint="eastAsia"/>
        </w:rPr>
        <w:t>99%</w:t>
      </w:r>
      <w:r>
        <w:rPr>
          <w:rFonts w:hint="eastAsia"/>
        </w:rPr>
        <w:t>的置信水平上显著为负，与以往的研究结果相符，明星分析</w:t>
      </w:r>
      <w:proofErr w:type="gramStart"/>
      <w:r>
        <w:rPr>
          <w:rFonts w:hint="eastAsia"/>
        </w:rPr>
        <w:t>师发布</w:t>
      </w:r>
      <w:proofErr w:type="gramEnd"/>
      <w:r>
        <w:rPr>
          <w:rFonts w:hint="eastAsia"/>
        </w:rPr>
        <w:t>的报告对同步性产生了更大影响。评级水平变量</w:t>
      </w:r>
      <w:r>
        <w:rPr>
          <w:rFonts w:hint="eastAsia"/>
        </w:rPr>
        <w:t>Rating</w:t>
      </w:r>
      <w:r>
        <w:rPr>
          <w:rFonts w:hint="eastAsia"/>
        </w:rPr>
        <w:t>的系数在</w:t>
      </w:r>
      <w:r>
        <w:rPr>
          <w:rFonts w:hint="eastAsia"/>
        </w:rPr>
        <w:t>95%</w:t>
      </w:r>
      <w:r>
        <w:rPr>
          <w:rFonts w:hint="eastAsia"/>
        </w:rPr>
        <w:t>的置信水平上显著为正，意味着“中性”评级报告的信息含量比其他几类评级水平更低。</w:t>
      </w:r>
      <w:r w:rsidR="0016113B" w:rsidRPr="0016113B">
        <w:rPr>
          <w:rFonts w:hint="eastAsia"/>
        </w:rPr>
        <w:t>此外评级的调整方向</w:t>
      </w:r>
      <w:r w:rsidR="0016113B" w:rsidRPr="0016113B">
        <w:rPr>
          <w:rFonts w:hint="eastAsia"/>
        </w:rPr>
        <w:t>Revision</w:t>
      </w:r>
      <w:r w:rsidR="0016113B" w:rsidRPr="0016113B">
        <w:rPr>
          <w:rFonts w:hint="eastAsia"/>
        </w:rPr>
        <w:t>系列虚拟变量中仅上调的回归系数在</w:t>
      </w:r>
      <w:r w:rsidR="0016113B" w:rsidRPr="0016113B">
        <w:rPr>
          <w:rFonts w:hint="eastAsia"/>
        </w:rPr>
        <w:t>95%</w:t>
      </w:r>
      <w:r w:rsidR="0016113B" w:rsidRPr="0016113B">
        <w:rPr>
          <w:rFonts w:hint="eastAsia"/>
        </w:rPr>
        <w:t>的置信水平上显著，不过其系数均为负，</w:t>
      </w:r>
      <w:r>
        <w:rPr>
          <w:rFonts w:hint="eastAsia"/>
        </w:rPr>
        <w:t>与</w:t>
      </w:r>
      <w:r>
        <w:fldChar w:fldCharType="begin"/>
      </w:r>
      <w:r>
        <w:instrText xml:space="preserve"> </w:instrText>
      </w:r>
      <w:r>
        <w:rPr>
          <w:rFonts w:hint="eastAsia"/>
        </w:rPr>
        <w:instrText>REF _Ref509338594 \h</w:instrText>
      </w:r>
      <w:r>
        <w:instrText xml:space="preserve"> </w:instrText>
      </w:r>
      <w:r w:rsidR="009E2CF7">
        <w:instrText xml:space="preserve"> \* MERGEFORMAT </w:instrText>
      </w:r>
      <w:r>
        <w:fldChar w:fldCharType="separate"/>
      </w:r>
      <w:r w:rsidR="0016113B">
        <w:rPr>
          <w:rFonts w:hint="eastAsia"/>
        </w:rPr>
        <w:t>图</w:t>
      </w:r>
      <w:r w:rsidR="0016113B">
        <w:rPr>
          <w:noProof/>
        </w:rPr>
        <w:t>4</w:t>
      </w:r>
      <w:r>
        <w:fldChar w:fldCharType="end"/>
      </w:r>
      <w:r>
        <w:rPr>
          <w:rFonts w:hint="eastAsia"/>
        </w:rPr>
        <w:t>的结果相吻合。控制的市场周期和行业虚拟变量均不显著，意味着深度报告对股价同步性的影响并不随市场周期而改变，也不存在行业间差异。</w:t>
      </w:r>
    </w:p>
    <w:p w14:paraId="3AFC7755" w14:textId="4830BA3E" w:rsidR="00DF10C0" w:rsidRDefault="004757FE" w:rsidP="009E2CF7">
      <w:pPr>
        <w:pStyle w:val="2"/>
        <w:spacing w:line="240" w:lineRule="auto"/>
      </w:pPr>
      <w:bookmarkStart w:id="60" w:name="_Toc510120311"/>
      <w:bookmarkStart w:id="61" w:name="_Toc510121734"/>
      <w:bookmarkStart w:id="62" w:name="_Toc510124644"/>
      <w:bookmarkStart w:id="63" w:name="_Toc510124798"/>
      <w:proofErr w:type="gramStart"/>
      <w:r>
        <w:rPr>
          <w:rFonts w:hint="eastAsia"/>
        </w:rPr>
        <w:t>分析师择时行</w:t>
      </w:r>
      <w:proofErr w:type="gramEnd"/>
      <w:r>
        <w:rPr>
          <w:rFonts w:hint="eastAsia"/>
        </w:rPr>
        <w:t>为</w:t>
      </w:r>
      <w:r w:rsidR="00633CFF">
        <w:rPr>
          <w:rFonts w:hint="eastAsia"/>
        </w:rPr>
        <w:t>的市场反应</w:t>
      </w:r>
      <w:bookmarkEnd w:id="60"/>
      <w:bookmarkEnd w:id="61"/>
      <w:bookmarkEnd w:id="62"/>
      <w:bookmarkEnd w:id="63"/>
    </w:p>
    <w:p w14:paraId="6703E9DD" w14:textId="26EF0B87" w:rsidR="00C42522" w:rsidRDefault="00872CBA" w:rsidP="009E2CF7">
      <w:pPr>
        <w:spacing w:line="240" w:lineRule="auto"/>
        <w:ind w:firstLine="420"/>
      </w:pPr>
      <w:r>
        <w:rPr>
          <w:rFonts w:hint="eastAsia"/>
        </w:rPr>
        <w:t>由于近年来我国的证券研究行业发展迅速，新增分析师</w:t>
      </w:r>
      <w:r w:rsidR="00BB6F26">
        <w:rPr>
          <w:rFonts w:hint="eastAsia"/>
        </w:rPr>
        <w:t>规模</w:t>
      </w:r>
      <w:r>
        <w:rPr>
          <w:rFonts w:hint="eastAsia"/>
        </w:rPr>
        <w:t>巨大，其次本文将样本限制在公司深度研究报告，仅</w:t>
      </w:r>
      <w:r w:rsidR="00BB6F26">
        <w:rPr>
          <w:rFonts w:hint="eastAsia"/>
        </w:rPr>
        <w:t>能</w:t>
      </w:r>
      <w:r>
        <w:rPr>
          <w:rFonts w:hint="eastAsia"/>
        </w:rPr>
        <w:t>就发表的</w:t>
      </w:r>
      <w:r w:rsidR="00BB6F26">
        <w:rPr>
          <w:rFonts w:hint="eastAsia"/>
        </w:rPr>
        <w:t>深度</w:t>
      </w:r>
      <w:r>
        <w:rPr>
          <w:rFonts w:hint="eastAsia"/>
        </w:rPr>
        <w:t>报告数量足够多的分析师进行回归以及进一步分析。</w:t>
      </w:r>
      <w:r w:rsidR="00BB6F26">
        <w:rPr>
          <w:rFonts w:hint="eastAsia"/>
        </w:rPr>
        <w:t>最终</w:t>
      </w:r>
      <w:r>
        <w:rPr>
          <w:rFonts w:hint="eastAsia"/>
        </w:rPr>
        <w:t>使用的样本</w:t>
      </w:r>
      <w:r w:rsidR="0016113B" w:rsidRPr="0016113B">
        <w:rPr>
          <w:rFonts w:hint="eastAsia"/>
        </w:rPr>
        <w:t>共计</w:t>
      </w:r>
      <w:r w:rsidR="0016113B" w:rsidRPr="0016113B">
        <w:rPr>
          <w:rFonts w:hint="eastAsia"/>
        </w:rPr>
        <w:t>246</w:t>
      </w:r>
      <w:r w:rsidR="0016113B" w:rsidRPr="0016113B">
        <w:rPr>
          <w:rFonts w:hint="eastAsia"/>
        </w:rPr>
        <w:t>位分析师（占样本总数的</w:t>
      </w:r>
      <w:r w:rsidR="0016113B" w:rsidRPr="0016113B">
        <w:rPr>
          <w:rFonts w:hint="eastAsia"/>
        </w:rPr>
        <w:t>9.6%</w:t>
      </w:r>
      <w:r w:rsidR="0016113B" w:rsidRPr="0016113B">
        <w:rPr>
          <w:rFonts w:hint="eastAsia"/>
        </w:rPr>
        <w:t>），发表了</w:t>
      </w:r>
      <w:r w:rsidR="0016113B" w:rsidRPr="0016113B">
        <w:rPr>
          <w:rFonts w:hint="eastAsia"/>
        </w:rPr>
        <w:t>8,232</w:t>
      </w:r>
      <w:r w:rsidR="0016113B" w:rsidRPr="0016113B">
        <w:rPr>
          <w:rFonts w:hint="eastAsia"/>
        </w:rPr>
        <w:t>份公司深度研究报告（占样本总数的</w:t>
      </w:r>
      <w:r w:rsidR="0016113B" w:rsidRPr="0016113B">
        <w:rPr>
          <w:rFonts w:hint="eastAsia"/>
        </w:rPr>
        <w:t>38.8%</w:t>
      </w:r>
      <w:r w:rsidR="0016113B" w:rsidRPr="0016113B">
        <w:rPr>
          <w:rFonts w:hint="eastAsia"/>
        </w:rPr>
        <w:t>），人均发表</w:t>
      </w:r>
      <w:r w:rsidR="0016113B" w:rsidRPr="0016113B">
        <w:rPr>
          <w:rFonts w:hint="eastAsia"/>
        </w:rPr>
        <w:t>33</w:t>
      </w:r>
      <w:r w:rsidR="0016113B" w:rsidRPr="0016113B">
        <w:rPr>
          <w:rFonts w:hint="eastAsia"/>
        </w:rPr>
        <w:t>篇</w:t>
      </w:r>
      <w:r w:rsidR="004164A4">
        <w:rPr>
          <w:rFonts w:hint="eastAsia"/>
        </w:rPr>
        <w:t>；根据回归系数显著性的差异，</w:t>
      </w:r>
      <w:r w:rsidR="0016113B" w:rsidRPr="0016113B">
        <w:rPr>
          <w:rFonts w:hint="eastAsia"/>
        </w:rPr>
        <w:t>最终划分为择时组的有</w:t>
      </w:r>
      <w:r w:rsidR="0016113B" w:rsidRPr="0016113B">
        <w:rPr>
          <w:rFonts w:hint="eastAsia"/>
        </w:rPr>
        <w:t>43</w:t>
      </w:r>
      <w:r w:rsidR="0016113B" w:rsidRPr="0016113B">
        <w:rPr>
          <w:rFonts w:hint="eastAsia"/>
        </w:rPr>
        <w:t>人，发布了</w:t>
      </w:r>
      <w:r w:rsidR="0016113B" w:rsidRPr="0016113B">
        <w:rPr>
          <w:rFonts w:hint="eastAsia"/>
        </w:rPr>
        <w:t>1,422</w:t>
      </w:r>
      <w:r w:rsidR="0016113B" w:rsidRPr="0016113B">
        <w:rPr>
          <w:rFonts w:hint="eastAsia"/>
        </w:rPr>
        <w:t>份报告，非择时组</w:t>
      </w:r>
      <w:r w:rsidR="0016113B" w:rsidRPr="0016113B">
        <w:rPr>
          <w:rFonts w:hint="eastAsia"/>
        </w:rPr>
        <w:t>203</w:t>
      </w:r>
      <w:r w:rsidR="0016113B" w:rsidRPr="0016113B">
        <w:rPr>
          <w:rFonts w:hint="eastAsia"/>
        </w:rPr>
        <w:t>人，发布了</w:t>
      </w:r>
      <w:r w:rsidR="0016113B" w:rsidRPr="0016113B">
        <w:rPr>
          <w:rFonts w:hint="eastAsia"/>
        </w:rPr>
        <w:t>6,810</w:t>
      </w:r>
      <w:r w:rsidR="0016113B" w:rsidRPr="0016113B">
        <w:rPr>
          <w:rFonts w:hint="eastAsia"/>
        </w:rPr>
        <w:t>份深度报告</w:t>
      </w:r>
      <w:r w:rsidR="000A532D">
        <w:rPr>
          <w:rFonts w:hint="eastAsia"/>
        </w:rPr>
        <w:t>。</w:t>
      </w:r>
    </w:p>
    <w:p w14:paraId="5F98AC4E" w14:textId="2C06E150" w:rsidR="00FD2E8D" w:rsidRDefault="00FD2E8D" w:rsidP="009E2CF7">
      <w:pPr>
        <w:pStyle w:val="ac"/>
        <w:spacing w:line="240" w:lineRule="auto"/>
      </w:pPr>
      <w:bookmarkStart w:id="64" w:name="_Ref50951353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8</w:t>
      </w:r>
      <w:r>
        <w:fldChar w:fldCharType="end"/>
      </w:r>
      <w:bookmarkEnd w:id="64"/>
      <w:r>
        <w:rPr>
          <w:noProof/>
        </w:rPr>
        <w:t xml:space="preserve"> </w:t>
      </w:r>
      <w:r>
        <w:rPr>
          <w:rFonts w:hint="eastAsia"/>
          <w:noProof/>
        </w:rPr>
        <w:t>超额收益率</w:t>
      </w:r>
      <w:r w:rsidR="008A792E">
        <w:rPr>
          <w:rFonts w:hint="eastAsia"/>
          <w:noProof/>
        </w:rPr>
        <w:t>（市场调整模型法）</w:t>
      </w:r>
      <w:r>
        <w:rPr>
          <w:rFonts w:hint="eastAsia"/>
          <w:noProof/>
        </w:rPr>
        <w:t>检验</w:t>
      </w:r>
    </w:p>
    <w:tbl>
      <w:tblPr>
        <w:tblStyle w:val="6"/>
        <w:tblW w:w="5000" w:type="pct"/>
        <w:tblLook w:val="06E0" w:firstRow="1" w:lastRow="1" w:firstColumn="1" w:lastColumn="0" w:noHBand="1" w:noVBand="1"/>
      </w:tblPr>
      <w:tblGrid>
        <w:gridCol w:w="994"/>
        <w:gridCol w:w="1817"/>
        <w:gridCol w:w="1817"/>
        <w:gridCol w:w="1851"/>
        <w:gridCol w:w="1827"/>
      </w:tblGrid>
      <w:tr w:rsidR="0016113B" w:rsidRPr="006108F1" w14:paraId="016B2B03" w14:textId="77777777" w:rsidTr="0016113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8" w:type="pct"/>
            <w:noWrap/>
            <w:hideMark/>
          </w:tcPr>
          <w:p w14:paraId="5A79979F" w14:textId="77777777" w:rsidR="0016113B" w:rsidRPr="0016113B" w:rsidRDefault="0016113B" w:rsidP="009E2CF7">
            <w:pPr>
              <w:widowControl/>
              <w:spacing w:line="240" w:lineRule="auto"/>
              <w:ind w:firstLineChars="0" w:firstLine="0"/>
              <w:rPr>
                <w:color w:val="000000"/>
                <w:kern w:val="0"/>
                <w:szCs w:val="21"/>
              </w:rPr>
            </w:pPr>
          </w:p>
        </w:tc>
        <w:tc>
          <w:tcPr>
            <w:tcW w:w="1094" w:type="pct"/>
            <w:noWrap/>
            <w:hideMark/>
          </w:tcPr>
          <w:p w14:paraId="05BA93B2"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16113B">
              <w:rPr>
                <w:color w:val="000000"/>
                <w:kern w:val="0"/>
                <w:szCs w:val="21"/>
              </w:rPr>
              <w:t>Timing-</w:t>
            </w:r>
          </w:p>
          <w:p w14:paraId="61C0BA7A"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16113B">
              <w:rPr>
                <w:color w:val="000000"/>
                <w:kern w:val="0"/>
                <w:szCs w:val="21"/>
              </w:rPr>
              <w:t>High Info</w:t>
            </w:r>
          </w:p>
        </w:tc>
        <w:tc>
          <w:tcPr>
            <w:tcW w:w="1094" w:type="pct"/>
            <w:noWrap/>
            <w:hideMark/>
          </w:tcPr>
          <w:p w14:paraId="39BEB79B"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r w:rsidRPr="0016113B">
              <w:rPr>
                <w:color w:val="000000"/>
                <w:kern w:val="0"/>
                <w:szCs w:val="21"/>
              </w:rPr>
              <w:t>Timing-</w:t>
            </w:r>
          </w:p>
          <w:p w14:paraId="6496949E"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16113B">
              <w:rPr>
                <w:color w:val="000000"/>
                <w:kern w:val="0"/>
                <w:szCs w:val="21"/>
              </w:rPr>
              <w:t>Low Info</w:t>
            </w:r>
          </w:p>
        </w:tc>
        <w:tc>
          <w:tcPr>
            <w:tcW w:w="1114" w:type="pct"/>
            <w:noWrap/>
            <w:hideMark/>
          </w:tcPr>
          <w:p w14:paraId="7FD04D08"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proofErr w:type="spellStart"/>
            <w:r w:rsidRPr="0016113B">
              <w:rPr>
                <w:color w:val="000000"/>
                <w:kern w:val="0"/>
                <w:szCs w:val="21"/>
              </w:rPr>
              <w:t>NonTiming</w:t>
            </w:r>
            <w:proofErr w:type="spellEnd"/>
            <w:r w:rsidRPr="0016113B">
              <w:rPr>
                <w:color w:val="000000"/>
                <w:kern w:val="0"/>
                <w:szCs w:val="21"/>
              </w:rPr>
              <w:t>-</w:t>
            </w:r>
          </w:p>
          <w:p w14:paraId="752831BA"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16113B">
              <w:rPr>
                <w:color w:val="000000"/>
                <w:kern w:val="0"/>
                <w:szCs w:val="21"/>
              </w:rPr>
              <w:t>High Info</w:t>
            </w:r>
          </w:p>
        </w:tc>
        <w:tc>
          <w:tcPr>
            <w:tcW w:w="1100" w:type="pct"/>
            <w:noWrap/>
            <w:hideMark/>
          </w:tcPr>
          <w:p w14:paraId="2208964C"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Cs w:val="21"/>
              </w:rPr>
            </w:pPr>
            <w:proofErr w:type="spellStart"/>
            <w:r w:rsidRPr="0016113B">
              <w:rPr>
                <w:color w:val="000000"/>
                <w:kern w:val="0"/>
                <w:szCs w:val="21"/>
              </w:rPr>
              <w:t>NonTiming</w:t>
            </w:r>
            <w:proofErr w:type="spellEnd"/>
            <w:r w:rsidRPr="0016113B">
              <w:rPr>
                <w:color w:val="000000"/>
                <w:kern w:val="0"/>
                <w:szCs w:val="21"/>
              </w:rPr>
              <w:t>-</w:t>
            </w:r>
          </w:p>
          <w:p w14:paraId="3E7AA07A" w14:textId="77777777" w:rsidR="0016113B" w:rsidRPr="0016113B"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16113B">
              <w:rPr>
                <w:color w:val="000000"/>
                <w:kern w:val="0"/>
                <w:szCs w:val="21"/>
              </w:rPr>
              <w:t>Low Info</w:t>
            </w:r>
          </w:p>
        </w:tc>
      </w:tr>
      <w:tr w:rsidR="0016113B" w:rsidRPr="006108F1" w14:paraId="2A90F5A6"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075DB888" w14:textId="77777777" w:rsidR="0016113B" w:rsidRPr="0016113B" w:rsidRDefault="0016113B" w:rsidP="009E2CF7">
            <w:pPr>
              <w:widowControl/>
              <w:spacing w:line="240" w:lineRule="auto"/>
              <w:ind w:firstLineChars="0" w:firstLine="0"/>
              <w:jc w:val="center"/>
              <w:rPr>
                <w:color w:val="000000"/>
                <w:kern w:val="0"/>
                <w:szCs w:val="21"/>
              </w:rPr>
            </w:pPr>
            <w:r w:rsidRPr="0016113B">
              <w:rPr>
                <w:color w:val="000000"/>
                <w:kern w:val="0"/>
                <w:szCs w:val="21"/>
              </w:rPr>
              <w:t>(-10, -6)</w:t>
            </w:r>
          </w:p>
        </w:tc>
        <w:tc>
          <w:tcPr>
            <w:tcW w:w="1094" w:type="pct"/>
            <w:hideMark/>
          </w:tcPr>
          <w:p w14:paraId="317CF3DA"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0.0092</w:t>
            </w:r>
          </w:p>
        </w:tc>
        <w:tc>
          <w:tcPr>
            <w:tcW w:w="1094" w:type="pct"/>
            <w:hideMark/>
          </w:tcPr>
          <w:p w14:paraId="21A3CB40"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0.0101</w:t>
            </w:r>
          </w:p>
        </w:tc>
        <w:tc>
          <w:tcPr>
            <w:tcW w:w="1114" w:type="pct"/>
            <w:hideMark/>
          </w:tcPr>
          <w:p w14:paraId="23B9184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0.0097</w:t>
            </w:r>
          </w:p>
        </w:tc>
        <w:tc>
          <w:tcPr>
            <w:tcW w:w="1100" w:type="pct"/>
            <w:hideMark/>
          </w:tcPr>
          <w:p w14:paraId="0EE60D17"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0.009</w:t>
            </w:r>
          </w:p>
        </w:tc>
      </w:tr>
      <w:tr w:rsidR="0016113B" w:rsidRPr="006108F1" w14:paraId="27009F07"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162CABAD" w14:textId="77777777" w:rsidR="0016113B" w:rsidRPr="0016113B" w:rsidRDefault="0016113B" w:rsidP="009E2CF7">
            <w:pPr>
              <w:widowControl/>
              <w:spacing w:line="240" w:lineRule="auto"/>
              <w:ind w:firstLineChars="0" w:firstLine="0"/>
              <w:jc w:val="left"/>
              <w:rPr>
                <w:color w:val="000000"/>
                <w:kern w:val="0"/>
                <w:szCs w:val="21"/>
              </w:rPr>
            </w:pPr>
          </w:p>
        </w:tc>
        <w:tc>
          <w:tcPr>
            <w:tcW w:w="1094" w:type="pct"/>
            <w:hideMark/>
          </w:tcPr>
          <w:p w14:paraId="4AC2B6D2"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(4.59)**</w:t>
            </w:r>
          </w:p>
        </w:tc>
        <w:tc>
          <w:tcPr>
            <w:tcW w:w="1094" w:type="pct"/>
            <w:hideMark/>
          </w:tcPr>
          <w:p w14:paraId="2AEC6381"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(4.42)**</w:t>
            </w:r>
          </w:p>
        </w:tc>
        <w:tc>
          <w:tcPr>
            <w:tcW w:w="1114" w:type="pct"/>
            <w:hideMark/>
          </w:tcPr>
          <w:p w14:paraId="49B2197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(10.41)**</w:t>
            </w:r>
          </w:p>
        </w:tc>
        <w:tc>
          <w:tcPr>
            <w:tcW w:w="1100" w:type="pct"/>
            <w:hideMark/>
          </w:tcPr>
          <w:p w14:paraId="5088B124"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(9.28)**</w:t>
            </w:r>
          </w:p>
        </w:tc>
      </w:tr>
      <w:tr w:rsidR="0016113B" w:rsidRPr="006108F1" w14:paraId="7B520994"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5DE18710" w14:textId="77777777" w:rsidR="0016113B" w:rsidRPr="0016113B" w:rsidRDefault="0016113B" w:rsidP="009E2CF7">
            <w:pPr>
              <w:widowControl/>
              <w:spacing w:line="240" w:lineRule="auto"/>
              <w:ind w:firstLineChars="0" w:firstLine="0"/>
              <w:jc w:val="center"/>
              <w:rPr>
                <w:color w:val="000000"/>
                <w:kern w:val="0"/>
                <w:szCs w:val="21"/>
              </w:rPr>
            </w:pPr>
            <w:r w:rsidRPr="0016113B">
              <w:rPr>
                <w:color w:val="000000"/>
                <w:kern w:val="0"/>
                <w:szCs w:val="21"/>
              </w:rPr>
              <w:t>(-5, -1)</w:t>
            </w:r>
          </w:p>
        </w:tc>
        <w:tc>
          <w:tcPr>
            <w:tcW w:w="1094" w:type="pct"/>
            <w:hideMark/>
          </w:tcPr>
          <w:p w14:paraId="30076182"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0.0262</w:t>
            </w:r>
          </w:p>
        </w:tc>
        <w:tc>
          <w:tcPr>
            <w:tcW w:w="1094" w:type="pct"/>
            <w:hideMark/>
          </w:tcPr>
          <w:p w14:paraId="263472E6"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0.0135</w:t>
            </w:r>
          </w:p>
        </w:tc>
        <w:tc>
          <w:tcPr>
            <w:tcW w:w="1114" w:type="pct"/>
            <w:hideMark/>
          </w:tcPr>
          <w:p w14:paraId="45289DA6"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0.0243</w:t>
            </w:r>
          </w:p>
        </w:tc>
        <w:tc>
          <w:tcPr>
            <w:tcW w:w="1100" w:type="pct"/>
            <w:hideMark/>
          </w:tcPr>
          <w:p w14:paraId="4234B6B5"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0.0132</w:t>
            </w:r>
          </w:p>
        </w:tc>
      </w:tr>
      <w:tr w:rsidR="0016113B" w:rsidRPr="006108F1" w14:paraId="6A735093"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15466C14" w14:textId="77777777" w:rsidR="0016113B" w:rsidRPr="0016113B" w:rsidRDefault="0016113B" w:rsidP="009E2CF7">
            <w:pPr>
              <w:widowControl/>
              <w:spacing w:line="240" w:lineRule="auto"/>
              <w:ind w:firstLineChars="0" w:firstLine="0"/>
              <w:jc w:val="left"/>
              <w:rPr>
                <w:color w:val="000000"/>
                <w:kern w:val="0"/>
                <w:szCs w:val="21"/>
              </w:rPr>
            </w:pPr>
          </w:p>
        </w:tc>
        <w:tc>
          <w:tcPr>
            <w:tcW w:w="1094" w:type="pct"/>
            <w:hideMark/>
          </w:tcPr>
          <w:p w14:paraId="49ACF1B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(10.85)**</w:t>
            </w:r>
          </w:p>
        </w:tc>
        <w:tc>
          <w:tcPr>
            <w:tcW w:w="1094" w:type="pct"/>
            <w:hideMark/>
          </w:tcPr>
          <w:p w14:paraId="0AC2BB87"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(5.87)**</w:t>
            </w:r>
          </w:p>
        </w:tc>
        <w:tc>
          <w:tcPr>
            <w:tcW w:w="1114" w:type="pct"/>
            <w:hideMark/>
          </w:tcPr>
          <w:p w14:paraId="6BA0D1A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(22.68)**</w:t>
            </w:r>
          </w:p>
        </w:tc>
        <w:tc>
          <w:tcPr>
            <w:tcW w:w="1100" w:type="pct"/>
            <w:hideMark/>
          </w:tcPr>
          <w:p w14:paraId="1398DD6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(12.72)**</w:t>
            </w:r>
          </w:p>
        </w:tc>
      </w:tr>
      <w:tr w:rsidR="0016113B" w:rsidRPr="006108F1" w14:paraId="6E057929"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64E6F729" w14:textId="77777777" w:rsidR="0016113B" w:rsidRPr="0016113B" w:rsidRDefault="0016113B" w:rsidP="009E2CF7">
            <w:pPr>
              <w:widowControl/>
              <w:spacing w:line="240" w:lineRule="auto"/>
              <w:ind w:firstLineChars="0" w:firstLine="0"/>
              <w:jc w:val="center"/>
              <w:rPr>
                <w:color w:val="000000"/>
                <w:kern w:val="0"/>
                <w:szCs w:val="21"/>
              </w:rPr>
            </w:pPr>
            <w:r w:rsidRPr="0016113B">
              <w:rPr>
                <w:color w:val="000000"/>
                <w:kern w:val="0"/>
                <w:szCs w:val="21"/>
              </w:rPr>
              <w:t>0</w:t>
            </w:r>
          </w:p>
        </w:tc>
        <w:tc>
          <w:tcPr>
            <w:tcW w:w="1094" w:type="pct"/>
            <w:hideMark/>
          </w:tcPr>
          <w:p w14:paraId="0BA4BEFB"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0.0108</w:t>
            </w:r>
          </w:p>
        </w:tc>
        <w:tc>
          <w:tcPr>
            <w:tcW w:w="1094" w:type="pct"/>
            <w:hideMark/>
          </w:tcPr>
          <w:p w14:paraId="4A3F69EA"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0.0048</w:t>
            </w:r>
          </w:p>
        </w:tc>
        <w:tc>
          <w:tcPr>
            <w:tcW w:w="1114" w:type="pct"/>
            <w:hideMark/>
          </w:tcPr>
          <w:p w14:paraId="7DCF21D4"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0.0095</w:t>
            </w:r>
          </w:p>
        </w:tc>
        <w:tc>
          <w:tcPr>
            <w:tcW w:w="1100" w:type="pct"/>
            <w:hideMark/>
          </w:tcPr>
          <w:p w14:paraId="0E51AA78"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0.004</w:t>
            </w:r>
          </w:p>
        </w:tc>
      </w:tr>
      <w:tr w:rsidR="0016113B" w:rsidRPr="006108F1" w14:paraId="43234634"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6306033E" w14:textId="77777777" w:rsidR="0016113B" w:rsidRPr="0016113B" w:rsidRDefault="0016113B" w:rsidP="009E2CF7">
            <w:pPr>
              <w:widowControl/>
              <w:spacing w:line="240" w:lineRule="auto"/>
              <w:ind w:firstLineChars="0" w:firstLine="0"/>
              <w:jc w:val="left"/>
              <w:rPr>
                <w:color w:val="000000"/>
                <w:kern w:val="0"/>
                <w:szCs w:val="21"/>
              </w:rPr>
            </w:pPr>
          </w:p>
        </w:tc>
        <w:tc>
          <w:tcPr>
            <w:tcW w:w="1094" w:type="pct"/>
            <w:hideMark/>
          </w:tcPr>
          <w:p w14:paraId="78B74A58"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(8.84)**</w:t>
            </w:r>
          </w:p>
        </w:tc>
        <w:tc>
          <w:tcPr>
            <w:tcW w:w="1094" w:type="pct"/>
            <w:hideMark/>
          </w:tcPr>
          <w:p w14:paraId="2AAC1698"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(5.22)**</w:t>
            </w:r>
          </w:p>
        </w:tc>
        <w:tc>
          <w:tcPr>
            <w:tcW w:w="1114" w:type="pct"/>
            <w:hideMark/>
          </w:tcPr>
          <w:p w14:paraId="26EB8C2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(17.59)**</w:t>
            </w:r>
          </w:p>
        </w:tc>
        <w:tc>
          <w:tcPr>
            <w:tcW w:w="1100" w:type="pct"/>
            <w:hideMark/>
          </w:tcPr>
          <w:p w14:paraId="356D74B6"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(9.37)**</w:t>
            </w:r>
          </w:p>
        </w:tc>
      </w:tr>
      <w:tr w:rsidR="0016113B" w:rsidRPr="006108F1" w14:paraId="34C01396"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3B491BCC" w14:textId="77777777" w:rsidR="0016113B" w:rsidRPr="0016113B" w:rsidRDefault="0016113B" w:rsidP="009E2CF7">
            <w:pPr>
              <w:widowControl/>
              <w:spacing w:line="240" w:lineRule="auto"/>
              <w:ind w:firstLineChars="0" w:firstLine="0"/>
              <w:jc w:val="center"/>
              <w:rPr>
                <w:color w:val="000000"/>
                <w:kern w:val="0"/>
                <w:szCs w:val="21"/>
              </w:rPr>
            </w:pPr>
            <w:r w:rsidRPr="0016113B">
              <w:rPr>
                <w:color w:val="000000"/>
                <w:kern w:val="0"/>
                <w:szCs w:val="21"/>
              </w:rPr>
              <w:t>1</w:t>
            </w:r>
          </w:p>
        </w:tc>
        <w:tc>
          <w:tcPr>
            <w:tcW w:w="1094" w:type="pct"/>
            <w:hideMark/>
          </w:tcPr>
          <w:p w14:paraId="7EBC31F4"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0.0067</w:t>
            </w:r>
          </w:p>
        </w:tc>
        <w:tc>
          <w:tcPr>
            <w:tcW w:w="1094" w:type="pct"/>
            <w:hideMark/>
          </w:tcPr>
          <w:p w14:paraId="14D55D79"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0.0039</w:t>
            </w:r>
          </w:p>
        </w:tc>
        <w:tc>
          <w:tcPr>
            <w:tcW w:w="1114" w:type="pct"/>
            <w:hideMark/>
          </w:tcPr>
          <w:p w14:paraId="586F99F0"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0.0057</w:t>
            </w:r>
          </w:p>
        </w:tc>
        <w:tc>
          <w:tcPr>
            <w:tcW w:w="1100" w:type="pct"/>
            <w:hideMark/>
          </w:tcPr>
          <w:p w14:paraId="4C7161C1"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0.0022</w:t>
            </w:r>
          </w:p>
        </w:tc>
      </w:tr>
      <w:tr w:rsidR="0016113B" w:rsidRPr="006108F1" w14:paraId="09BC345E"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47BC3F9A" w14:textId="77777777" w:rsidR="0016113B" w:rsidRPr="0016113B" w:rsidRDefault="0016113B" w:rsidP="009E2CF7">
            <w:pPr>
              <w:widowControl/>
              <w:spacing w:line="240" w:lineRule="auto"/>
              <w:ind w:firstLineChars="0" w:firstLine="0"/>
              <w:jc w:val="left"/>
              <w:rPr>
                <w:color w:val="000000"/>
                <w:kern w:val="0"/>
                <w:szCs w:val="21"/>
              </w:rPr>
            </w:pPr>
          </w:p>
        </w:tc>
        <w:tc>
          <w:tcPr>
            <w:tcW w:w="1094" w:type="pct"/>
            <w:hideMark/>
          </w:tcPr>
          <w:p w14:paraId="1BE0D62F"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(6.52)**</w:t>
            </w:r>
          </w:p>
        </w:tc>
        <w:tc>
          <w:tcPr>
            <w:tcW w:w="1094" w:type="pct"/>
            <w:hideMark/>
          </w:tcPr>
          <w:p w14:paraId="1B857762"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(4.10)**</w:t>
            </w:r>
          </w:p>
        </w:tc>
        <w:tc>
          <w:tcPr>
            <w:tcW w:w="1114" w:type="pct"/>
            <w:hideMark/>
          </w:tcPr>
          <w:p w14:paraId="6A41A7D1"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(11.42)**</w:t>
            </w:r>
          </w:p>
        </w:tc>
        <w:tc>
          <w:tcPr>
            <w:tcW w:w="1100" w:type="pct"/>
            <w:hideMark/>
          </w:tcPr>
          <w:p w14:paraId="73CFE61F"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(5.14)**</w:t>
            </w:r>
          </w:p>
        </w:tc>
      </w:tr>
      <w:tr w:rsidR="0016113B" w:rsidRPr="006108F1" w14:paraId="273703B4"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1431AC6E" w14:textId="77777777" w:rsidR="0016113B" w:rsidRPr="0016113B" w:rsidRDefault="0016113B" w:rsidP="009E2CF7">
            <w:pPr>
              <w:widowControl/>
              <w:spacing w:line="240" w:lineRule="auto"/>
              <w:ind w:firstLineChars="0" w:firstLine="0"/>
              <w:jc w:val="center"/>
              <w:rPr>
                <w:color w:val="000000"/>
                <w:kern w:val="0"/>
                <w:szCs w:val="21"/>
              </w:rPr>
            </w:pPr>
            <w:r w:rsidRPr="0016113B">
              <w:rPr>
                <w:color w:val="000000"/>
                <w:kern w:val="0"/>
                <w:szCs w:val="21"/>
              </w:rPr>
              <w:t>(2, 6)</w:t>
            </w:r>
          </w:p>
        </w:tc>
        <w:tc>
          <w:tcPr>
            <w:tcW w:w="1094" w:type="pct"/>
            <w:hideMark/>
          </w:tcPr>
          <w:p w14:paraId="50B0A6DE"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0.0025</w:t>
            </w:r>
          </w:p>
        </w:tc>
        <w:tc>
          <w:tcPr>
            <w:tcW w:w="1094" w:type="pct"/>
            <w:hideMark/>
          </w:tcPr>
          <w:p w14:paraId="23FE6140"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0.0028</w:t>
            </w:r>
          </w:p>
        </w:tc>
        <w:tc>
          <w:tcPr>
            <w:tcW w:w="1114" w:type="pct"/>
            <w:hideMark/>
          </w:tcPr>
          <w:p w14:paraId="70E59C7A"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0.0023</w:t>
            </w:r>
          </w:p>
        </w:tc>
        <w:tc>
          <w:tcPr>
            <w:tcW w:w="1100" w:type="pct"/>
            <w:hideMark/>
          </w:tcPr>
          <w:p w14:paraId="33B0F86C"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0.0031</w:t>
            </w:r>
          </w:p>
        </w:tc>
      </w:tr>
      <w:tr w:rsidR="0016113B" w:rsidRPr="006108F1" w14:paraId="262D768E"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0495DA46" w14:textId="77777777" w:rsidR="0016113B" w:rsidRPr="0016113B" w:rsidRDefault="0016113B" w:rsidP="009E2CF7">
            <w:pPr>
              <w:widowControl/>
              <w:spacing w:line="240" w:lineRule="auto"/>
              <w:ind w:firstLineChars="0" w:firstLine="0"/>
              <w:jc w:val="left"/>
              <w:rPr>
                <w:color w:val="000000"/>
                <w:kern w:val="0"/>
                <w:szCs w:val="21"/>
              </w:rPr>
            </w:pPr>
          </w:p>
        </w:tc>
        <w:tc>
          <w:tcPr>
            <w:tcW w:w="1094" w:type="pct"/>
            <w:hideMark/>
          </w:tcPr>
          <w:p w14:paraId="03E366A8"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(1.32)</w:t>
            </w:r>
          </w:p>
        </w:tc>
        <w:tc>
          <w:tcPr>
            <w:tcW w:w="1094" w:type="pct"/>
            <w:hideMark/>
          </w:tcPr>
          <w:p w14:paraId="45E5E97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(1.24)</w:t>
            </w:r>
          </w:p>
        </w:tc>
        <w:tc>
          <w:tcPr>
            <w:tcW w:w="1114" w:type="pct"/>
            <w:hideMark/>
          </w:tcPr>
          <w:p w14:paraId="203B2B91"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(2.35)*</w:t>
            </w:r>
          </w:p>
        </w:tc>
        <w:tc>
          <w:tcPr>
            <w:tcW w:w="1100" w:type="pct"/>
            <w:hideMark/>
          </w:tcPr>
          <w:p w14:paraId="19031446"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(3.03)**</w:t>
            </w:r>
          </w:p>
        </w:tc>
      </w:tr>
      <w:tr w:rsidR="0016113B" w:rsidRPr="006108F1" w14:paraId="0590764E"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3929F71C" w14:textId="77777777" w:rsidR="0016113B" w:rsidRPr="0016113B" w:rsidRDefault="0016113B" w:rsidP="009E2CF7">
            <w:pPr>
              <w:widowControl/>
              <w:spacing w:line="240" w:lineRule="auto"/>
              <w:ind w:firstLineChars="0" w:firstLine="0"/>
              <w:jc w:val="center"/>
              <w:rPr>
                <w:color w:val="000000"/>
                <w:kern w:val="0"/>
                <w:szCs w:val="21"/>
              </w:rPr>
            </w:pPr>
            <w:r w:rsidRPr="0016113B">
              <w:rPr>
                <w:color w:val="000000"/>
                <w:kern w:val="0"/>
                <w:szCs w:val="21"/>
              </w:rPr>
              <w:t>(7, 11)</w:t>
            </w:r>
          </w:p>
        </w:tc>
        <w:tc>
          <w:tcPr>
            <w:tcW w:w="1094" w:type="pct"/>
            <w:hideMark/>
          </w:tcPr>
          <w:p w14:paraId="19F9B8A1"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0.0007</w:t>
            </w:r>
          </w:p>
        </w:tc>
        <w:tc>
          <w:tcPr>
            <w:tcW w:w="1094" w:type="pct"/>
            <w:hideMark/>
          </w:tcPr>
          <w:p w14:paraId="1C2CA898"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0.0024</w:t>
            </w:r>
          </w:p>
        </w:tc>
        <w:tc>
          <w:tcPr>
            <w:tcW w:w="1114" w:type="pct"/>
            <w:hideMark/>
          </w:tcPr>
          <w:p w14:paraId="784C9A38"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0.0016</w:t>
            </w:r>
          </w:p>
        </w:tc>
        <w:tc>
          <w:tcPr>
            <w:tcW w:w="1100" w:type="pct"/>
            <w:hideMark/>
          </w:tcPr>
          <w:p w14:paraId="2DC54FBB"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0.0018</w:t>
            </w:r>
          </w:p>
        </w:tc>
      </w:tr>
      <w:tr w:rsidR="0016113B" w:rsidRPr="006108F1" w14:paraId="044302E4"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121738C0" w14:textId="77777777" w:rsidR="0016113B" w:rsidRPr="0016113B" w:rsidRDefault="0016113B" w:rsidP="009E2CF7">
            <w:pPr>
              <w:widowControl/>
              <w:spacing w:line="240" w:lineRule="auto"/>
              <w:ind w:firstLineChars="0" w:firstLine="0"/>
              <w:jc w:val="left"/>
              <w:rPr>
                <w:color w:val="000000"/>
                <w:kern w:val="0"/>
                <w:szCs w:val="21"/>
              </w:rPr>
            </w:pPr>
          </w:p>
        </w:tc>
        <w:tc>
          <w:tcPr>
            <w:tcW w:w="1094" w:type="pct"/>
            <w:hideMark/>
          </w:tcPr>
          <w:p w14:paraId="1FE8C9E3"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(0.41)</w:t>
            </w:r>
          </w:p>
        </w:tc>
        <w:tc>
          <w:tcPr>
            <w:tcW w:w="1094" w:type="pct"/>
            <w:hideMark/>
          </w:tcPr>
          <w:p w14:paraId="4095BC6B"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(1.21)</w:t>
            </w:r>
          </w:p>
        </w:tc>
        <w:tc>
          <w:tcPr>
            <w:tcW w:w="1114" w:type="pct"/>
            <w:hideMark/>
          </w:tcPr>
          <w:p w14:paraId="4B6A1C21"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(1.82)</w:t>
            </w:r>
          </w:p>
        </w:tc>
        <w:tc>
          <w:tcPr>
            <w:tcW w:w="1100" w:type="pct"/>
            <w:hideMark/>
          </w:tcPr>
          <w:p w14:paraId="40C5EDDD" w14:textId="77777777" w:rsidR="0016113B" w:rsidRPr="0016113B"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16113B">
              <w:rPr>
                <w:szCs w:val="21"/>
              </w:rPr>
              <w:t>(1.90)</w:t>
            </w:r>
          </w:p>
        </w:tc>
      </w:tr>
      <w:tr w:rsidR="0016113B" w:rsidRPr="006108F1" w14:paraId="2085F6E6" w14:textId="77777777" w:rsidTr="0016113B">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8" w:type="pct"/>
            <w:hideMark/>
          </w:tcPr>
          <w:p w14:paraId="19D2A2DF" w14:textId="77777777" w:rsidR="0016113B" w:rsidRPr="0016113B" w:rsidRDefault="0016113B" w:rsidP="009E2CF7">
            <w:pPr>
              <w:widowControl/>
              <w:spacing w:line="240" w:lineRule="auto"/>
              <w:ind w:firstLineChars="0" w:firstLine="0"/>
              <w:jc w:val="center"/>
              <w:rPr>
                <w:i/>
                <w:iCs/>
                <w:color w:val="000000"/>
                <w:kern w:val="0"/>
                <w:szCs w:val="21"/>
              </w:rPr>
            </w:pPr>
            <w:r w:rsidRPr="0016113B">
              <w:rPr>
                <w:i/>
                <w:iCs/>
                <w:color w:val="000000"/>
                <w:kern w:val="0"/>
                <w:szCs w:val="21"/>
              </w:rPr>
              <w:t>N</w:t>
            </w:r>
          </w:p>
        </w:tc>
        <w:tc>
          <w:tcPr>
            <w:tcW w:w="1094" w:type="pct"/>
            <w:hideMark/>
          </w:tcPr>
          <w:p w14:paraId="40BF07C6" w14:textId="77777777" w:rsidR="0016113B" w:rsidRPr="0016113B"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16113B">
              <w:rPr>
                <w:szCs w:val="21"/>
              </w:rPr>
              <w:t>743</w:t>
            </w:r>
          </w:p>
        </w:tc>
        <w:tc>
          <w:tcPr>
            <w:tcW w:w="1094" w:type="pct"/>
            <w:hideMark/>
          </w:tcPr>
          <w:p w14:paraId="7B9A0AB2" w14:textId="77777777" w:rsidR="0016113B" w:rsidRPr="0016113B"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16113B">
              <w:rPr>
                <w:szCs w:val="21"/>
              </w:rPr>
              <w:t>679</w:t>
            </w:r>
          </w:p>
        </w:tc>
        <w:tc>
          <w:tcPr>
            <w:tcW w:w="1114" w:type="pct"/>
            <w:hideMark/>
          </w:tcPr>
          <w:p w14:paraId="5F9951B6" w14:textId="77777777" w:rsidR="0016113B" w:rsidRPr="0016113B"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16113B">
              <w:rPr>
                <w:szCs w:val="21"/>
              </w:rPr>
              <w:t>3,510</w:t>
            </w:r>
          </w:p>
        </w:tc>
        <w:tc>
          <w:tcPr>
            <w:tcW w:w="1100" w:type="pct"/>
            <w:hideMark/>
          </w:tcPr>
          <w:p w14:paraId="17E0A77C" w14:textId="77777777" w:rsidR="0016113B" w:rsidRPr="0016113B"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16113B">
              <w:rPr>
                <w:szCs w:val="21"/>
              </w:rPr>
              <w:t>3,300</w:t>
            </w:r>
          </w:p>
        </w:tc>
      </w:tr>
    </w:tbl>
    <w:p w14:paraId="1CC332BC" w14:textId="77777777" w:rsidR="008A792E" w:rsidRDefault="008A792E" w:rsidP="009E2CF7">
      <w:pPr>
        <w:pStyle w:val="ad"/>
        <w:spacing w:line="240" w:lineRule="auto"/>
      </w:pPr>
      <w:r>
        <w:rPr>
          <w:rFonts w:hint="eastAsia"/>
        </w:rPr>
        <w:t>注：</w:t>
      </w:r>
      <w:r>
        <w:t xml:space="preserve">* </w:t>
      </w:r>
      <w:r>
        <w:rPr>
          <w:i/>
          <w:iCs/>
        </w:rPr>
        <w:t>p</w:t>
      </w:r>
      <w:r>
        <w:t xml:space="preserve">&lt;0.05; ** </w:t>
      </w:r>
      <w:r>
        <w:rPr>
          <w:i/>
          <w:iCs/>
        </w:rPr>
        <w:t>p</w:t>
      </w:r>
      <w:r>
        <w:t>&lt;0.01</w:t>
      </w:r>
    </w:p>
    <w:p w14:paraId="41686A7D" w14:textId="7E3D4406" w:rsidR="00603DA6" w:rsidRPr="004164A4" w:rsidRDefault="004164A4" w:rsidP="009E2CF7">
      <w:pPr>
        <w:spacing w:line="240" w:lineRule="auto"/>
        <w:ind w:firstLine="420"/>
      </w:pPr>
      <w:r>
        <w:fldChar w:fldCharType="begin"/>
      </w:r>
      <w:r>
        <w:instrText xml:space="preserve"> </w:instrText>
      </w:r>
      <w:r>
        <w:rPr>
          <w:rFonts w:hint="eastAsia"/>
        </w:rPr>
        <w:instrText>REF _Ref509513538 \h</w:instrText>
      </w:r>
      <w:r>
        <w:instrText xml:space="preserve"> </w:instrText>
      </w:r>
      <w:r w:rsidR="009E2CF7">
        <w:instrText xml:space="preserve"> \* MERGEFORMAT </w:instrText>
      </w:r>
      <w:r>
        <w:fldChar w:fldCharType="separate"/>
      </w:r>
      <w:r w:rsidR="0016113B">
        <w:rPr>
          <w:rFonts w:hint="eastAsia"/>
        </w:rPr>
        <w:t>表</w:t>
      </w:r>
      <w:r w:rsidR="0016113B">
        <w:rPr>
          <w:noProof/>
        </w:rPr>
        <w:t>8</w:t>
      </w:r>
      <w:r>
        <w:fldChar w:fldCharType="end"/>
      </w:r>
      <w:r>
        <w:rPr>
          <w:rFonts w:hint="eastAsia"/>
        </w:rPr>
        <w:t>的检验结果显示，无论分析师是否进行了关于投资者情绪的择时，在报告发布前两周、报告发布当天及第二天都有显著为正的超额收益，但在报告发布后两周内，择时组的超额收益率不再显著，非择时组的超额收益率则</w:t>
      </w:r>
      <w:r w:rsidR="0016113B" w:rsidRPr="0016113B">
        <w:rPr>
          <w:rFonts w:hint="eastAsia"/>
        </w:rPr>
        <w:t>在第一周内</w:t>
      </w:r>
      <w:r>
        <w:rPr>
          <w:rFonts w:hint="eastAsia"/>
        </w:rPr>
        <w:t>仍然显著。其次横向对比高信息含量与</w:t>
      </w:r>
      <w:proofErr w:type="gramStart"/>
      <w:r>
        <w:rPr>
          <w:rFonts w:hint="eastAsia"/>
        </w:rPr>
        <w:t>低信息</w:t>
      </w:r>
      <w:proofErr w:type="gramEnd"/>
      <w:r>
        <w:rPr>
          <w:rFonts w:hint="eastAsia"/>
        </w:rPr>
        <w:t>含量组，发现在报告发布前一周、报告发布当天及第二天高信息含量的报告产生的超额收益率要远高于</w:t>
      </w:r>
      <w:proofErr w:type="gramStart"/>
      <w:r>
        <w:rPr>
          <w:rFonts w:hint="eastAsia"/>
        </w:rPr>
        <w:t>低信息</w:t>
      </w:r>
      <w:proofErr w:type="gramEnd"/>
      <w:r>
        <w:rPr>
          <w:rFonts w:hint="eastAsia"/>
        </w:rPr>
        <w:t>含量的报告。因此，本文认为市场可以识别分析师在发布报告</w:t>
      </w:r>
      <w:r>
        <w:rPr>
          <w:rFonts w:hint="eastAsia"/>
        </w:rPr>
        <w:lastRenderedPageBreak/>
        <w:t>时的择时行为，并对此进行了一定程度的定价，具体表现为择时组的超额收益率在报告发布后更快消失。</w:t>
      </w:r>
    </w:p>
    <w:p w14:paraId="38337199" w14:textId="0F679C8F" w:rsidR="005E071F" w:rsidRPr="005E071F" w:rsidRDefault="004D3CFD" w:rsidP="009E2CF7">
      <w:pPr>
        <w:spacing w:line="240" w:lineRule="auto"/>
        <w:ind w:firstLine="420"/>
      </w:pPr>
      <w:r>
        <w:rPr>
          <w:rFonts w:hint="eastAsia"/>
        </w:rPr>
        <w:t>由于</w:t>
      </w:r>
      <w:r w:rsidR="000C0856">
        <w:rPr>
          <w:rFonts w:hint="eastAsia"/>
        </w:rPr>
        <w:t>超额收益的计算方式</w:t>
      </w:r>
      <w:r>
        <w:rPr>
          <w:rFonts w:hint="eastAsia"/>
        </w:rPr>
        <w:t>可能会影响上述结论，为保证结果稳健性</w:t>
      </w:r>
      <w:r w:rsidR="000C0856">
        <w:rPr>
          <w:rFonts w:hint="eastAsia"/>
        </w:rPr>
        <w:t>，</w:t>
      </w:r>
      <w:r w:rsidR="00977F82">
        <w:rPr>
          <w:rFonts w:hint="eastAsia"/>
        </w:rPr>
        <w:t>本文</w:t>
      </w:r>
      <w:r w:rsidR="000C0856">
        <w:rPr>
          <w:rFonts w:hint="eastAsia"/>
        </w:rPr>
        <w:t>重新</w:t>
      </w:r>
      <w:r w:rsidR="00977F82">
        <w:rPr>
          <w:rFonts w:hint="eastAsia"/>
        </w:rPr>
        <w:t>采用市场模型法计算超额收益率，以报告发布前</w:t>
      </w:r>
      <w:r w:rsidR="00977F82">
        <w:rPr>
          <w:rFonts w:hint="eastAsia"/>
        </w:rPr>
        <w:t>50</w:t>
      </w:r>
      <w:r w:rsidR="00977F82">
        <w:rPr>
          <w:rFonts w:hint="eastAsia"/>
        </w:rPr>
        <w:t>日至前</w:t>
      </w:r>
      <w:r w:rsidR="00977F82">
        <w:rPr>
          <w:rFonts w:hint="eastAsia"/>
        </w:rPr>
        <w:t>10</w:t>
      </w:r>
      <w:r w:rsidR="00977F82">
        <w:rPr>
          <w:rFonts w:hint="eastAsia"/>
        </w:rPr>
        <w:t>日</w:t>
      </w:r>
      <w:r w:rsidR="000C0856">
        <w:rPr>
          <w:rFonts w:hint="eastAsia"/>
        </w:rPr>
        <w:t>的</w:t>
      </w:r>
      <w:r w:rsidR="00977F82">
        <w:rPr>
          <w:rFonts w:hint="eastAsia"/>
        </w:rPr>
        <w:t>40</w:t>
      </w:r>
      <w:r w:rsidR="00977F82">
        <w:rPr>
          <w:rFonts w:hint="eastAsia"/>
        </w:rPr>
        <w:t>个交易日</w:t>
      </w:r>
      <w:proofErr w:type="gramStart"/>
      <w:r w:rsidR="00977F82">
        <w:rPr>
          <w:rFonts w:hint="eastAsia"/>
        </w:rPr>
        <w:t>为估计</w:t>
      </w:r>
      <w:proofErr w:type="gramEnd"/>
      <w:r w:rsidR="00977F82">
        <w:rPr>
          <w:rFonts w:hint="eastAsia"/>
        </w:rPr>
        <w:t>窗口，</w:t>
      </w:r>
      <w:r w:rsidR="00B760B4">
        <w:rPr>
          <w:rFonts w:hint="eastAsia"/>
        </w:rPr>
        <w:t>剔除了</w:t>
      </w:r>
      <w:r w:rsidR="00B760B4">
        <w:rPr>
          <w:rFonts w:hint="eastAsia"/>
        </w:rPr>
        <w:t>4</w:t>
      </w:r>
      <w:r w:rsidR="0016113B">
        <w:t>56</w:t>
      </w:r>
      <w:r w:rsidR="00B760B4">
        <w:rPr>
          <w:rFonts w:hint="eastAsia"/>
        </w:rPr>
        <w:t>份估计窗样本不足的报告。</w:t>
      </w:r>
      <w:r w:rsidR="00977F82">
        <w:rPr>
          <w:rFonts w:hint="eastAsia"/>
        </w:rPr>
        <w:t>同样</w:t>
      </w:r>
      <w:r w:rsidR="00B60BCB">
        <w:rPr>
          <w:rFonts w:hint="eastAsia"/>
        </w:rPr>
        <w:t>划分</w:t>
      </w:r>
      <m:oMath>
        <m:d>
          <m:dPr>
            <m:ctrlPr>
              <w:rPr>
                <w:rFonts w:ascii="Cambria Math" w:hAnsi="Cambria Math"/>
              </w:rPr>
            </m:ctrlPr>
          </m:dPr>
          <m:e>
            <m:r>
              <m:rPr>
                <m:sty m:val="p"/>
              </m:rPr>
              <w:rPr>
                <w:rFonts w:ascii="Cambria Math" w:hAnsi="Cambria Math"/>
              </w:rPr>
              <m:t>-10,-6</m:t>
            </m:r>
          </m:e>
        </m:d>
        <m:r>
          <m:rPr>
            <m:sty m:val="p"/>
          </m:rPr>
          <w:rPr>
            <w:rFonts w:ascii="Cambria Math" w:hAnsi="Cambria Math" w:hint="eastAsia"/>
          </w:rPr>
          <m:t>，</m:t>
        </m:r>
        <m:d>
          <m:dPr>
            <m:ctrlPr>
              <w:rPr>
                <w:rFonts w:ascii="Cambria Math" w:hAnsi="Cambria Math"/>
              </w:rPr>
            </m:ctrlPr>
          </m:dPr>
          <m:e>
            <m:r>
              <w:rPr>
                <w:rFonts w:ascii="Cambria Math" w:hAnsi="Cambria Math"/>
              </w:rPr>
              <m:t>-5,-1</m:t>
            </m:r>
          </m:e>
        </m:d>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d>
          <m:dPr>
            <m:ctrlPr>
              <w:rPr>
                <w:rFonts w:ascii="Cambria Math" w:hAnsi="Cambria Math"/>
              </w:rPr>
            </m:ctrlPr>
          </m:dPr>
          <m:e>
            <m:r>
              <m:rPr>
                <m:sty m:val="p"/>
              </m:rPr>
              <w:rPr>
                <w:rFonts w:ascii="Cambria Math" w:hAnsi="Cambria Math"/>
              </w:rPr>
              <m:t>2,6</m:t>
            </m:r>
          </m:e>
        </m:d>
        <m:r>
          <m:rPr>
            <m:sty m:val="p"/>
          </m:rPr>
          <w:rPr>
            <w:rFonts w:ascii="Cambria Math" w:hAnsi="Cambria Math" w:hint="eastAsia"/>
          </w:rPr>
          <m:t>，</m:t>
        </m:r>
        <m:r>
          <m:rPr>
            <m:sty m:val="p"/>
          </m:rPr>
          <w:rPr>
            <w:rFonts w:ascii="Cambria Math" w:hAnsi="Cambria Math"/>
          </w:rPr>
          <m:t>(7,11)</m:t>
        </m:r>
      </m:oMath>
      <w:r w:rsidR="00977F82">
        <w:rPr>
          <w:rFonts w:hint="eastAsia"/>
        </w:rPr>
        <w:t>六个</w:t>
      </w:r>
      <w:r w:rsidR="005039CD">
        <w:rPr>
          <w:rFonts w:hint="eastAsia"/>
        </w:rPr>
        <w:t>时间</w:t>
      </w:r>
      <w:r w:rsidR="00977F82">
        <w:rPr>
          <w:rFonts w:hint="eastAsia"/>
        </w:rPr>
        <w:t>窗口，</w:t>
      </w:r>
      <w:r w:rsidR="00B760B4">
        <w:rPr>
          <w:rFonts w:hint="eastAsia"/>
        </w:rPr>
        <w:t>计算出</w:t>
      </w:r>
      <w:r w:rsidR="00977F82">
        <w:rPr>
          <w:rFonts w:hint="eastAsia"/>
        </w:rPr>
        <w:t>超额收益率的变化情况</w:t>
      </w:r>
      <w:r w:rsidR="00B60BCB">
        <w:rPr>
          <w:rFonts w:hint="eastAsia"/>
        </w:rPr>
        <w:t>如</w:t>
      </w:r>
      <w:r w:rsidR="00AC389E">
        <w:fldChar w:fldCharType="begin"/>
      </w:r>
      <w:r w:rsidR="00AC389E">
        <w:instrText xml:space="preserve"> </w:instrText>
      </w:r>
      <w:r w:rsidR="00AC389E">
        <w:rPr>
          <w:rFonts w:hint="eastAsia"/>
        </w:rPr>
        <w:instrText>REF _Ref509513524 \h</w:instrText>
      </w:r>
      <w:r w:rsidR="00AC389E">
        <w:instrText xml:space="preserve"> </w:instrText>
      </w:r>
      <w:r w:rsidR="009E2CF7">
        <w:instrText xml:space="preserve"> \* MERGEFORMAT </w:instrText>
      </w:r>
      <w:r w:rsidR="00AC389E">
        <w:fldChar w:fldCharType="separate"/>
      </w:r>
      <w:r w:rsidR="0016113B">
        <w:rPr>
          <w:rFonts w:hint="eastAsia"/>
        </w:rPr>
        <w:t>表</w:t>
      </w:r>
      <w:r w:rsidR="0016113B">
        <w:rPr>
          <w:noProof/>
        </w:rPr>
        <w:t>9</w:t>
      </w:r>
      <w:r w:rsidR="00AC389E">
        <w:fldChar w:fldCharType="end"/>
      </w:r>
      <w:r w:rsidR="00B60BCB">
        <w:rPr>
          <w:rFonts w:hint="eastAsia"/>
        </w:rPr>
        <w:t>所示</w:t>
      </w:r>
      <w:r w:rsidR="00977F82">
        <w:rPr>
          <w:rFonts w:hint="eastAsia"/>
        </w:rPr>
        <w:t>。</w:t>
      </w:r>
      <w:r w:rsidR="000C0856">
        <w:rPr>
          <w:rFonts w:hint="eastAsia"/>
        </w:rPr>
        <w:t>可以看到，在择时组中，报告发布前一周、发布当天及后一天有显著为正的超额收益率，随后超额收益率基本不再显著，而非择时组的超额收益率在前后四周内始终显著。</w:t>
      </w:r>
      <w:r w:rsidR="00AE6F69">
        <w:rPr>
          <w:rFonts w:hint="eastAsia"/>
        </w:rPr>
        <w:t>而且</w:t>
      </w:r>
      <w:r w:rsidR="000C0856">
        <w:rPr>
          <w:rFonts w:hint="eastAsia"/>
        </w:rPr>
        <w:t>与前文中的结果类似，高信息含量组</w:t>
      </w:r>
      <w:r w:rsidR="00AE6F69">
        <w:rPr>
          <w:rFonts w:hint="eastAsia"/>
        </w:rPr>
        <w:t>比</w:t>
      </w:r>
      <w:proofErr w:type="gramStart"/>
      <w:r w:rsidR="00AE6F69">
        <w:rPr>
          <w:rFonts w:hint="eastAsia"/>
        </w:rPr>
        <w:t>低信息含量组</w:t>
      </w:r>
      <w:r w:rsidR="000C0856">
        <w:rPr>
          <w:rFonts w:hint="eastAsia"/>
        </w:rPr>
        <w:t>产生</w:t>
      </w:r>
      <w:proofErr w:type="gramEnd"/>
      <w:r w:rsidR="000C0856">
        <w:rPr>
          <w:rFonts w:hint="eastAsia"/>
        </w:rPr>
        <w:t>了</w:t>
      </w:r>
      <w:r w:rsidR="00AE6F69">
        <w:rPr>
          <w:rFonts w:hint="eastAsia"/>
        </w:rPr>
        <w:t>更高</w:t>
      </w:r>
      <w:r w:rsidR="000C0856">
        <w:rPr>
          <w:rFonts w:hint="eastAsia"/>
        </w:rPr>
        <w:t>的超额收益</w:t>
      </w:r>
      <w:r w:rsidR="00AE6F69">
        <w:rPr>
          <w:rFonts w:hint="eastAsia"/>
        </w:rPr>
        <w:t>。</w:t>
      </w:r>
    </w:p>
    <w:p w14:paraId="559728A2" w14:textId="0276269B" w:rsidR="008A792E" w:rsidRDefault="008A792E" w:rsidP="009E2CF7">
      <w:pPr>
        <w:pStyle w:val="ac"/>
        <w:spacing w:line="240" w:lineRule="auto"/>
      </w:pPr>
      <w:bookmarkStart w:id="65" w:name="_Ref50951352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6113B">
        <w:rPr>
          <w:noProof/>
        </w:rPr>
        <w:t>9</w:t>
      </w:r>
      <w:r>
        <w:fldChar w:fldCharType="end"/>
      </w:r>
      <w:bookmarkEnd w:id="65"/>
      <w:r>
        <w:rPr>
          <w:noProof/>
        </w:rPr>
        <w:t xml:space="preserve"> </w:t>
      </w:r>
      <w:r>
        <w:rPr>
          <w:rFonts w:hint="eastAsia"/>
          <w:noProof/>
        </w:rPr>
        <w:t>超额收益率（市场模型法）检验结果</w:t>
      </w:r>
    </w:p>
    <w:tbl>
      <w:tblPr>
        <w:tblStyle w:val="6"/>
        <w:tblW w:w="5000" w:type="pct"/>
        <w:tblLook w:val="06E0" w:firstRow="1" w:lastRow="1" w:firstColumn="1" w:lastColumn="0" w:noHBand="1" w:noVBand="1"/>
      </w:tblPr>
      <w:tblGrid>
        <w:gridCol w:w="961"/>
        <w:gridCol w:w="1641"/>
        <w:gridCol w:w="1615"/>
        <w:gridCol w:w="2057"/>
        <w:gridCol w:w="2032"/>
      </w:tblGrid>
      <w:tr w:rsidR="0016113B" w:rsidRPr="009D40B6" w14:paraId="43E84606" w14:textId="77777777" w:rsidTr="0016113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8" w:type="pct"/>
            <w:noWrap/>
            <w:hideMark/>
          </w:tcPr>
          <w:p w14:paraId="4DE8402E" w14:textId="77777777" w:rsidR="0016113B" w:rsidRPr="000E28DA" w:rsidRDefault="0016113B" w:rsidP="009E2CF7">
            <w:pPr>
              <w:widowControl/>
              <w:spacing w:line="240" w:lineRule="auto"/>
              <w:ind w:firstLineChars="0" w:firstLine="0"/>
              <w:rPr>
                <w:color w:val="000000"/>
                <w:kern w:val="0"/>
                <w:sz w:val="24"/>
              </w:rPr>
            </w:pPr>
          </w:p>
        </w:tc>
        <w:tc>
          <w:tcPr>
            <w:tcW w:w="988" w:type="pct"/>
            <w:noWrap/>
            <w:hideMark/>
          </w:tcPr>
          <w:p w14:paraId="61F31254"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 w:val="24"/>
              </w:rPr>
            </w:pPr>
            <w:r w:rsidRPr="000E28DA">
              <w:rPr>
                <w:color w:val="000000"/>
                <w:kern w:val="0"/>
                <w:sz w:val="24"/>
              </w:rPr>
              <w:t>Timing-</w:t>
            </w:r>
          </w:p>
          <w:p w14:paraId="451316C1"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4"/>
              </w:rPr>
            </w:pPr>
            <w:r w:rsidRPr="000E28DA">
              <w:rPr>
                <w:color w:val="000000"/>
                <w:kern w:val="0"/>
                <w:sz w:val="24"/>
              </w:rPr>
              <w:t>High Info</w:t>
            </w:r>
          </w:p>
        </w:tc>
        <w:tc>
          <w:tcPr>
            <w:tcW w:w="972" w:type="pct"/>
            <w:noWrap/>
            <w:hideMark/>
          </w:tcPr>
          <w:p w14:paraId="085CB5B8"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 w:val="24"/>
              </w:rPr>
            </w:pPr>
            <w:r w:rsidRPr="000E28DA">
              <w:rPr>
                <w:color w:val="000000"/>
                <w:kern w:val="0"/>
                <w:sz w:val="24"/>
              </w:rPr>
              <w:t>Timing-</w:t>
            </w:r>
          </w:p>
          <w:p w14:paraId="67B411E2"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4"/>
              </w:rPr>
            </w:pPr>
            <w:r w:rsidRPr="000E28DA">
              <w:rPr>
                <w:color w:val="000000"/>
                <w:kern w:val="0"/>
                <w:sz w:val="24"/>
              </w:rPr>
              <w:t>Low Info</w:t>
            </w:r>
          </w:p>
        </w:tc>
        <w:tc>
          <w:tcPr>
            <w:tcW w:w="1238" w:type="pct"/>
            <w:noWrap/>
            <w:hideMark/>
          </w:tcPr>
          <w:p w14:paraId="021EF43B"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 w:val="24"/>
              </w:rPr>
            </w:pPr>
            <w:proofErr w:type="spellStart"/>
            <w:r w:rsidRPr="000E28DA">
              <w:rPr>
                <w:color w:val="000000"/>
                <w:kern w:val="0"/>
                <w:sz w:val="24"/>
              </w:rPr>
              <w:t>NonTiming</w:t>
            </w:r>
            <w:proofErr w:type="spellEnd"/>
            <w:r w:rsidRPr="000E28DA">
              <w:rPr>
                <w:color w:val="000000"/>
                <w:kern w:val="0"/>
                <w:sz w:val="24"/>
              </w:rPr>
              <w:t>-</w:t>
            </w:r>
          </w:p>
          <w:p w14:paraId="788C28D6"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4"/>
              </w:rPr>
            </w:pPr>
            <w:r w:rsidRPr="000E28DA">
              <w:rPr>
                <w:color w:val="000000"/>
                <w:kern w:val="0"/>
                <w:sz w:val="24"/>
              </w:rPr>
              <w:t>High Info</w:t>
            </w:r>
          </w:p>
        </w:tc>
        <w:tc>
          <w:tcPr>
            <w:tcW w:w="1223" w:type="pct"/>
            <w:noWrap/>
            <w:hideMark/>
          </w:tcPr>
          <w:p w14:paraId="34079CCC"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color w:val="000000"/>
                <w:kern w:val="0"/>
                <w:sz w:val="24"/>
              </w:rPr>
            </w:pPr>
            <w:proofErr w:type="spellStart"/>
            <w:r w:rsidRPr="000E28DA">
              <w:rPr>
                <w:color w:val="000000"/>
                <w:kern w:val="0"/>
                <w:sz w:val="24"/>
              </w:rPr>
              <w:t>NonTiming</w:t>
            </w:r>
            <w:proofErr w:type="spellEnd"/>
            <w:r w:rsidRPr="000E28DA">
              <w:rPr>
                <w:color w:val="000000"/>
                <w:kern w:val="0"/>
                <w:sz w:val="24"/>
              </w:rPr>
              <w:t>-</w:t>
            </w:r>
          </w:p>
          <w:p w14:paraId="2316FCAD" w14:textId="77777777" w:rsidR="0016113B" w:rsidRPr="000E28DA" w:rsidRDefault="0016113B" w:rsidP="009E2CF7">
            <w:pPr>
              <w:widowControl/>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4"/>
              </w:rPr>
            </w:pPr>
            <w:r w:rsidRPr="000E28DA">
              <w:rPr>
                <w:color w:val="000000"/>
                <w:kern w:val="0"/>
                <w:sz w:val="24"/>
              </w:rPr>
              <w:t>Low Info</w:t>
            </w:r>
          </w:p>
        </w:tc>
      </w:tr>
      <w:tr w:rsidR="0016113B" w:rsidRPr="009D40B6" w14:paraId="07270D8C"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40D33177" w14:textId="77777777" w:rsidR="0016113B" w:rsidRPr="000E28DA" w:rsidRDefault="0016113B" w:rsidP="009E2CF7">
            <w:pPr>
              <w:widowControl/>
              <w:spacing w:line="240" w:lineRule="auto"/>
              <w:ind w:firstLineChars="0" w:firstLine="0"/>
              <w:jc w:val="center"/>
              <w:rPr>
                <w:color w:val="000000"/>
                <w:kern w:val="0"/>
                <w:sz w:val="24"/>
              </w:rPr>
            </w:pPr>
            <w:r w:rsidRPr="000E28DA">
              <w:rPr>
                <w:color w:val="000000"/>
                <w:kern w:val="0"/>
                <w:sz w:val="24"/>
              </w:rPr>
              <w:t>(-10, -6)</w:t>
            </w:r>
          </w:p>
        </w:tc>
        <w:tc>
          <w:tcPr>
            <w:tcW w:w="988" w:type="pct"/>
            <w:hideMark/>
          </w:tcPr>
          <w:p w14:paraId="011D818B"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0.0034</w:t>
            </w:r>
          </w:p>
        </w:tc>
        <w:tc>
          <w:tcPr>
            <w:tcW w:w="972" w:type="pct"/>
            <w:hideMark/>
          </w:tcPr>
          <w:p w14:paraId="63FF66C5"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0.0033</w:t>
            </w:r>
          </w:p>
        </w:tc>
        <w:tc>
          <w:tcPr>
            <w:tcW w:w="1238" w:type="pct"/>
            <w:hideMark/>
          </w:tcPr>
          <w:p w14:paraId="58167306"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0.0036</w:t>
            </w:r>
          </w:p>
        </w:tc>
        <w:tc>
          <w:tcPr>
            <w:tcW w:w="1223" w:type="pct"/>
            <w:hideMark/>
          </w:tcPr>
          <w:p w14:paraId="7047A237"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0.0035</w:t>
            </w:r>
          </w:p>
        </w:tc>
      </w:tr>
      <w:tr w:rsidR="0016113B" w:rsidRPr="009D40B6" w14:paraId="5E68ACD1" w14:textId="77777777" w:rsidTr="0016113B">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03F6731" w14:textId="77777777" w:rsidR="0016113B" w:rsidRPr="000E28DA" w:rsidRDefault="0016113B" w:rsidP="009E2CF7">
            <w:pPr>
              <w:widowControl/>
              <w:spacing w:line="240" w:lineRule="auto"/>
              <w:ind w:firstLineChars="0" w:firstLine="0"/>
              <w:jc w:val="left"/>
              <w:rPr>
                <w:color w:val="000000"/>
                <w:kern w:val="0"/>
                <w:sz w:val="24"/>
              </w:rPr>
            </w:pPr>
          </w:p>
        </w:tc>
        <w:tc>
          <w:tcPr>
            <w:tcW w:w="988" w:type="pct"/>
            <w:hideMark/>
          </w:tcPr>
          <w:p w14:paraId="1B66602D"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(1.65)</w:t>
            </w:r>
          </w:p>
        </w:tc>
        <w:tc>
          <w:tcPr>
            <w:tcW w:w="972" w:type="pct"/>
            <w:hideMark/>
          </w:tcPr>
          <w:p w14:paraId="4184599E"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(1.42)</w:t>
            </w:r>
          </w:p>
        </w:tc>
        <w:tc>
          <w:tcPr>
            <w:tcW w:w="1238" w:type="pct"/>
            <w:hideMark/>
          </w:tcPr>
          <w:p w14:paraId="0D6EDE44"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(3.63)**</w:t>
            </w:r>
          </w:p>
        </w:tc>
        <w:tc>
          <w:tcPr>
            <w:tcW w:w="1223" w:type="pct"/>
            <w:hideMark/>
          </w:tcPr>
          <w:p w14:paraId="71517E56"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(3.39)**</w:t>
            </w:r>
          </w:p>
        </w:tc>
      </w:tr>
      <w:tr w:rsidR="0016113B" w:rsidRPr="009D40B6" w14:paraId="77309BBB"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70BAA643" w14:textId="77777777" w:rsidR="0016113B" w:rsidRPr="000E28DA" w:rsidRDefault="0016113B" w:rsidP="009E2CF7">
            <w:pPr>
              <w:widowControl/>
              <w:spacing w:line="240" w:lineRule="auto"/>
              <w:ind w:firstLineChars="0" w:firstLine="0"/>
              <w:jc w:val="center"/>
              <w:rPr>
                <w:color w:val="000000"/>
                <w:kern w:val="0"/>
                <w:sz w:val="24"/>
              </w:rPr>
            </w:pPr>
            <w:r w:rsidRPr="000E28DA">
              <w:rPr>
                <w:color w:val="000000"/>
                <w:kern w:val="0"/>
                <w:sz w:val="24"/>
              </w:rPr>
              <w:t>(-5, -1)</w:t>
            </w:r>
          </w:p>
        </w:tc>
        <w:tc>
          <w:tcPr>
            <w:tcW w:w="988" w:type="pct"/>
            <w:hideMark/>
          </w:tcPr>
          <w:p w14:paraId="43895E76"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0.0212</w:t>
            </w:r>
          </w:p>
        </w:tc>
        <w:tc>
          <w:tcPr>
            <w:tcW w:w="972" w:type="pct"/>
            <w:hideMark/>
          </w:tcPr>
          <w:p w14:paraId="07F9B41B"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0.0083</w:t>
            </w:r>
          </w:p>
        </w:tc>
        <w:tc>
          <w:tcPr>
            <w:tcW w:w="1238" w:type="pct"/>
            <w:hideMark/>
          </w:tcPr>
          <w:p w14:paraId="117F1E1E"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0.0185</w:t>
            </w:r>
          </w:p>
        </w:tc>
        <w:tc>
          <w:tcPr>
            <w:tcW w:w="1223" w:type="pct"/>
            <w:hideMark/>
          </w:tcPr>
          <w:p w14:paraId="54B3221D"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0.0073</w:t>
            </w:r>
          </w:p>
        </w:tc>
      </w:tr>
      <w:tr w:rsidR="0016113B" w:rsidRPr="009D40B6" w14:paraId="45C05499" w14:textId="77777777" w:rsidTr="0016113B">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1ED3560A" w14:textId="77777777" w:rsidR="0016113B" w:rsidRPr="000E28DA" w:rsidRDefault="0016113B" w:rsidP="009E2CF7">
            <w:pPr>
              <w:widowControl/>
              <w:spacing w:line="240" w:lineRule="auto"/>
              <w:ind w:firstLineChars="0" w:firstLine="0"/>
              <w:jc w:val="left"/>
              <w:rPr>
                <w:color w:val="000000"/>
                <w:kern w:val="0"/>
                <w:sz w:val="24"/>
              </w:rPr>
            </w:pPr>
          </w:p>
        </w:tc>
        <w:tc>
          <w:tcPr>
            <w:tcW w:w="988" w:type="pct"/>
            <w:hideMark/>
          </w:tcPr>
          <w:p w14:paraId="2C986FE9"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(8.10)**</w:t>
            </w:r>
          </w:p>
        </w:tc>
        <w:tc>
          <w:tcPr>
            <w:tcW w:w="972" w:type="pct"/>
            <w:hideMark/>
          </w:tcPr>
          <w:p w14:paraId="6F0A12E9"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(3.45)**</w:t>
            </w:r>
          </w:p>
        </w:tc>
        <w:tc>
          <w:tcPr>
            <w:tcW w:w="1238" w:type="pct"/>
            <w:hideMark/>
          </w:tcPr>
          <w:p w14:paraId="7084699B"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(16.53)**</w:t>
            </w:r>
          </w:p>
        </w:tc>
        <w:tc>
          <w:tcPr>
            <w:tcW w:w="1223" w:type="pct"/>
            <w:hideMark/>
          </w:tcPr>
          <w:p w14:paraId="22D44DFB"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(6.74)**</w:t>
            </w:r>
          </w:p>
        </w:tc>
      </w:tr>
      <w:tr w:rsidR="0016113B" w:rsidRPr="009D40B6" w14:paraId="5D68303E"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7E7A572E" w14:textId="77777777" w:rsidR="0016113B" w:rsidRPr="000E28DA" w:rsidRDefault="0016113B" w:rsidP="009E2CF7">
            <w:pPr>
              <w:widowControl/>
              <w:spacing w:line="240" w:lineRule="auto"/>
              <w:ind w:firstLineChars="0" w:firstLine="0"/>
              <w:jc w:val="center"/>
              <w:rPr>
                <w:color w:val="000000"/>
                <w:kern w:val="0"/>
                <w:sz w:val="24"/>
              </w:rPr>
            </w:pPr>
            <w:r w:rsidRPr="000E28DA">
              <w:rPr>
                <w:color w:val="000000"/>
                <w:kern w:val="0"/>
                <w:sz w:val="24"/>
              </w:rPr>
              <w:t>0</w:t>
            </w:r>
          </w:p>
        </w:tc>
        <w:tc>
          <w:tcPr>
            <w:tcW w:w="988" w:type="pct"/>
            <w:hideMark/>
          </w:tcPr>
          <w:p w14:paraId="366F8B9A"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0.0092</w:t>
            </w:r>
          </w:p>
        </w:tc>
        <w:tc>
          <w:tcPr>
            <w:tcW w:w="972" w:type="pct"/>
            <w:hideMark/>
          </w:tcPr>
          <w:p w14:paraId="704B7194"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0.0031</w:t>
            </w:r>
          </w:p>
        </w:tc>
        <w:tc>
          <w:tcPr>
            <w:tcW w:w="1238" w:type="pct"/>
            <w:hideMark/>
          </w:tcPr>
          <w:p w14:paraId="1951246B"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0.0081</w:t>
            </w:r>
          </w:p>
        </w:tc>
        <w:tc>
          <w:tcPr>
            <w:tcW w:w="1223" w:type="pct"/>
            <w:hideMark/>
          </w:tcPr>
          <w:p w14:paraId="58EED4D7"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0.0025</w:t>
            </w:r>
          </w:p>
        </w:tc>
      </w:tr>
      <w:tr w:rsidR="0016113B" w:rsidRPr="009D40B6" w14:paraId="45176C3C" w14:textId="77777777" w:rsidTr="0016113B">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10FA932" w14:textId="77777777" w:rsidR="0016113B" w:rsidRPr="000E28DA" w:rsidRDefault="0016113B" w:rsidP="009E2CF7">
            <w:pPr>
              <w:widowControl/>
              <w:spacing w:line="240" w:lineRule="auto"/>
              <w:ind w:firstLineChars="0" w:firstLine="0"/>
              <w:jc w:val="left"/>
              <w:rPr>
                <w:color w:val="000000"/>
                <w:kern w:val="0"/>
                <w:sz w:val="24"/>
              </w:rPr>
            </w:pPr>
          </w:p>
        </w:tc>
        <w:tc>
          <w:tcPr>
            <w:tcW w:w="988" w:type="pct"/>
            <w:hideMark/>
          </w:tcPr>
          <w:p w14:paraId="50DAA181"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(7.43)**</w:t>
            </w:r>
          </w:p>
        </w:tc>
        <w:tc>
          <w:tcPr>
            <w:tcW w:w="972" w:type="pct"/>
            <w:hideMark/>
          </w:tcPr>
          <w:p w14:paraId="6E72B07F"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(3.36)**</w:t>
            </w:r>
          </w:p>
        </w:tc>
        <w:tc>
          <w:tcPr>
            <w:tcW w:w="1238" w:type="pct"/>
            <w:hideMark/>
          </w:tcPr>
          <w:p w14:paraId="40E9ED40"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(14.88)**</w:t>
            </w:r>
          </w:p>
        </w:tc>
        <w:tc>
          <w:tcPr>
            <w:tcW w:w="1223" w:type="pct"/>
            <w:hideMark/>
          </w:tcPr>
          <w:p w14:paraId="693F867E"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(5.84)**</w:t>
            </w:r>
          </w:p>
        </w:tc>
      </w:tr>
      <w:tr w:rsidR="0016113B" w:rsidRPr="009D40B6" w14:paraId="3F532DFC"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2EA0192F" w14:textId="77777777" w:rsidR="0016113B" w:rsidRPr="000E28DA" w:rsidRDefault="0016113B" w:rsidP="009E2CF7">
            <w:pPr>
              <w:widowControl/>
              <w:spacing w:line="240" w:lineRule="auto"/>
              <w:ind w:firstLineChars="0" w:firstLine="0"/>
              <w:jc w:val="center"/>
              <w:rPr>
                <w:color w:val="000000"/>
                <w:kern w:val="0"/>
                <w:sz w:val="24"/>
              </w:rPr>
            </w:pPr>
            <w:r w:rsidRPr="000E28DA">
              <w:rPr>
                <w:color w:val="000000"/>
                <w:kern w:val="0"/>
                <w:sz w:val="24"/>
              </w:rPr>
              <w:t>1</w:t>
            </w:r>
          </w:p>
        </w:tc>
        <w:tc>
          <w:tcPr>
            <w:tcW w:w="988" w:type="pct"/>
            <w:hideMark/>
          </w:tcPr>
          <w:p w14:paraId="4EF2DC51"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0.0056</w:t>
            </w:r>
          </w:p>
        </w:tc>
        <w:tc>
          <w:tcPr>
            <w:tcW w:w="972" w:type="pct"/>
            <w:hideMark/>
          </w:tcPr>
          <w:p w14:paraId="55FAEAC3"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0.0022</w:t>
            </w:r>
          </w:p>
        </w:tc>
        <w:tc>
          <w:tcPr>
            <w:tcW w:w="1238" w:type="pct"/>
            <w:hideMark/>
          </w:tcPr>
          <w:p w14:paraId="160D24CB"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0.0046</w:t>
            </w:r>
          </w:p>
        </w:tc>
        <w:tc>
          <w:tcPr>
            <w:tcW w:w="1223" w:type="pct"/>
            <w:hideMark/>
          </w:tcPr>
          <w:p w14:paraId="11492D15"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0.0011</w:t>
            </w:r>
          </w:p>
        </w:tc>
      </w:tr>
      <w:tr w:rsidR="0016113B" w:rsidRPr="009D40B6" w14:paraId="14D8F489" w14:textId="77777777" w:rsidTr="0016113B">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7517EE97" w14:textId="77777777" w:rsidR="0016113B" w:rsidRPr="000E28DA" w:rsidRDefault="0016113B" w:rsidP="009E2CF7">
            <w:pPr>
              <w:widowControl/>
              <w:spacing w:line="240" w:lineRule="auto"/>
              <w:ind w:firstLineChars="0" w:firstLine="0"/>
              <w:jc w:val="left"/>
              <w:rPr>
                <w:color w:val="000000"/>
                <w:kern w:val="0"/>
                <w:sz w:val="24"/>
              </w:rPr>
            </w:pPr>
          </w:p>
        </w:tc>
        <w:tc>
          <w:tcPr>
            <w:tcW w:w="988" w:type="pct"/>
            <w:hideMark/>
          </w:tcPr>
          <w:p w14:paraId="32291316"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(5.27)**</w:t>
            </w:r>
          </w:p>
        </w:tc>
        <w:tc>
          <w:tcPr>
            <w:tcW w:w="972" w:type="pct"/>
            <w:hideMark/>
          </w:tcPr>
          <w:p w14:paraId="6CCE131F"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(2.46)*</w:t>
            </w:r>
            <w:bookmarkStart w:id="66" w:name="_GoBack"/>
            <w:bookmarkEnd w:id="66"/>
          </w:p>
        </w:tc>
        <w:tc>
          <w:tcPr>
            <w:tcW w:w="1238" w:type="pct"/>
            <w:hideMark/>
          </w:tcPr>
          <w:p w14:paraId="38C08E30"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(8.98)**</w:t>
            </w:r>
          </w:p>
        </w:tc>
        <w:tc>
          <w:tcPr>
            <w:tcW w:w="1223" w:type="pct"/>
            <w:hideMark/>
          </w:tcPr>
          <w:p w14:paraId="4E1BA014"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(2.60)**</w:t>
            </w:r>
          </w:p>
        </w:tc>
      </w:tr>
      <w:tr w:rsidR="0016113B" w:rsidRPr="009D40B6" w14:paraId="08C4EC5B"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6229FA5E" w14:textId="77777777" w:rsidR="0016113B" w:rsidRPr="000E28DA" w:rsidRDefault="0016113B" w:rsidP="009E2CF7">
            <w:pPr>
              <w:widowControl/>
              <w:spacing w:line="240" w:lineRule="auto"/>
              <w:ind w:firstLineChars="0" w:firstLine="0"/>
              <w:jc w:val="center"/>
              <w:rPr>
                <w:color w:val="000000"/>
                <w:kern w:val="0"/>
                <w:sz w:val="24"/>
              </w:rPr>
            </w:pPr>
            <w:r w:rsidRPr="000E28DA">
              <w:rPr>
                <w:color w:val="000000"/>
                <w:kern w:val="0"/>
                <w:sz w:val="24"/>
              </w:rPr>
              <w:t>(2, 6)</w:t>
            </w:r>
          </w:p>
        </w:tc>
        <w:tc>
          <w:tcPr>
            <w:tcW w:w="988" w:type="pct"/>
            <w:hideMark/>
          </w:tcPr>
          <w:p w14:paraId="7F76D6BD"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-0.0023</w:t>
            </w:r>
          </w:p>
        </w:tc>
        <w:tc>
          <w:tcPr>
            <w:tcW w:w="972" w:type="pct"/>
            <w:hideMark/>
          </w:tcPr>
          <w:p w14:paraId="0D1914C3"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-0.0016</w:t>
            </w:r>
          </w:p>
        </w:tc>
        <w:tc>
          <w:tcPr>
            <w:tcW w:w="1238" w:type="pct"/>
            <w:hideMark/>
          </w:tcPr>
          <w:p w14:paraId="163E394F"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-0.0027</w:t>
            </w:r>
          </w:p>
        </w:tc>
        <w:tc>
          <w:tcPr>
            <w:tcW w:w="1223" w:type="pct"/>
            <w:hideMark/>
          </w:tcPr>
          <w:p w14:paraId="6C295593"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-0.0028</w:t>
            </w:r>
          </w:p>
        </w:tc>
      </w:tr>
      <w:tr w:rsidR="0016113B" w:rsidRPr="009D40B6" w14:paraId="33067A03" w14:textId="77777777" w:rsidTr="0016113B">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5AC0D98" w14:textId="77777777" w:rsidR="0016113B" w:rsidRPr="000E28DA" w:rsidRDefault="0016113B" w:rsidP="009E2CF7">
            <w:pPr>
              <w:widowControl/>
              <w:spacing w:line="240" w:lineRule="auto"/>
              <w:ind w:firstLineChars="0" w:firstLine="0"/>
              <w:jc w:val="left"/>
              <w:rPr>
                <w:color w:val="000000"/>
                <w:kern w:val="0"/>
                <w:sz w:val="24"/>
              </w:rPr>
            </w:pPr>
          </w:p>
        </w:tc>
        <w:tc>
          <w:tcPr>
            <w:tcW w:w="988" w:type="pct"/>
            <w:hideMark/>
          </w:tcPr>
          <w:p w14:paraId="34922BFA"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(1.10)</w:t>
            </w:r>
          </w:p>
        </w:tc>
        <w:tc>
          <w:tcPr>
            <w:tcW w:w="972" w:type="pct"/>
            <w:hideMark/>
          </w:tcPr>
          <w:p w14:paraId="66ADF2A8"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(0.74)</w:t>
            </w:r>
          </w:p>
        </w:tc>
        <w:tc>
          <w:tcPr>
            <w:tcW w:w="1238" w:type="pct"/>
            <w:hideMark/>
          </w:tcPr>
          <w:p w14:paraId="3A42F2E5"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(2.68)**</w:t>
            </w:r>
          </w:p>
        </w:tc>
        <w:tc>
          <w:tcPr>
            <w:tcW w:w="1223" w:type="pct"/>
            <w:hideMark/>
          </w:tcPr>
          <w:p w14:paraId="356D0931"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(2.62)**</w:t>
            </w:r>
          </w:p>
        </w:tc>
      </w:tr>
      <w:tr w:rsidR="0016113B" w:rsidRPr="009D40B6" w14:paraId="5DB3A536" w14:textId="77777777" w:rsidTr="0016113B">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1A839D6F" w14:textId="77777777" w:rsidR="0016113B" w:rsidRPr="000E28DA" w:rsidRDefault="0016113B" w:rsidP="009E2CF7">
            <w:pPr>
              <w:widowControl/>
              <w:spacing w:line="240" w:lineRule="auto"/>
              <w:ind w:firstLineChars="0" w:firstLine="0"/>
              <w:jc w:val="center"/>
              <w:rPr>
                <w:color w:val="000000"/>
                <w:kern w:val="0"/>
                <w:sz w:val="24"/>
              </w:rPr>
            </w:pPr>
            <w:r w:rsidRPr="000E28DA">
              <w:rPr>
                <w:color w:val="000000"/>
                <w:kern w:val="0"/>
                <w:sz w:val="24"/>
              </w:rPr>
              <w:t>(7, 11)</w:t>
            </w:r>
          </w:p>
        </w:tc>
        <w:tc>
          <w:tcPr>
            <w:tcW w:w="988" w:type="pct"/>
            <w:hideMark/>
          </w:tcPr>
          <w:p w14:paraId="463B64B8"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-0.0038</w:t>
            </w:r>
          </w:p>
        </w:tc>
        <w:tc>
          <w:tcPr>
            <w:tcW w:w="972" w:type="pct"/>
            <w:hideMark/>
          </w:tcPr>
          <w:p w14:paraId="6F93C5ED"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-0.0030</w:t>
            </w:r>
          </w:p>
        </w:tc>
        <w:tc>
          <w:tcPr>
            <w:tcW w:w="1238" w:type="pct"/>
            <w:hideMark/>
          </w:tcPr>
          <w:p w14:paraId="131D0232"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-0.0033</w:t>
            </w:r>
          </w:p>
        </w:tc>
        <w:tc>
          <w:tcPr>
            <w:tcW w:w="1223" w:type="pct"/>
            <w:hideMark/>
          </w:tcPr>
          <w:p w14:paraId="5AE9FD9F"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-0.0042</w:t>
            </w:r>
          </w:p>
        </w:tc>
      </w:tr>
      <w:tr w:rsidR="0016113B" w:rsidRPr="009D40B6" w14:paraId="738A3B7A" w14:textId="77777777" w:rsidTr="0016113B">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4FD5EA66" w14:textId="77777777" w:rsidR="0016113B" w:rsidRPr="000E28DA" w:rsidRDefault="0016113B" w:rsidP="009E2CF7">
            <w:pPr>
              <w:widowControl/>
              <w:spacing w:line="240" w:lineRule="auto"/>
              <w:ind w:firstLineChars="0" w:firstLine="0"/>
              <w:jc w:val="left"/>
              <w:rPr>
                <w:color w:val="000000"/>
                <w:kern w:val="0"/>
                <w:sz w:val="24"/>
              </w:rPr>
            </w:pPr>
          </w:p>
        </w:tc>
        <w:tc>
          <w:tcPr>
            <w:tcW w:w="988" w:type="pct"/>
            <w:hideMark/>
          </w:tcPr>
          <w:p w14:paraId="5C8E2677"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(1.94)</w:t>
            </w:r>
          </w:p>
        </w:tc>
        <w:tc>
          <w:tcPr>
            <w:tcW w:w="972" w:type="pct"/>
            <w:hideMark/>
          </w:tcPr>
          <w:p w14:paraId="54669425"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(1.47)</w:t>
            </w:r>
          </w:p>
        </w:tc>
        <w:tc>
          <w:tcPr>
            <w:tcW w:w="1238" w:type="pct"/>
            <w:hideMark/>
          </w:tcPr>
          <w:p w14:paraId="7E4E4560"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(3.48)**</w:t>
            </w:r>
          </w:p>
        </w:tc>
        <w:tc>
          <w:tcPr>
            <w:tcW w:w="1223" w:type="pct"/>
            <w:hideMark/>
          </w:tcPr>
          <w:p w14:paraId="1BC87055" w14:textId="77777777" w:rsidR="0016113B" w:rsidRPr="000E28DA" w:rsidRDefault="0016113B" w:rsidP="009E2CF7">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4"/>
              </w:rPr>
            </w:pPr>
            <w:r w:rsidRPr="000E28DA">
              <w:rPr>
                <w:sz w:val="24"/>
              </w:rPr>
              <w:t>(4.24)**</w:t>
            </w:r>
          </w:p>
        </w:tc>
      </w:tr>
      <w:tr w:rsidR="0016113B" w:rsidRPr="009D40B6" w14:paraId="0D38D90D" w14:textId="77777777" w:rsidTr="0016113B">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8" w:type="pct"/>
            <w:hideMark/>
          </w:tcPr>
          <w:p w14:paraId="1918A5EB" w14:textId="77777777" w:rsidR="0016113B" w:rsidRPr="000E28DA" w:rsidRDefault="0016113B" w:rsidP="009E2CF7">
            <w:pPr>
              <w:widowControl/>
              <w:spacing w:line="240" w:lineRule="auto"/>
              <w:ind w:firstLineChars="0" w:firstLine="0"/>
              <w:jc w:val="center"/>
              <w:rPr>
                <w:i/>
                <w:iCs/>
                <w:color w:val="000000"/>
                <w:kern w:val="0"/>
                <w:sz w:val="24"/>
              </w:rPr>
            </w:pPr>
            <w:r w:rsidRPr="000E28DA">
              <w:rPr>
                <w:i/>
                <w:iCs/>
                <w:color w:val="000000"/>
                <w:kern w:val="0"/>
                <w:sz w:val="24"/>
              </w:rPr>
              <w:t>N</w:t>
            </w:r>
          </w:p>
        </w:tc>
        <w:tc>
          <w:tcPr>
            <w:tcW w:w="988" w:type="pct"/>
            <w:hideMark/>
          </w:tcPr>
          <w:p w14:paraId="61A1DFBE" w14:textId="77777777" w:rsidR="0016113B" w:rsidRPr="000E28DA"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4"/>
              </w:rPr>
            </w:pPr>
            <w:r w:rsidRPr="000E28DA">
              <w:rPr>
                <w:sz w:val="24"/>
              </w:rPr>
              <w:t>689</w:t>
            </w:r>
          </w:p>
        </w:tc>
        <w:tc>
          <w:tcPr>
            <w:tcW w:w="972" w:type="pct"/>
            <w:hideMark/>
          </w:tcPr>
          <w:p w14:paraId="1A115EC8" w14:textId="77777777" w:rsidR="0016113B" w:rsidRPr="000E28DA"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4"/>
              </w:rPr>
            </w:pPr>
            <w:r w:rsidRPr="000E28DA">
              <w:rPr>
                <w:sz w:val="24"/>
              </w:rPr>
              <w:t>641</w:t>
            </w:r>
          </w:p>
        </w:tc>
        <w:tc>
          <w:tcPr>
            <w:tcW w:w="1238" w:type="pct"/>
            <w:hideMark/>
          </w:tcPr>
          <w:p w14:paraId="276DE192" w14:textId="77777777" w:rsidR="0016113B" w:rsidRPr="000E28DA"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4"/>
              </w:rPr>
            </w:pPr>
            <w:r w:rsidRPr="000E28DA">
              <w:rPr>
                <w:sz w:val="24"/>
              </w:rPr>
              <w:t>3,297</w:t>
            </w:r>
          </w:p>
        </w:tc>
        <w:tc>
          <w:tcPr>
            <w:tcW w:w="1223" w:type="pct"/>
            <w:hideMark/>
          </w:tcPr>
          <w:p w14:paraId="3D735962" w14:textId="77777777" w:rsidR="0016113B" w:rsidRPr="000E28DA" w:rsidRDefault="0016113B" w:rsidP="009E2CF7">
            <w:pPr>
              <w:widowControl/>
              <w:spacing w:line="240"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4"/>
              </w:rPr>
            </w:pPr>
            <w:r w:rsidRPr="000E28DA">
              <w:rPr>
                <w:sz w:val="24"/>
              </w:rPr>
              <w:t>3,149</w:t>
            </w:r>
          </w:p>
        </w:tc>
      </w:tr>
    </w:tbl>
    <w:p w14:paraId="3FE1228E" w14:textId="77777777" w:rsidR="00C42522" w:rsidRDefault="00C42522" w:rsidP="009E2CF7">
      <w:pPr>
        <w:pStyle w:val="ad"/>
        <w:spacing w:line="240" w:lineRule="auto"/>
      </w:pPr>
      <w:r>
        <w:rPr>
          <w:rFonts w:hint="eastAsia"/>
        </w:rPr>
        <w:t>注：</w:t>
      </w:r>
      <w:r>
        <w:t xml:space="preserve">* </w:t>
      </w:r>
      <w:r>
        <w:rPr>
          <w:i/>
          <w:iCs/>
        </w:rPr>
        <w:t>p</w:t>
      </w:r>
      <w:r>
        <w:t xml:space="preserve">&lt;0.05; ** </w:t>
      </w:r>
      <w:r>
        <w:rPr>
          <w:i/>
          <w:iCs/>
        </w:rPr>
        <w:t>p</w:t>
      </w:r>
      <w:r>
        <w:t>&lt;0.01</w:t>
      </w:r>
    </w:p>
    <w:p w14:paraId="6E6F18F4" w14:textId="77777777" w:rsidR="004164A4" w:rsidRDefault="004164A4" w:rsidP="009E2CF7">
      <w:pPr>
        <w:spacing w:line="240" w:lineRule="auto"/>
        <w:ind w:firstLine="420"/>
      </w:pPr>
      <w:r>
        <w:rPr>
          <w:rFonts w:hint="eastAsia"/>
        </w:rPr>
        <w:t>另外一个较大的差异是，使用市场模型法计算出的超额收益率普遍小于使用市场调整模型法计算的结果，导致在市场模型法</w:t>
      </w:r>
      <w:proofErr w:type="gramStart"/>
      <w:r>
        <w:rPr>
          <w:rFonts w:hint="eastAsia"/>
        </w:rPr>
        <w:t>下报告</w:t>
      </w:r>
      <w:proofErr w:type="gramEnd"/>
      <w:r>
        <w:rPr>
          <w:rFonts w:hint="eastAsia"/>
        </w:rPr>
        <w:t>发布后两周的超额收益率变为负数。这也意味着在关于分析</w:t>
      </w:r>
      <w:proofErr w:type="gramStart"/>
      <w:r>
        <w:rPr>
          <w:rFonts w:hint="eastAsia"/>
        </w:rPr>
        <w:t>师报告</w:t>
      </w:r>
      <w:proofErr w:type="gramEnd"/>
      <w:r>
        <w:rPr>
          <w:rFonts w:hint="eastAsia"/>
        </w:rPr>
        <w:t>投资价值的相关研究中，使用不同的超额收益率度量方法可能导致研究结论发生质的改变。</w:t>
      </w:r>
    </w:p>
    <w:p w14:paraId="56302027" w14:textId="75B4C3ED" w:rsidR="00B760B4" w:rsidRPr="004164A4" w:rsidRDefault="004164A4" w:rsidP="009E2CF7">
      <w:pPr>
        <w:spacing w:line="240" w:lineRule="auto"/>
        <w:ind w:firstLine="420"/>
      </w:pPr>
      <w:r>
        <w:rPr>
          <w:rFonts w:hint="eastAsia"/>
        </w:rPr>
        <w:t>总体而言，分别采用市场调整模型法和市场模型法计算的超额收益率结果均表明市场在一定程度上能够识别证券分析师的择时行为。虽然四组分析师的超额收益率在报告发布前一周、发布当天和第二天均显著大于</w:t>
      </w:r>
      <w:r>
        <w:rPr>
          <w:rFonts w:hint="eastAsia"/>
        </w:rPr>
        <w:t>0</w:t>
      </w:r>
      <w:r>
        <w:rPr>
          <w:rFonts w:hint="eastAsia"/>
        </w:rPr>
        <w:t>，但择时的分析</w:t>
      </w:r>
      <w:proofErr w:type="gramStart"/>
      <w:r>
        <w:rPr>
          <w:rFonts w:hint="eastAsia"/>
        </w:rPr>
        <w:t>师报告</w:t>
      </w:r>
      <w:proofErr w:type="gramEnd"/>
      <w:r>
        <w:rPr>
          <w:rFonts w:hint="eastAsia"/>
        </w:rPr>
        <w:t>发布后的超额收益率比非择时的分析师更快消失。在短期视角下，证券分析师的“蹭热点”行为并未获得很好的效果，从报告信息含量的角度来看，为市场提供了更多新信息的报告能产生更高的收益率。</w:t>
      </w:r>
    </w:p>
    <w:p w14:paraId="1358DE7E" w14:textId="48B2D6CB" w:rsidR="00244D8A" w:rsidRDefault="00C51E79" w:rsidP="009E2CF7">
      <w:pPr>
        <w:pStyle w:val="1"/>
        <w:spacing w:line="240" w:lineRule="auto"/>
      </w:pPr>
      <w:bookmarkStart w:id="67" w:name="_Toc510120312"/>
      <w:bookmarkStart w:id="68" w:name="_Toc510121736"/>
      <w:bookmarkStart w:id="69" w:name="_Toc510124645"/>
      <w:bookmarkStart w:id="70" w:name="_Toc510124800"/>
      <w:r>
        <w:rPr>
          <w:rFonts w:hint="eastAsia"/>
        </w:rPr>
        <w:t>结论与</w:t>
      </w:r>
      <w:bookmarkEnd w:id="67"/>
      <w:bookmarkEnd w:id="68"/>
      <w:bookmarkEnd w:id="69"/>
      <w:bookmarkEnd w:id="70"/>
      <w:r w:rsidR="003E7F0F">
        <w:rPr>
          <w:rFonts w:hint="eastAsia"/>
        </w:rPr>
        <w:t>启示</w:t>
      </w:r>
    </w:p>
    <w:p w14:paraId="21FC672C" w14:textId="5B79E567" w:rsidR="00E20513" w:rsidRDefault="00DA7C58" w:rsidP="009E2CF7">
      <w:pPr>
        <w:spacing w:line="240" w:lineRule="auto"/>
        <w:ind w:firstLine="420"/>
      </w:pPr>
      <w:r>
        <w:rPr>
          <w:rFonts w:hint="eastAsia"/>
        </w:rPr>
        <w:t>经过十几年的发展，我国的证券分析</w:t>
      </w:r>
      <w:proofErr w:type="gramStart"/>
      <w:r>
        <w:rPr>
          <w:rFonts w:hint="eastAsia"/>
        </w:rPr>
        <w:t>师行业</w:t>
      </w:r>
      <w:proofErr w:type="gramEnd"/>
      <w:r>
        <w:rPr>
          <w:rFonts w:hint="eastAsia"/>
        </w:rPr>
        <w:t>相比其建立之初已经有了极大的</w:t>
      </w:r>
      <w:r w:rsidR="00E20513">
        <w:rPr>
          <w:rFonts w:hint="eastAsia"/>
        </w:rPr>
        <w:t>改变</w:t>
      </w:r>
      <w:r>
        <w:rPr>
          <w:rFonts w:hint="eastAsia"/>
        </w:rPr>
        <w:t>，从早期的关注技术面信息</w:t>
      </w:r>
      <w:r w:rsidR="006B6B6B">
        <w:rPr>
          <w:rFonts w:hint="eastAsia"/>
        </w:rPr>
        <w:t>，逐渐演变为</w:t>
      </w:r>
      <w:r>
        <w:rPr>
          <w:rFonts w:hint="eastAsia"/>
        </w:rPr>
        <w:t>立足上市公司基本面</w:t>
      </w:r>
      <w:r w:rsidR="006B6B6B">
        <w:rPr>
          <w:rFonts w:hint="eastAsia"/>
        </w:rPr>
        <w:t>、通过</w:t>
      </w:r>
      <w:r>
        <w:rPr>
          <w:rFonts w:hint="eastAsia"/>
        </w:rPr>
        <w:t>实地调研和走访获取信息</w:t>
      </w:r>
      <w:r w:rsidR="006B6B6B">
        <w:rPr>
          <w:rFonts w:hint="eastAsia"/>
        </w:rPr>
        <w:t>，提供</w:t>
      </w:r>
      <w:r>
        <w:rPr>
          <w:rFonts w:hint="eastAsia"/>
        </w:rPr>
        <w:t>价值型</w:t>
      </w:r>
      <w:r w:rsidR="006B6B6B">
        <w:rPr>
          <w:rFonts w:hint="eastAsia"/>
        </w:rPr>
        <w:t>投资评级报告的市场主体。</w:t>
      </w:r>
      <w:r w:rsidR="00E20513">
        <w:rPr>
          <w:rFonts w:hint="eastAsia"/>
        </w:rPr>
        <w:t>在此</w:t>
      </w:r>
      <w:r w:rsidR="00E7542E">
        <w:rPr>
          <w:rFonts w:hint="eastAsia"/>
        </w:rPr>
        <w:t>背景下</w:t>
      </w:r>
      <w:r w:rsidR="00E20513">
        <w:rPr>
          <w:rFonts w:hint="eastAsia"/>
        </w:rPr>
        <w:t>，</w:t>
      </w:r>
      <w:r w:rsidR="006C7E08">
        <w:rPr>
          <w:rFonts w:hint="eastAsia"/>
        </w:rPr>
        <w:t>证券</w:t>
      </w:r>
      <w:r w:rsidR="00E20513">
        <w:rPr>
          <w:rFonts w:hint="eastAsia"/>
        </w:rPr>
        <w:t>分析师</w:t>
      </w:r>
      <w:r w:rsidR="00F07FB9">
        <w:rPr>
          <w:rFonts w:hint="eastAsia"/>
        </w:rPr>
        <w:t>对资本市场的</w:t>
      </w:r>
      <w:r w:rsidR="00E20513">
        <w:rPr>
          <w:rFonts w:hint="eastAsia"/>
        </w:rPr>
        <w:t>影响</w:t>
      </w:r>
      <w:r w:rsidR="00F07FB9">
        <w:rPr>
          <w:rFonts w:hint="eastAsia"/>
        </w:rPr>
        <w:t>持续</w:t>
      </w:r>
      <w:r w:rsidR="0028031E">
        <w:rPr>
          <w:rFonts w:hint="eastAsia"/>
        </w:rPr>
        <w:t>扩大</w:t>
      </w:r>
      <w:r w:rsidR="00E20513">
        <w:rPr>
          <w:rFonts w:hint="eastAsia"/>
        </w:rPr>
        <w:t>，</w:t>
      </w:r>
      <w:r w:rsidR="00E7542E">
        <w:rPr>
          <w:rFonts w:hint="eastAsia"/>
        </w:rPr>
        <w:lastRenderedPageBreak/>
        <w:t>许多研究对</w:t>
      </w:r>
      <w:r w:rsidR="00EB44A8">
        <w:rPr>
          <w:rFonts w:hint="eastAsia"/>
        </w:rPr>
        <w:t>这一领域</w:t>
      </w:r>
      <w:r w:rsidR="00E7542E">
        <w:rPr>
          <w:rFonts w:hint="eastAsia"/>
        </w:rPr>
        <w:t>进行了详细的分析考察，但还极少有研究</w:t>
      </w:r>
      <w:r w:rsidR="005E071F">
        <w:rPr>
          <w:rFonts w:hint="eastAsia"/>
        </w:rPr>
        <w:t>关注</w:t>
      </w:r>
      <w:r w:rsidR="00E7542E">
        <w:rPr>
          <w:rFonts w:hint="eastAsia"/>
        </w:rPr>
        <w:t>证券分析师行为</w:t>
      </w:r>
      <w:r w:rsidR="001E0443">
        <w:rPr>
          <w:rFonts w:hint="eastAsia"/>
        </w:rPr>
        <w:t>中</w:t>
      </w:r>
      <w:r w:rsidR="00E7542E">
        <w:rPr>
          <w:rFonts w:hint="eastAsia"/>
        </w:rPr>
        <w:t>的时间</w:t>
      </w:r>
      <w:r w:rsidR="001E0443">
        <w:rPr>
          <w:rFonts w:hint="eastAsia"/>
        </w:rPr>
        <w:t>因素</w:t>
      </w:r>
      <w:r w:rsidR="00E7542E">
        <w:rPr>
          <w:rFonts w:hint="eastAsia"/>
        </w:rPr>
        <w:t>。</w:t>
      </w:r>
      <w:r w:rsidR="00835253">
        <w:rPr>
          <w:rFonts w:hint="eastAsia"/>
        </w:rPr>
        <w:t>本文就证券分析师的择时行为进行了实证分析和检验，得到了以下结论：</w:t>
      </w:r>
    </w:p>
    <w:p w14:paraId="6B0EBC74" w14:textId="3BCED34E" w:rsidR="00E7542E" w:rsidRDefault="00835253" w:rsidP="009E2CF7">
      <w:pPr>
        <w:spacing w:line="240" w:lineRule="auto"/>
        <w:ind w:firstLine="420"/>
      </w:pPr>
      <w:r>
        <w:rPr>
          <w:rFonts w:hint="eastAsia"/>
        </w:rPr>
        <w:t>通过</w:t>
      </w:r>
      <w:r w:rsidR="00374F88">
        <w:rPr>
          <w:rFonts w:hint="eastAsia"/>
        </w:rPr>
        <w:t>从宏观和微观两个层次</w:t>
      </w:r>
      <w:r w:rsidR="00372880">
        <w:rPr>
          <w:rFonts w:hint="eastAsia"/>
        </w:rPr>
        <w:t>的多元回归分析，</w:t>
      </w:r>
      <w:r>
        <w:rPr>
          <w:rFonts w:hint="eastAsia"/>
        </w:rPr>
        <w:t>本文发现证券分析师在发布</w:t>
      </w:r>
      <w:r w:rsidR="002E097B">
        <w:rPr>
          <w:rFonts w:hint="eastAsia"/>
        </w:rPr>
        <w:t>研究</w:t>
      </w:r>
      <w:r>
        <w:rPr>
          <w:rFonts w:hint="eastAsia"/>
        </w:rPr>
        <w:t>报告时，在不同程度上进行了</w:t>
      </w:r>
      <w:r w:rsidR="00372880">
        <w:rPr>
          <w:rFonts w:hint="eastAsia"/>
        </w:rPr>
        <w:t>基于投资者情绪的</w:t>
      </w:r>
      <w:r>
        <w:rPr>
          <w:rFonts w:hint="eastAsia"/>
        </w:rPr>
        <w:t>市场择时</w:t>
      </w:r>
      <w:r w:rsidR="006C7E08">
        <w:rPr>
          <w:rFonts w:hint="eastAsia"/>
        </w:rPr>
        <w:t>。</w:t>
      </w:r>
      <w:r w:rsidR="00372880">
        <w:rPr>
          <w:rFonts w:hint="eastAsia"/>
        </w:rPr>
        <w:t>从宏观层面来看，在控制了月度市场收益率后，综合投资者情绪指数与标准化后的各月深度报告数量显著正相关</w:t>
      </w:r>
      <w:r w:rsidR="00C23A91" w:rsidRPr="00C23A91">
        <w:rPr>
          <w:rFonts w:hint="eastAsia"/>
        </w:rPr>
        <w:t>。</w:t>
      </w:r>
      <w:r w:rsidR="00372880">
        <w:rPr>
          <w:rFonts w:hint="eastAsia"/>
        </w:rPr>
        <w:t>从微观层面来看，分析师倾向于在研究标的投资者情绪高涨时发布</w:t>
      </w:r>
      <w:r w:rsidR="002727B9">
        <w:rPr>
          <w:rFonts w:hint="eastAsia"/>
        </w:rPr>
        <w:t>相关</w:t>
      </w:r>
      <w:r w:rsidR="00372880">
        <w:rPr>
          <w:rFonts w:hint="eastAsia"/>
        </w:rPr>
        <w:t>深度研究报告，此外公司的分析</w:t>
      </w:r>
      <w:proofErr w:type="gramStart"/>
      <w:r w:rsidR="00372880">
        <w:rPr>
          <w:rFonts w:hint="eastAsia"/>
        </w:rPr>
        <w:t>师关注</w:t>
      </w:r>
      <w:proofErr w:type="gramEnd"/>
      <w:r w:rsidR="00372880">
        <w:rPr>
          <w:rFonts w:hint="eastAsia"/>
        </w:rPr>
        <w:t>度、盈利水平及公司规模也与分析师的深度研究报告发布正相关。</w:t>
      </w:r>
    </w:p>
    <w:p w14:paraId="2F609432" w14:textId="7EE57150" w:rsidR="00C23A91" w:rsidRDefault="00372880" w:rsidP="009E2CF7">
      <w:pPr>
        <w:spacing w:line="240" w:lineRule="auto"/>
        <w:ind w:firstLine="420"/>
      </w:pPr>
      <w:r>
        <w:rPr>
          <w:rFonts w:hint="eastAsia"/>
        </w:rPr>
        <w:t>接下来，本文以股价同步性度量股价的信息含量，检验了</w:t>
      </w:r>
      <w:r w:rsidR="00C23A91">
        <w:rPr>
          <w:rFonts w:hint="eastAsia"/>
        </w:rPr>
        <w:t>报告</w:t>
      </w:r>
      <w:r w:rsidR="002727B9">
        <w:rPr>
          <w:rFonts w:hint="eastAsia"/>
        </w:rPr>
        <w:t>信息含量与投资者情绪之间的关系，以探索分析师基于投资者情绪进行择时背后的动机</w:t>
      </w:r>
      <w:r>
        <w:rPr>
          <w:rFonts w:hint="eastAsia"/>
        </w:rPr>
        <w:t>。经过对每份报告涉及</w:t>
      </w:r>
      <w:r w:rsidR="0062773A">
        <w:rPr>
          <w:rFonts w:hint="eastAsia"/>
        </w:rPr>
        <w:t>上市</w:t>
      </w:r>
      <w:r>
        <w:rPr>
          <w:rFonts w:hint="eastAsia"/>
        </w:rPr>
        <w:t>公司的滚动回归</w:t>
      </w:r>
      <w:r w:rsidR="002727B9">
        <w:rPr>
          <w:rFonts w:hint="eastAsia"/>
        </w:rPr>
        <w:t>，获得</w:t>
      </w:r>
      <w:r>
        <w:rPr>
          <w:rFonts w:hint="eastAsia"/>
        </w:rPr>
        <w:t>了</w:t>
      </w:r>
      <w:r w:rsidR="002727B9">
        <w:rPr>
          <w:rFonts w:hint="eastAsia"/>
        </w:rPr>
        <w:t>数个</w:t>
      </w:r>
      <w:r>
        <w:rPr>
          <w:rFonts w:hint="eastAsia"/>
        </w:rPr>
        <w:t>时间窗口内的股价同步性序列，以报告发布时的投资者情绪</w:t>
      </w:r>
      <w:r w:rsidR="00E924BD">
        <w:rPr>
          <w:rFonts w:hint="eastAsia"/>
        </w:rPr>
        <w:t>作为解释变量，并控制了</w:t>
      </w:r>
      <w:r w:rsidR="00B32661">
        <w:rPr>
          <w:rFonts w:hint="eastAsia"/>
        </w:rPr>
        <w:t>明星分析师身份、评级水平</w:t>
      </w:r>
      <w:r w:rsidR="00E924BD">
        <w:rPr>
          <w:rFonts w:hint="eastAsia"/>
        </w:rPr>
        <w:t>、市场周期及公司所在行业，发现在投资者情绪与同步性的变化幅度显著负相关，即投资者情绪越高，则同步性变化幅度越小，同时明星分析</w:t>
      </w:r>
      <w:proofErr w:type="gramStart"/>
      <w:r w:rsidR="00E924BD">
        <w:rPr>
          <w:rFonts w:hint="eastAsia"/>
        </w:rPr>
        <w:t>师发布</w:t>
      </w:r>
      <w:proofErr w:type="gramEnd"/>
      <w:r w:rsidR="00E924BD">
        <w:rPr>
          <w:rFonts w:hint="eastAsia"/>
        </w:rPr>
        <w:t>的、评级给出</w:t>
      </w:r>
      <w:r w:rsidR="002727B9">
        <w:rPr>
          <w:rFonts w:hint="eastAsia"/>
        </w:rPr>
        <w:t>明确</w:t>
      </w:r>
      <w:r w:rsidR="00E924BD">
        <w:rPr>
          <w:rFonts w:hint="eastAsia"/>
        </w:rPr>
        <w:t>投资方向的深度报告有更高的信息含量</w:t>
      </w:r>
      <w:r w:rsidR="002E097B">
        <w:rPr>
          <w:rFonts w:hint="eastAsia"/>
        </w:rPr>
        <w:t>。</w:t>
      </w:r>
      <w:r w:rsidR="00E924BD">
        <w:rPr>
          <w:rFonts w:hint="eastAsia"/>
        </w:rPr>
        <w:t>而信息含量的变化在不同的市场周期和行业之间不存在差异。</w:t>
      </w:r>
    </w:p>
    <w:p w14:paraId="272204ED" w14:textId="4BE06D4C" w:rsidR="00FE2A36" w:rsidRDefault="00E924BD" w:rsidP="009E2CF7">
      <w:pPr>
        <w:spacing w:line="240" w:lineRule="auto"/>
        <w:ind w:firstLine="420"/>
      </w:pPr>
      <w:r>
        <w:rPr>
          <w:rFonts w:hint="eastAsia"/>
        </w:rPr>
        <w:t>最后，本文重新从分析师维度</w:t>
      </w:r>
      <w:r w:rsidR="00AA2476">
        <w:rPr>
          <w:rFonts w:hint="eastAsia"/>
        </w:rPr>
        <w:t>进行信息含量变化与投资者情绪的一元回归</w:t>
      </w:r>
      <w:r>
        <w:rPr>
          <w:rFonts w:hint="eastAsia"/>
        </w:rPr>
        <w:t>，</w:t>
      </w:r>
      <w:r w:rsidR="00AA2476">
        <w:rPr>
          <w:rFonts w:hint="eastAsia"/>
        </w:rPr>
        <w:t>依据投资者情绪的回归系数显著性</w:t>
      </w:r>
      <w:r>
        <w:rPr>
          <w:rFonts w:hint="eastAsia"/>
        </w:rPr>
        <w:t>将分析师分为择时</w:t>
      </w:r>
      <w:r w:rsidR="00AA2476">
        <w:rPr>
          <w:rFonts w:hint="eastAsia"/>
        </w:rPr>
        <w:t>组和非择时组，结合信息含量变化幅度大小将分析师分为了四组，考察了其深度报告发布前后是否存在显著的超额收益率</w:t>
      </w:r>
      <w:r w:rsidR="00FE2A36">
        <w:rPr>
          <w:rFonts w:hint="eastAsia"/>
        </w:rPr>
        <w:t>。</w:t>
      </w:r>
      <w:r w:rsidR="00AA2476">
        <w:rPr>
          <w:rFonts w:hint="eastAsia"/>
        </w:rPr>
        <w:t>采用市场调整模型和市场模型两种方式计算的超额收益均发现：</w:t>
      </w:r>
      <w:r w:rsidR="00AA2476">
        <w:rPr>
          <w:rFonts w:hint="eastAsia"/>
        </w:rPr>
        <w:t>1</w:t>
      </w:r>
      <w:r w:rsidR="00AA2476">
        <w:rPr>
          <w:rFonts w:hint="eastAsia"/>
        </w:rPr>
        <w:t>）所有类型的分析师在报告发布前一周到报告发布第二天都</w:t>
      </w:r>
      <w:r w:rsidR="003739EF">
        <w:rPr>
          <w:rFonts w:hint="eastAsia"/>
        </w:rPr>
        <w:t>产生了</w:t>
      </w:r>
      <w:r w:rsidR="00AA2476">
        <w:rPr>
          <w:rFonts w:hint="eastAsia"/>
        </w:rPr>
        <w:t>显著的超额收益率；</w:t>
      </w:r>
      <w:r w:rsidR="00AA2476">
        <w:rPr>
          <w:rFonts w:hint="eastAsia"/>
        </w:rPr>
        <w:t>2</w:t>
      </w:r>
      <w:r w:rsidR="00AA2476">
        <w:rPr>
          <w:rFonts w:hint="eastAsia"/>
        </w:rPr>
        <w:t>）择时组分析师发布的深度报告在发布后两周内的超额收益率消失，而非择时组的超额收益率仍然显著；</w:t>
      </w:r>
      <w:r w:rsidR="00AA2476">
        <w:rPr>
          <w:rFonts w:hint="eastAsia"/>
        </w:rPr>
        <w:t>3</w:t>
      </w:r>
      <w:r w:rsidR="00AA2476">
        <w:rPr>
          <w:rFonts w:hint="eastAsia"/>
        </w:rPr>
        <w:t>）报告信息含量更高的分析师产生的超额收益率大于报告信息含量较低的分析师，但显著性没有差异。</w:t>
      </w:r>
    </w:p>
    <w:p w14:paraId="7B50E055" w14:textId="2485F5FC" w:rsidR="00FE2A36" w:rsidRDefault="00FE2A36" w:rsidP="009E2CF7">
      <w:pPr>
        <w:spacing w:line="240" w:lineRule="auto"/>
        <w:ind w:firstLine="420"/>
      </w:pPr>
      <w:r>
        <w:rPr>
          <w:rFonts w:hint="eastAsia"/>
        </w:rPr>
        <w:t>本文的实证研究结果</w:t>
      </w:r>
      <w:r w:rsidR="00F14509">
        <w:rPr>
          <w:rFonts w:hint="eastAsia"/>
        </w:rPr>
        <w:t>表明</w:t>
      </w:r>
      <w:r>
        <w:rPr>
          <w:rFonts w:hint="eastAsia"/>
        </w:rPr>
        <w:t>，证券分析师</w:t>
      </w:r>
      <w:r w:rsidR="00BC0E83">
        <w:rPr>
          <w:rFonts w:hint="eastAsia"/>
        </w:rPr>
        <w:t>在发布报告时</w:t>
      </w:r>
      <w:r>
        <w:rPr>
          <w:rFonts w:hint="eastAsia"/>
        </w:rPr>
        <w:t>普遍存在</w:t>
      </w:r>
      <w:r w:rsidR="00BC0E83">
        <w:rPr>
          <w:rFonts w:hint="eastAsia"/>
        </w:rPr>
        <w:t>针对投资者情绪</w:t>
      </w:r>
      <w:r>
        <w:rPr>
          <w:rFonts w:hint="eastAsia"/>
        </w:rPr>
        <w:t>的择时行为，</w:t>
      </w:r>
      <w:r w:rsidR="004917C4">
        <w:rPr>
          <w:rFonts w:hint="eastAsia"/>
        </w:rPr>
        <w:t>一方面</w:t>
      </w:r>
      <w:r w:rsidR="00F14509">
        <w:rPr>
          <w:rFonts w:hint="eastAsia"/>
        </w:rPr>
        <w:t>这种倾向</w:t>
      </w:r>
      <w:r w:rsidR="004917C4">
        <w:rPr>
          <w:rFonts w:hint="eastAsia"/>
        </w:rPr>
        <w:t>具有普遍性，另</w:t>
      </w:r>
      <w:r w:rsidR="00F14509">
        <w:rPr>
          <w:rFonts w:hint="eastAsia"/>
        </w:rPr>
        <w:t>一方面</w:t>
      </w:r>
      <w:r w:rsidR="00ED6B79">
        <w:rPr>
          <w:rFonts w:hint="eastAsia"/>
        </w:rPr>
        <w:t>这种行为也</w:t>
      </w:r>
      <w:r w:rsidR="00F14509">
        <w:rPr>
          <w:rFonts w:hint="eastAsia"/>
        </w:rPr>
        <w:t>受到</w:t>
      </w:r>
      <w:r w:rsidR="00ED6B79">
        <w:rPr>
          <w:rFonts w:hint="eastAsia"/>
        </w:rPr>
        <w:t>了</w:t>
      </w:r>
      <w:r w:rsidR="004917C4">
        <w:rPr>
          <w:rFonts w:hint="eastAsia"/>
        </w:rPr>
        <w:t>分析师自身能力的影响，即是否能通过报告提供新的信息</w:t>
      </w:r>
      <w:r w:rsidR="00F14509">
        <w:rPr>
          <w:rFonts w:hint="eastAsia"/>
        </w:rPr>
        <w:t>。因此，对我国证券分析</w:t>
      </w:r>
      <w:proofErr w:type="gramStart"/>
      <w:r w:rsidR="00F14509">
        <w:rPr>
          <w:rFonts w:hint="eastAsia"/>
        </w:rPr>
        <w:t>师行业</w:t>
      </w:r>
      <w:proofErr w:type="gramEnd"/>
      <w:r w:rsidR="00F14509">
        <w:rPr>
          <w:rFonts w:hint="eastAsia"/>
        </w:rPr>
        <w:t>的发展提出以下启示和建议：</w:t>
      </w:r>
    </w:p>
    <w:p w14:paraId="6B8E74DC" w14:textId="20D44ED7" w:rsidR="001257BB" w:rsidRDefault="00EC12D3" w:rsidP="009E2CF7">
      <w:pPr>
        <w:spacing w:line="240" w:lineRule="auto"/>
        <w:ind w:firstLine="420"/>
      </w:pPr>
      <w:r>
        <w:rPr>
          <w:rFonts w:hint="eastAsia"/>
        </w:rPr>
        <w:t>第一，</w:t>
      </w:r>
      <w:r w:rsidR="00F93D71">
        <w:rPr>
          <w:rFonts w:hint="eastAsia"/>
        </w:rPr>
        <w:t>从证券分析师自身的角度</w:t>
      </w:r>
      <w:r w:rsidR="003739EF">
        <w:rPr>
          <w:rFonts w:hint="eastAsia"/>
        </w:rPr>
        <w:t>，</w:t>
      </w:r>
      <w:r w:rsidR="00F93D71">
        <w:rPr>
          <w:rFonts w:hint="eastAsia"/>
        </w:rPr>
        <w:t>应当重视提升自身的专业素质和职业素养，尽管择时能力也是其专业能力的体现之一，证券分析师仍应扮演好资本市场信息中介的角色，</w:t>
      </w:r>
      <w:r w:rsidR="005E42FF">
        <w:rPr>
          <w:rFonts w:hint="eastAsia"/>
        </w:rPr>
        <w:t>提高</w:t>
      </w:r>
      <w:r w:rsidR="00F93D71">
        <w:rPr>
          <w:rFonts w:hint="eastAsia"/>
        </w:rPr>
        <w:t>自己的</w:t>
      </w:r>
      <w:r>
        <w:rPr>
          <w:rFonts w:hint="eastAsia"/>
        </w:rPr>
        <w:t>信息收集和处理能力，审慎发布投资评级报告，以避免损害市场效率与公平。</w:t>
      </w:r>
    </w:p>
    <w:p w14:paraId="53261EBF" w14:textId="532946FD" w:rsidR="00EB44A8" w:rsidRDefault="001257BB" w:rsidP="009E2CF7">
      <w:pPr>
        <w:spacing w:line="240" w:lineRule="auto"/>
        <w:ind w:firstLine="420"/>
      </w:pPr>
      <w:r>
        <w:rPr>
          <w:rFonts w:hint="eastAsia"/>
        </w:rPr>
        <w:t>第</w:t>
      </w:r>
      <w:r w:rsidR="00D15583">
        <w:rPr>
          <w:rFonts w:hint="eastAsia"/>
        </w:rPr>
        <w:t>二</w:t>
      </w:r>
      <w:r>
        <w:rPr>
          <w:rFonts w:hint="eastAsia"/>
        </w:rPr>
        <w:t>，</w:t>
      </w:r>
      <w:r w:rsidR="004F315A">
        <w:rPr>
          <w:rFonts w:hint="eastAsia"/>
        </w:rPr>
        <w:t>从投资者的角度</w:t>
      </w:r>
      <w:r>
        <w:rPr>
          <w:rFonts w:hint="eastAsia"/>
        </w:rPr>
        <w:t>，</w:t>
      </w:r>
      <w:r w:rsidR="004F315A">
        <w:rPr>
          <w:rFonts w:hint="eastAsia"/>
        </w:rPr>
        <w:t>对证券分析</w:t>
      </w:r>
      <w:proofErr w:type="gramStart"/>
      <w:r w:rsidR="004F315A">
        <w:rPr>
          <w:rFonts w:hint="eastAsia"/>
        </w:rPr>
        <w:t>师</w:t>
      </w:r>
      <w:r>
        <w:rPr>
          <w:rFonts w:hint="eastAsia"/>
        </w:rPr>
        <w:t>发布</w:t>
      </w:r>
      <w:proofErr w:type="gramEnd"/>
      <w:r w:rsidR="004F315A">
        <w:rPr>
          <w:rFonts w:hint="eastAsia"/>
        </w:rPr>
        <w:t>的研究报告结论应当采取辩证的态度，加强自身的投资教育，培养价值投资理念，重视投资经验的积累，提高信息甄别与处理能力，正确解读证券分析师的报告，避免</w:t>
      </w:r>
      <w:r w:rsidR="00092E76">
        <w:rPr>
          <w:rFonts w:hint="eastAsia"/>
        </w:rPr>
        <w:t>跟风和羊群行为，</w:t>
      </w:r>
      <w:r w:rsidR="00D15583">
        <w:rPr>
          <w:rFonts w:hint="eastAsia"/>
        </w:rPr>
        <w:t>坚持</w:t>
      </w:r>
      <w:r w:rsidR="00092E76">
        <w:rPr>
          <w:rFonts w:hint="eastAsia"/>
        </w:rPr>
        <w:t>理性投资。</w:t>
      </w:r>
    </w:p>
    <w:p w14:paraId="2F772430" w14:textId="0FE70B15" w:rsidR="0045741D" w:rsidRDefault="001F3BC4" w:rsidP="009E2CF7">
      <w:pPr>
        <w:pStyle w:val="1"/>
        <w:numPr>
          <w:ilvl w:val="0"/>
          <w:numId w:val="0"/>
        </w:numPr>
        <w:spacing w:line="240" w:lineRule="auto"/>
        <w:jc w:val="left"/>
      </w:pPr>
      <w:bookmarkStart w:id="71" w:name="_Toc510120316"/>
      <w:bookmarkStart w:id="72" w:name="_Toc510121744"/>
      <w:bookmarkStart w:id="73" w:name="_Toc510124648"/>
      <w:bookmarkStart w:id="74" w:name="_Toc510124806"/>
      <w:r>
        <w:rPr>
          <w:rFonts w:hint="eastAsia"/>
        </w:rPr>
        <w:t>参考文献</w:t>
      </w:r>
      <w:bookmarkEnd w:id="71"/>
      <w:bookmarkEnd w:id="72"/>
      <w:bookmarkEnd w:id="73"/>
      <w:bookmarkEnd w:id="74"/>
    </w:p>
    <w:sectPr w:rsidR="0045741D" w:rsidSect="004D53FB">
      <w:headerReference w:type="even" r:id="rId21"/>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01C6F" w14:textId="77777777" w:rsidR="006D44AB" w:rsidRPr="0045741D" w:rsidRDefault="006D44AB" w:rsidP="0045741D">
      <w:pPr>
        <w:pStyle w:val="a8"/>
        <w:ind w:firstLine="360"/>
      </w:pPr>
    </w:p>
  </w:endnote>
  <w:endnote w:type="continuationSeparator" w:id="0">
    <w:p w14:paraId="0C1A3689" w14:textId="77777777" w:rsidR="006D44AB" w:rsidRDefault="006D44AB" w:rsidP="00EE2202">
      <w:pPr>
        <w:ind w:firstLine="420"/>
      </w:pPr>
    </w:p>
  </w:endnote>
  <w:endnote w:type="continuationNotice" w:id="1">
    <w:p w14:paraId="0B84FEBB" w14:textId="77777777" w:rsidR="006D44AB" w:rsidRDefault="006D44AB">
      <w:pPr>
        <w:spacing w:line="240" w:lineRule="auto"/>
        <w:ind w:firstLine="420"/>
      </w:pPr>
    </w:p>
  </w:endnote>
  <w:endnote w:id="2">
    <w:p w14:paraId="33B63187"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proofErr w:type="spellStart"/>
      <w:r w:rsidRPr="001F3BC4">
        <w:t>Guttman</w:t>
      </w:r>
      <w:proofErr w:type="spellEnd"/>
      <w:r w:rsidRPr="001F3BC4">
        <w:t xml:space="preserve"> I. The Timing of Analysts' Earnings Forecasts[J]. The Accounting Review, 2010, 85(2): 513-545.</w:t>
      </w:r>
    </w:p>
  </w:endnote>
  <w:endnote w:id="3">
    <w:p w14:paraId="157A176C"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Bergman N K, Roychowdhury S. Investor Sentiment and Corporate Disclosure[J]. Journal of Accounting Research, 2008, 46(5): 1057-1083.</w:t>
      </w:r>
    </w:p>
  </w:endnote>
  <w:endnote w:id="4">
    <w:p w14:paraId="07E14EA6"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Qian H. Time Variation in Analyst Optimism: An Investor Sentiment Explanation[J]. Journal of Behavioral Finance, 2009, 10(3): 182-193.</w:t>
      </w:r>
    </w:p>
  </w:endnote>
  <w:endnote w:id="5">
    <w:p w14:paraId="705FD910" w14:textId="77777777" w:rsidR="0016113B" w:rsidRPr="001F3BC4" w:rsidRDefault="0016113B" w:rsidP="009E2CF7">
      <w:pPr>
        <w:pStyle w:val="af8"/>
        <w:spacing w:line="240" w:lineRule="auto"/>
        <w:ind w:left="440" w:hanging="440"/>
      </w:pPr>
      <w:r w:rsidRPr="001903D0">
        <w:rPr>
          <w:rStyle w:val="afa"/>
          <w:sz w:val="22"/>
          <w:vertAlign w:val="baseline"/>
        </w:rPr>
        <w:t>[</w:t>
      </w:r>
      <w:r w:rsidRPr="001F3BC4">
        <w:rPr>
          <w:rStyle w:val="afa"/>
          <w:sz w:val="22"/>
          <w:vertAlign w:val="baseline"/>
        </w:rPr>
        <w:endnoteRef/>
      </w:r>
      <w:r w:rsidRPr="001903D0">
        <w:rPr>
          <w:rStyle w:val="afa"/>
          <w:sz w:val="22"/>
          <w:vertAlign w:val="baseline"/>
        </w:rPr>
        <w:t>]</w:t>
      </w:r>
      <w:r w:rsidRPr="001903D0">
        <w:t xml:space="preserve"> Brown L D, Hagerman R L, Griffin P A, et al. </w:t>
      </w:r>
      <w:r w:rsidRPr="001F3BC4">
        <w:t>Security Analyst Superiority Relative to Univariate Time-Series Models in Forecasting Quarterly Earnings[J]. Journal of Accounting and Economics, 1987, 9(1): 61-87.</w:t>
      </w:r>
    </w:p>
  </w:endnote>
  <w:endnote w:id="6">
    <w:p w14:paraId="28172ECE"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Cooper R A, Day T E, Lewis C M. Following the leader: A study Of Individual Analysts’ Earnings Forecasts[J]. Journal of Financial Economics, 2001, 61(3): 383-416.</w:t>
      </w:r>
    </w:p>
  </w:endnote>
  <w:endnote w:id="7">
    <w:p w14:paraId="1C6B4F35"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Ivković Z, Jegadeesh N. The Timing and Value of Forecast and Recommendation Revisions[J]. Journal of Financial Economics, 2004, 73(3): 433–463.</w:t>
      </w:r>
    </w:p>
  </w:endnote>
  <w:endnote w:id="8">
    <w:p w14:paraId="5BCA6AD6"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薛祖云</w:t>
      </w:r>
      <w:r w:rsidRPr="001F3BC4">
        <w:rPr>
          <w:rFonts w:hint="eastAsia"/>
        </w:rPr>
        <w:t>,</w:t>
      </w:r>
      <w:r w:rsidRPr="001F3BC4">
        <w:rPr>
          <w:rFonts w:hint="eastAsia"/>
        </w:rPr>
        <w:t>王冲</w:t>
      </w:r>
      <w:r w:rsidRPr="001F3BC4">
        <w:rPr>
          <w:rFonts w:hint="eastAsia"/>
        </w:rPr>
        <w:t>.</w:t>
      </w:r>
      <w:r w:rsidRPr="001F3BC4">
        <w:rPr>
          <w:rFonts w:hint="eastAsia"/>
        </w:rPr>
        <w:t>信息竞争抑或信息补充</w:t>
      </w:r>
      <w:r w:rsidRPr="001F3BC4">
        <w:rPr>
          <w:rFonts w:hint="eastAsia"/>
        </w:rPr>
        <w:t>:</w:t>
      </w:r>
      <w:r w:rsidRPr="001F3BC4">
        <w:rPr>
          <w:rFonts w:hint="eastAsia"/>
        </w:rPr>
        <w:t>证券分析师的角色扮演——基于我国证券市场的实证分析</w:t>
      </w:r>
      <w:r w:rsidRPr="001F3BC4">
        <w:rPr>
          <w:rFonts w:hint="eastAsia"/>
        </w:rPr>
        <w:t>[J].</w:t>
      </w:r>
      <w:r w:rsidRPr="001F3BC4">
        <w:rPr>
          <w:rFonts w:hint="eastAsia"/>
        </w:rPr>
        <w:t>金融研究</w:t>
      </w:r>
      <w:r w:rsidRPr="001F3BC4">
        <w:rPr>
          <w:rFonts w:hint="eastAsia"/>
        </w:rPr>
        <w:t>,2011(11):167-182.</w:t>
      </w:r>
    </w:p>
  </w:endnote>
  <w:endnote w:id="9">
    <w:p w14:paraId="1F7E26B9"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Lys T Z, Sohn S. The Association Between Revisions of Financial Analysts' Earnings Forecasts and Security-Price Changes[J]. Journal of Accounting and Economics, 1990, 13(4): 341-363.</w:t>
      </w:r>
    </w:p>
  </w:endnote>
  <w:endnote w:id="10">
    <w:p w14:paraId="45A048EB"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Elton E J, Gruber M J, Grossman S, et al. Discrete Expectational Data and Portfolio Performance[J]. Journal of Finance, 1986, 41(3): 699-713.</w:t>
      </w:r>
    </w:p>
  </w:endnote>
  <w:endnote w:id="11">
    <w:p w14:paraId="311A44AD"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Womack K L. Do Brokerage Analysts' Recommendations Have Investment Value? [J]. Journal of Finance, 1996, 51(1): 137-167.</w:t>
      </w:r>
    </w:p>
  </w:endnote>
  <w:endnote w:id="12">
    <w:p w14:paraId="65079F8B"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Stickel S E. Reputation and Performance among Security Analysts[J]. Journal of Finance, 1992, 47(5): 1811-1836.</w:t>
      </w:r>
    </w:p>
  </w:endnote>
  <w:endnote w:id="13">
    <w:p w14:paraId="708078AD"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王宇熹</w:t>
      </w:r>
      <w:r w:rsidRPr="001F3BC4">
        <w:rPr>
          <w:rFonts w:hint="eastAsia"/>
        </w:rPr>
        <w:t>,</w:t>
      </w:r>
      <w:r w:rsidRPr="001F3BC4">
        <w:rPr>
          <w:rFonts w:hint="eastAsia"/>
        </w:rPr>
        <w:t>洪剑峭</w:t>
      </w:r>
      <w:r w:rsidRPr="001F3BC4">
        <w:rPr>
          <w:rFonts w:hint="eastAsia"/>
        </w:rPr>
        <w:t>,</w:t>
      </w:r>
      <w:r w:rsidRPr="001F3BC4">
        <w:rPr>
          <w:rFonts w:hint="eastAsia"/>
        </w:rPr>
        <w:t>肖峻</w:t>
      </w:r>
      <w:r w:rsidRPr="001F3BC4">
        <w:rPr>
          <w:rFonts w:hint="eastAsia"/>
        </w:rPr>
        <w:t>.</w:t>
      </w:r>
      <w:r w:rsidRPr="001F3BC4">
        <w:rPr>
          <w:rFonts w:hint="eastAsia"/>
        </w:rPr>
        <w:t>顶级券商的明星分析师荐股评级更有价值么</w:t>
      </w:r>
      <w:r w:rsidRPr="001F3BC4">
        <w:rPr>
          <w:rFonts w:hint="eastAsia"/>
        </w:rPr>
        <w:t>?</w:t>
      </w:r>
      <w:r w:rsidRPr="001F3BC4">
        <w:rPr>
          <w:rFonts w:hint="eastAsia"/>
        </w:rPr>
        <w:t>——基于券商声誉、分析师声誉的实证研究</w:t>
      </w:r>
      <w:r w:rsidRPr="001F3BC4">
        <w:rPr>
          <w:rFonts w:hint="eastAsia"/>
        </w:rPr>
        <w:t>[J].</w:t>
      </w:r>
      <w:r w:rsidRPr="001F3BC4">
        <w:rPr>
          <w:rFonts w:hint="eastAsia"/>
        </w:rPr>
        <w:t>管理工程学报</w:t>
      </w:r>
      <w:r w:rsidRPr="001F3BC4">
        <w:rPr>
          <w:rFonts w:hint="eastAsia"/>
        </w:rPr>
        <w:t>,2012,26(03):197-206.</w:t>
      </w:r>
    </w:p>
  </w:endnote>
  <w:endnote w:id="14">
    <w:p w14:paraId="0BA2753E" w14:textId="77777777"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471370">
        <w:rPr>
          <w:rFonts w:hint="eastAsia"/>
        </w:rPr>
        <w:t>张宗新</w:t>
      </w:r>
      <w:r w:rsidRPr="00471370">
        <w:rPr>
          <w:rFonts w:hint="eastAsia"/>
        </w:rPr>
        <w:t>,</w:t>
      </w:r>
      <w:r w:rsidRPr="00471370">
        <w:rPr>
          <w:rFonts w:hint="eastAsia"/>
        </w:rPr>
        <w:t>杨万成</w:t>
      </w:r>
      <w:r w:rsidRPr="00471370">
        <w:rPr>
          <w:rFonts w:hint="eastAsia"/>
        </w:rPr>
        <w:t>.</w:t>
      </w:r>
      <w:r w:rsidRPr="00471370">
        <w:rPr>
          <w:rFonts w:hint="eastAsia"/>
        </w:rPr>
        <w:t>声誉模式抑或信息模式</w:t>
      </w:r>
      <w:r w:rsidRPr="00471370">
        <w:rPr>
          <w:rFonts w:hint="eastAsia"/>
        </w:rPr>
        <w:t>:</w:t>
      </w:r>
      <w:r w:rsidRPr="00471370">
        <w:rPr>
          <w:rFonts w:hint="eastAsia"/>
        </w:rPr>
        <w:t>中国证券分析师如何影响市场</w:t>
      </w:r>
      <w:r w:rsidRPr="00471370">
        <w:rPr>
          <w:rFonts w:hint="eastAsia"/>
        </w:rPr>
        <w:t>?[J].</w:t>
      </w:r>
      <w:r w:rsidRPr="00471370">
        <w:rPr>
          <w:rFonts w:hint="eastAsia"/>
        </w:rPr>
        <w:t>经济研究</w:t>
      </w:r>
      <w:r w:rsidRPr="00471370">
        <w:rPr>
          <w:rFonts w:hint="eastAsia"/>
        </w:rPr>
        <w:t>,2016,51(09):104-117.</w:t>
      </w:r>
    </w:p>
  </w:endnote>
  <w:endnote w:id="15">
    <w:p w14:paraId="1BCC43C3" w14:textId="4580AC1E"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罗衎</w:t>
      </w:r>
      <w:r w:rsidRPr="001F3BC4">
        <w:rPr>
          <w:rFonts w:hint="eastAsia"/>
        </w:rPr>
        <w:t>,</w:t>
      </w:r>
      <w:r w:rsidRPr="001F3BC4">
        <w:rPr>
          <w:rFonts w:hint="eastAsia"/>
        </w:rPr>
        <w:t>王春峰</w:t>
      </w:r>
      <w:r w:rsidRPr="001F3BC4">
        <w:rPr>
          <w:rFonts w:hint="eastAsia"/>
        </w:rPr>
        <w:t>,</w:t>
      </w:r>
      <w:r w:rsidRPr="001F3BC4">
        <w:rPr>
          <w:rFonts w:hint="eastAsia"/>
        </w:rPr>
        <w:t>房振明</w:t>
      </w:r>
      <w:r w:rsidRPr="001F3BC4">
        <w:rPr>
          <w:rFonts w:hint="eastAsia"/>
        </w:rPr>
        <w:t>.</w:t>
      </w:r>
      <w:r w:rsidRPr="001F3BC4">
        <w:rPr>
          <w:rFonts w:hint="eastAsia"/>
        </w:rPr>
        <w:t>股票卖方分析师报告是信息还是噱头</w:t>
      </w:r>
      <w:r w:rsidRPr="001F3BC4">
        <w:rPr>
          <w:rFonts w:hint="eastAsia"/>
        </w:rPr>
        <w:t>?</w:t>
      </w:r>
      <w:r w:rsidRPr="001F3BC4">
        <w:rPr>
          <w:rFonts w:hint="eastAsia"/>
        </w:rPr>
        <w:t>基于市场微观结构理论视角</w:t>
      </w:r>
      <w:r w:rsidRPr="001F3BC4">
        <w:rPr>
          <w:rFonts w:hint="eastAsia"/>
        </w:rPr>
        <w:t>[J].</w:t>
      </w:r>
      <w:r w:rsidRPr="001F3BC4">
        <w:rPr>
          <w:rFonts w:hint="eastAsia"/>
        </w:rPr>
        <w:t>预测</w:t>
      </w:r>
      <w:r w:rsidRPr="001F3BC4">
        <w:rPr>
          <w:rFonts w:hint="eastAsia"/>
        </w:rPr>
        <w:t>,2017,36(04):56-62.</w:t>
      </w:r>
    </w:p>
  </w:endnote>
  <w:endnote w:id="16">
    <w:p w14:paraId="19DE06A7" w14:textId="4313AA2E"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Chan K, Hameed A. Stock Price Synchronicity and Analyst Coverage in Emerging Markets[J]. Journal of Financial Economics, 2006, 80(1): 115-147.</w:t>
      </w:r>
    </w:p>
  </w:endnote>
  <w:endnote w:id="17">
    <w:p w14:paraId="3C64E833" w14:textId="455F1CF8"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朱红军</w:t>
      </w:r>
      <w:r w:rsidRPr="001F3BC4">
        <w:rPr>
          <w:rFonts w:hint="eastAsia"/>
        </w:rPr>
        <w:t>,</w:t>
      </w:r>
      <w:r w:rsidRPr="001F3BC4">
        <w:rPr>
          <w:rFonts w:hint="eastAsia"/>
        </w:rPr>
        <w:t>何贤杰</w:t>
      </w:r>
      <w:r w:rsidRPr="001F3BC4">
        <w:rPr>
          <w:rFonts w:hint="eastAsia"/>
        </w:rPr>
        <w:t>,</w:t>
      </w:r>
      <w:r w:rsidRPr="001F3BC4">
        <w:rPr>
          <w:rFonts w:hint="eastAsia"/>
        </w:rPr>
        <w:t>陶林</w:t>
      </w:r>
      <w:r w:rsidRPr="001F3BC4">
        <w:rPr>
          <w:rFonts w:hint="eastAsia"/>
        </w:rPr>
        <w:t>.</w:t>
      </w:r>
      <w:r w:rsidRPr="001F3BC4">
        <w:rPr>
          <w:rFonts w:hint="eastAsia"/>
        </w:rPr>
        <w:t>中国的证券分析师能够提高资本市场的效率吗——基于股价同步性和股价信息含量的经验证据</w:t>
      </w:r>
      <w:r w:rsidRPr="001F3BC4">
        <w:rPr>
          <w:rFonts w:hint="eastAsia"/>
        </w:rPr>
        <w:t>[J].</w:t>
      </w:r>
      <w:r w:rsidRPr="001F3BC4">
        <w:rPr>
          <w:rFonts w:hint="eastAsia"/>
        </w:rPr>
        <w:t>金融研究</w:t>
      </w:r>
      <w:r w:rsidRPr="001F3BC4">
        <w:rPr>
          <w:rFonts w:hint="eastAsia"/>
        </w:rPr>
        <w:t>,2007,02:110-121.</w:t>
      </w:r>
    </w:p>
  </w:endnote>
  <w:endnote w:id="18">
    <w:p w14:paraId="2243E725" w14:textId="44BC9B15"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冯旭南</w:t>
      </w:r>
      <w:r w:rsidRPr="001F3BC4">
        <w:rPr>
          <w:rFonts w:hint="eastAsia"/>
        </w:rPr>
        <w:t>,</w:t>
      </w:r>
      <w:r w:rsidRPr="001F3BC4">
        <w:rPr>
          <w:rFonts w:hint="eastAsia"/>
        </w:rPr>
        <w:t>李心愉</w:t>
      </w:r>
      <w:r w:rsidRPr="001F3BC4">
        <w:rPr>
          <w:rFonts w:hint="eastAsia"/>
        </w:rPr>
        <w:t>.</w:t>
      </w:r>
      <w:r w:rsidRPr="001F3BC4">
        <w:rPr>
          <w:rFonts w:hint="eastAsia"/>
        </w:rPr>
        <w:t>中国证券分析师能反映公司特质信息吗</w:t>
      </w:r>
      <w:r w:rsidRPr="001F3BC4">
        <w:rPr>
          <w:rFonts w:hint="eastAsia"/>
        </w:rPr>
        <w:t>?</w:t>
      </w:r>
      <w:r w:rsidRPr="001F3BC4">
        <w:rPr>
          <w:rFonts w:hint="eastAsia"/>
        </w:rPr>
        <w:t>——基于股价波动同步性和分析师跟进的证据</w:t>
      </w:r>
      <w:r w:rsidRPr="001F3BC4">
        <w:rPr>
          <w:rFonts w:hint="eastAsia"/>
        </w:rPr>
        <w:t>[J].</w:t>
      </w:r>
      <w:r w:rsidRPr="001F3BC4">
        <w:rPr>
          <w:rFonts w:hint="eastAsia"/>
        </w:rPr>
        <w:t>经济科学</w:t>
      </w:r>
      <w:r w:rsidRPr="001F3BC4">
        <w:rPr>
          <w:rFonts w:hint="eastAsia"/>
        </w:rPr>
        <w:t>,2011,04:99-106.</w:t>
      </w:r>
    </w:p>
  </w:endnote>
  <w:endnote w:id="19">
    <w:p w14:paraId="186B4EBF" w14:textId="29CEB1C2" w:rsidR="0016113B" w:rsidRPr="001F3BC4" w:rsidRDefault="0016113B" w:rsidP="009E2CF7">
      <w:pPr>
        <w:pStyle w:val="af8"/>
        <w:spacing w:line="240" w:lineRule="auto"/>
        <w:ind w:left="440" w:hanging="440"/>
      </w:pPr>
      <w:r w:rsidRPr="001F3BC4">
        <w:rPr>
          <w:rStyle w:val="afa"/>
          <w:sz w:val="22"/>
          <w:vertAlign w:val="baseline"/>
          <w:lang w:val="da-DK"/>
        </w:rPr>
        <w:t>[</w:t>
      </w:r>
      <w:r w:rsidRPr="001F3BC4">
        <w:rPr>
          <w:rStyle w:val="afa"/>
          <w:sz w:val="22"/>
          <w:vertAlign w:val="baseline"/>
        </w:rPr>
        <w:endnoteRef/>
      </w:r>
      <w:r w:rsidRPr="001F3BC4">
        <w:rPr>
          <w:rStyle w:val="afa"/>
          <w:sz w:val="22"/>
          <w:vertAlign w:val="baseline"/>
          <w:lang w:val="da-DK"/>
        </w:rPr>
        <w:t>]</w:t>
      </w:r>
      <w:r w:rsidRPr="001F3BC4">
        <w:rPr>
          <w:lang w:val="da-DK"/>
        </w:rPr>
        <w:t xml:space="preserve"> Xu N, Chan K C, Jiang X, et al. </w:t>
      </w:r>
      <w:r w:rsidRPr="001F3BC4">
        <w:t>Do Star Analysts Know More Firm-Specific Information? Evidence from China.[J]. Journal of Banking and Finance, 2013, 37(1): 89-102.</w:t>
      </w:r>
    </w:p>
  </w:endnote>
  <w:endnote w:id="20">
    <w:p w14:paraId="79C670AF" w14:textId="77777777" w:rsidR="0016113B" w:rsidRPr="001F3BC4" w:rsidRDefault="0016113B" w:rsidP="009E2CF7">
      <w:pPr>
        <w:pStyle w:val="af8"/>
        <w:spacing w:line="240" w:lineRule="auto"/>
        <w:ind w:left="440" w:hanging="440"/>
        <w:rPr>
          <w:rStyle w:val="afa"/>
          <w:sz w:val="22"/>
          <w:vertAlign w:val="baseline"/>
        </w:rPr>
      </w:pPr>
      <w:r>
        <w:rPr>
          <w:rStyle w:val="afa"/>
          <w:sz w:val="22"/>
          <w:vertAlign w:val="baseline"/>
        </w:rPr>
        <w:t>[</w:t>
      </w:r>
      <w:r w:rsidRPr="001F3BC4">
        <w:rPr>
          <w:rStyle w:val="afa"/>
          <w:sz w:val="22"/>
          <w:vertAlign w:val="baseline"/>
        </w:rPr>
        <w:endnoteRef/>
      </w:r>
      <w:r>
        <w:rPr>
          <w:rStyle w:val="afa"/>
          <w:sz w:val="22"/>
          <w:vertAlign w:val="baseline"/>
        </w:rPr>
        <w:t>]</w:t>
      </w:r>
      <w:r w:rsidRPr="001F3BC4">
        <w:rPr>
          <w:rStyle w:val="afa"/>
          <w:sz w:val="22"/>
          <w:vertAlign w:val="baseline"/>
        </w:rPr>
        <w:t xml:space="preserve"> Scharfstein D S, Stein J C. Herd Behavior and Investment[J]. The American Economic Review, 1990, 80(3): 465-479.</w:t>
      </w:r>
    </w:p>
  </w:endnote>
  <w:endnote w:id="21">
    <w:p w14:paraId="4AD41B61" w14:textId="77777777" w:rsidR="0016113B" w:rsidRPr="001F3BC4" w:rsidRDefault="0016113B" w:rsidP="009E2CF7">
      <w:pPr>
        <w:pStyle w:val="af8"/>
        <w:spacing w:line="240" w:lineRule="auto"/>
        <w:ind w:left="440" w:hanging="440"/>
        <w:rPr>
          <w:rStyle w:val="afa"/>
          <w:sz w:val="22"/>
          <w:vertAlign w:val="baseline"/>
        </w:rPr>
      </w:pPr>
      <w:r>
        <w:rPr>
          <w:rStyle w:val="afa"/>
          <w:sz w:val="22"/>
          <w:vertAlign w:val="baseline"/>
        </w:rPr>
        <w:t>[</w:t>
      </w:r>
      <w:r w:rsidRPr="001F3BC4">
        <w:rPr>
          <w:rStyle w:val="afa"/>
          <w:sz w:val="22"/>
          <w:vertAlign w:val="baseline"/>
        </w:rPr>
        <w:endnoteRef/>
      </w:r>
      <w:r>
        <w:rPr>
          <w:rStyle w:val="afa"/>
          <w:sz w:val="22"/>
          <w:vertAlign w:val="baseline"/>
        </w:rPr>
        <w:t>]</w:t>
      </w:r>
      <w:r w:rsidRPr="001F3BC4">
        <w:rPr>
          <w:rStyle w:val="afa"/>
          <w:sz w:val="22"/>
          <w:vertAlign w:val="baseline"/>
        </w:rPr>
        <w:t xml:space="preserve"> Bergman N K, Roychowdhury S. Investor Sentiment and Corporate Disclosure[J]. Journal of Accounting Research, 2008, 46(5): 1057-1083.</w:t>
      </w:r>
    </w:p>
  </w:endnote>
  <w:endnote w:id="22">
    <w:p w14:paraId="3EFC3C4A" w14:textId="7AE571F3"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Baker M P, Wurgler J. Investor Sentiment and the Cross-Section of Stock Returns[J]. Journal of Finance, 2006, 61(4): 1645-1680.</w:t>
      </w:r>
    </w:p>
  </w:endnote>
  <w:endnote w:id="23">
    <w:p w14:paraId="1F914B75" w14:textId="6BC493A4" w:rsidR="0016113B" w:rsidRPr="006657AC" w:rsidRDefault="0016113B" w:rsidP="009E2CF7">
      <w:pPr>
        <w:pStyle w:val="af8"/>
        <w:spacing w:line="240" w:lineRule="auto"/>
        <w:ind w:left="440" w:hanging="440"/>
        <w:rPr>
          <w:rStyle w:val="afa"/>
          <w:sz w:val="22"/>
          <w:vertAlign w:val="baseline"/>
        </w:rPr>
      </w:pPr>
      <w:r>
        <w:rPr>
          <w:rStyle w:val="afa"/>
          <w:sz w:val="22"/>
          <w:vertAlign w:val="baseline"/>
        </w:rPr>
        <w:t>[</w:t>
      </w:r>
      <w:r w:rsidRPr="006657AC">
        <w:rPr>
          <w:rStyle w:val="afa"/>
          <w:sz w:val="22"/>
          <w:vertAlign w:val="baseline"/>
        </w:rPr>
        <w:endnoteRef/>
      </w:r>
      <w:r>
        <w:rPr>
          <w:rStyle w:val="afa"/>
          <w:sz w:val="22"/>
          <w:vertAlign w:val="baseline"/>
        </w:rPr>
        <w:t>]</w:t>
      </w:r>
      <w:r w:rsidRPr="006657AC">
        <w:rPr>
          <w:rStyle w:val="afa"/>
          <w:sz w:val="22"/>
          <w:vertAlign w:val="baseline"/>
        </w:rPr>
        <w:t xml:space="preserve"> </w:t>
      </w:r>
      <w:r w:rsidRPr="006657AC">
        <w:rPr>
          <w:rStyle w:val="afa"/>
          <w:rFonts w:hint="eastAsia"/>
          <w:sz w:val="22"/>
          <w:vertAlign w:val="baseline"/>
        </w:rPr>
        <w:t>伍燕然</w:t>
      </w:r>
      <w:r w:rsidRPr="006657AC">
        <w:rPr>
          <w:rStyle w:val="afa"/>
          <w:rFonts w:hint="eastAsia"/>
          <w:sz w:val="22"/>
          <w:vertAlign w:val="baseline"/>
        </w:rPr>
        <w:t>,</w:t>
      </w:r>
      <w:r w:rsidRPr="006657AC">
        <w:rPr>
          <w:rStyle w:val="afa"/>
          <w:rFonts w:hint="eastAsia"/>
          <w:sz w:val="22"/>
          <w:vertAlign w:val="baseline"/>
        </w:rPr>
        <w:t>潘可</w:t>
      </w:r>
      <w:r w:rsidRPr="006657AC">
        <w:rPr>
          <w:rStyle w:val="afa"/>
          <w:rFonts w:hint="eastAsia"/>
          <w:sz w:val="22"/>
          <w:vertAlign w:val="baseline"/>
        </w:rPr>
        <w:t>,</w:t>
      </w:r>
      <w:r w:rsidRPr="006657AC">
        <w:rPr>
          <w:rStyle w:val="afa"/>
          <w:rFonts w:hint="eastAsia"/>
          <w:sz w:val="22"/>
          <w:vertAlign w:val="baseline"/>
        </w:rPr>
        <w:t>胡松明</w:t>
      </w:r>
      <w:r w:rsidRPr="006657AC">
        <w:rPr>
          <w:rStyle w:val="afa"/>
          <w:rFonts w:hint="eastAsia"/>
          <w:sz w:val="22"/>
          <w:vertAlign w:val="baseline"/>
        </w:rPr>
        <w:t>,</w:t>
      </w:r>
      <w:r w:rsidRPr="006657AC">
        <w:rPr>
          <w:rStyle w:val="afa"/>
          <w:rFonts w:hint="eastAsia"/>
          <w:sz w:val="22"/>
          <w:vertAlign w:val="baseline"/>
        </w:rPr>
        <w:t>江婕</w:t>
      </w:r>
      <w:r w:rsidRPr="006657AC">
        <w:rPr>
          <w:rStyle w:val="afa"/>
          <w:rFonts w:hint="eastAsia"/>
          <w:sz w:val="22"/>
          <w:vertAlign w:val="baseline"/>
        </w:rPr>
        <w:t>.</w:t>
      </w:r>
      <w:r w:rsidRPr="006657AC">
        <w:rPr>
          <w:rStyle w:val="afa"/>
          <w:rFonts w:hint="eastAsia"/>
          <w:sz w:val="22"/>
          <w:vertAlign w:val="baseline"/>
        </w:rPr>
        <w:t>行业分析师盈利预测偏差的新解释</w:t>
      </w:r>
      <w:r w:rsidRPr="006657AC">
        <w:rPr>
          <w:rStyle w:val="afa"/>
          <w:rFonts w:hint="eastAsia"/>
          <w:sz w:val="22"/>
          <w:vertAlign w:val="baseline"/>
        </w:rPr>
        <w:t>[J].</w:t>
      </w:r>
      <w:r w:rsidRPr="006657AC">
        <w:rPr>
          <w:rStyle w:val="afa"/>
          <w:rFonts w:hint="eastAsia"/>
          <w:sz w:val="22"/>
          <w:vertAlign w:val="baseline"/>
        </w:rPr>
        <w:t>经济研究</w:t>
      </w:r>
      <w:r w:rsidRPr="006657AC">
        <w:rPr>
          <w:rStyle w:val="afa"/>
          <w:rFonts w:hint="eastAsia"/>
          <w:sz w:val="22"/>
          <w:vertAlign w:val="baseline"/>
        </w:rPr>
        <w:t>,</w:t>
      </w:r>
      <w:r>
        <w:rPr>
          <w:rStyle w:val="afa"/>
          <w:sz w:val="22"/>
          <w:vertAlign w:val="baseline"/>
        </w:rPr>
        <w:t xml:space="preserve"> </w:t>
      </w:r>
      <w:r w:rsidRPr="006657AC">
        <w:rPr>
          <w:rStyle w:val="afa"/>
          <w:rFonts w:hint="eastAsia"/>
          <w:sz w:val="22"/>
          <w:vertAlign w:val="baseline"/>
        </w:rPr>
        <w:t>2012,</w:t>
      </w:r>
      <w:r>
        <w:rPr>
          <w:rStyle w:val="afa"/>
          <w:sz w:val="22"/>
          <w:vertAlign w:val="baseline"/>
        </w:rPr>
        <w:t xml:space="preserve"> </w:t>
      </w:r>
      <w:r w:rsidRPr="006657AC">
        <w:rPr>
          <w:rStyle w:val="afa"/>
          <w:rFonts w:hint="eastAsia"/>
          <w:sz w:val="22"/>
          <w:vertAlign w:val="baseline"/>
        </w:rPr>
        <w:t>47(04):149-160.</w:t>
      </w:r>
    </w:p>
  </w:endnote>
  <w:endnote w:id="24">
    <w:p w14:paraId="0B831BD1" w14:textId="68198210" w:rsidR="0016113B" w:rsidRPr="001F3BC4" w:rsidRDefault="0016113B" w:rsidP="009E2CF7">
      <w:pPr>
        <w:pStyle w:val="af8"/>
        <w:spacing w:line="240" w:lineRule="auto"/>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林虎</w:t>
      </w:r>
      <w:r w:rsidRPr="001F3BC4">
        <w:t>,</w:t>
      </w:r>
      <w:r w:rsidRPr="001F3BC4">
        <w:t>刘冲</w:t>
      </w:r>
      <w:r w:rsidRPr="001F3BC4">
        <w:t>.</w:t>
      </w:r>
      <w:r w:rsidRPr="001F3BC4">
        <w:t>投资者分歧、异常交易量和股票横截面收益率预测</w:t>
      </w:r>
      <w:r w:rsidRPr="001F3BC4">
        <w:t>——</w:t>
      </w:r>
      <w:r w:rsidRPr="001F3BC4">
        <w:t>基于中国股票市场的经验证据</w:t>
      </w:r>
      <w:r w:rsidRPr="001F3BC4">
        <w:t>[J].</w:t>
      </w:r>
      <w:r w:rsidRPr="001F3BC4">
        <w:t>投资研究</w:t>
      </w:r>
      <w:r w:rsidRPr="001F3BC4">
        <w:t>,2011,30(10):42-55.</w:t>
      </w:r>
    </w:p>
  </w:endnote>
  <w:endnote w:id="25">
    <w:p w14:paraId="79EDAB4B" w14:textId="6D710ED8" w:rsidR="0016113B" w:rsidRPr="001F3BC4" w:rsidRDefault="0016113B" w:rsidP="009E2CF7">
      <w:pPr>
        <w:pStyle w:val="af8"/>
        <w:spacing w:line="240" w:lineRule="auto"/>
        <w:ind w:left="440" w:hanging="440"/>
      </w:pPr>
      <w:r w:rsidRPr="001F3BC4">
        <w:rPr>
          <w:rStyle w:val="afa"/>
          <w:sz w:val="22"/>
          <w:vertAlign w:val="baseline"/>
          <w:lang w:val="da-DK"/>
        </w:rPr>
        <w:t>[</w:t>
      </w:r>
      <w:r w:rsidRPr="001F3BC4">
        <w:rPr>
          <w:rStyle w:val="afa"/>
          <w:sz w:val="22"/>
          <w:vertAlign w:val="baseline"/>
        </w:rPr>
        <w:endnoteRef/>
      </w:r>
      <w:r w:rsidRPr="001F3BC4">
        <w:rPr>
          <w:rStyle w:val="afa"/>
          <w:sz w:val="22"/>
          <w:vertAlign w:val="baseline"/>
          <w:lang w:val="da-DK"/>
        </w:rPr>
        <w:t>]</w:t>
      </w:r>
      <w:r w:rsidRPr="001F3BC4">
        <w:rPr>
          <w:lang w:val="da-DK"/>
        </w:rPr>
        <w:t xml:space="preserve"> Morck R, Yeung B Y, Yu W, et al. </w:t>
      </w:r>
      <w:r w:rsidRPr="001F3BC4">
        <w:t>The Information Content of Stock Markets: Why Do Emerging Markets Have Synchronous Stock Price Movements?[J]. Journal of Financial Economics, 2000: 215-260.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B4296" w14:textId="77777777" w:rsidR="0016113B" w:rsidRDefault="0016113B" w:rsidP="003E273A">
    <w:pPr>
      <w:pStyle w:val="a8"/>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90EF7" w14:textId="77777777" w:rsidR="0016113B" w:rsidRDefault="0016113B" w:rsidP="00C258E1">
    <w:pPr>
      <w:pStyle w:val="a8"/>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F9647" w14:textId="77777777" w:rsidR="0016113B" w:rsidRDefault="0016113B" w:rsidP="00EE220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A9B5B" w14:textId="77777777" w:rsidR="006D44AB" w:rsidRDefault="006D44AB" w:rsidP="00EE2202">
      <w:pPr>
        <w:ind w:firstLine="420"/>
      </w:pPr>
      <w:r>
        <w:separator/>
      </w:r>
    </w:p>
  </w:footnote>
  <w:footnote w:type="continuationSeparator" w:id="0">
    <w:p w14:paraId="22610C41" w14:textId="77777777" w:rsidR="006D44AB" w:rsidRDefault="006D44AB" w:rsidP="00EE2202">
      <w:pPr>
        <w:ind w:firstLine="420"/>
      </w:pPr>
      <w:r>
        <w:continuationSeparator/>
      </w:r>
    </w:p>
  </w:footnote>
  <w:footnote w:id="1">
    <w:p w14:paraId="0B5DEE17" w14:textId="1FE4322F" w:rsidR="0016113B" w:rsidRDefault="0016113B">
      <w:pPr>
        <w:pStyle w:val="afb"/>
        <w:ind w:firstLine="360"/>
      </w:pPr>
      <w:r>
        <w:rPr>
          <w:rStyle w:val="afd"/>
        </w:rPr>
        <w:footnoteRef/>
      </w:r>
      <w:r>
        <w:t xml:space="preserve"> </w:t>
      </w:r>
      <w:r>
        <w:rPr>
          <w:rFonts w:hint="eastAsia"/>
        </w:rPr>
        <w:t>即多因子模型中的</w:t>
      </w:r>
      <w:r>
        <w:rPr>
          <w:rFonts w:hint="eastAsia"/>
        </w:rPr>
        <w:t>R2</w:t>
      </w:r>
      <w:r>
        <w:rPr>
          <w:rFonts w:hint="eastAsia"/>
        </w:rPr>
        <w:t>统计量，</w:t>
      </w:r>
      <w:r>
        <w:t>R</w:t>
      </w:r>
      <w:r>
        <w:rPr>
          <w:rFonts w:hint="eastAsia"/>
        </w:rPr>
        <w:t>2</w:t>
      </w:r>
      <w:r>
        <w:rPr>
          <w:rFonts w:hint="eastAsia"/>
        </w:rPr>
        <w:t>越大意味着股价同步性越高，相应其反映的公司特质信息越少（</w:t>
      </w:r>
      <w:r>
        <w:rPr>
          <w:rFonts w:hint="eastAsia"/>
        </w:rPr>
        <w:t>Roll</w:t>
      </w:r>
      <w:r>
        <w:rPr>
          <w:rFonts w:hint="eastAsia"/>
        </w:rPr>
        <w:t>，</w:t>
      </w:r>
      <w:r>
        <w:rPr>
          <w:rFonts w:hint="eastAsia"/>
        </w:rPr>
        <w:t>1988</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1446" w14:textId="77777777" w:rsidR="0016113B" w:rsidRPr="00BD7889" w:rsidRDefault="0016113B" w:rsidP="00BD7889">
    <w:pPr>
      <w:pStyle w:val="a6"/>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5121F" w14:textId="77777777" w:rsidR="0016113B" w:rsidRDefault="0016113B" w:rsidP="00DA7E34">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768D3" w14:textId="77777777" w:rsidR="0016113B" w:rsidRDefault="0016113B" w:rsidP="00EE2202">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5C040" w14:textId="165E4B1E" w:rsidR="0016113B" w:rsidRPr="00BD7889" w:rsidRDefault="0016113B" w:rsidP="00BD7889">
    <w:pPr>
      <w:pStyle w:val="a6"/>
      <w:ind w:firstLineChars="0" w:firstLine="0"/>
    </w:pPr>
    <w:proofErr w:type="gramStart"/>
    <w:r>
      <w:rPr>
        <w:rFonts w:hint="eastAsia"/>
      </w:rPr>
      <w:t xml:space="preserve">后　　</w:t>
    </w:r>
    <w:proofErr w:type="gramEnd"/>
    <w:r>
      <w:rPr>
        <w:rFonts w:hint="eastAsia"/>
      </w:rPr>
      <w:t>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19D8"/>
    <w:multiLevelType w:val="hybridMultilevel"/>
    <w:tmpl w:val="623C3592"/>
    <w:lvl w:ilvl="0" w:tplc="6BE6C328">
      <w:start w:val="1"/>
      <w:numFmt w:val="decimal"/>
      <w:pStyle w:val="3"/>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DEA7E2C"/>
    <w:multiLevelType w:val="hybridMultilevel"/>
    <w:tmpl w:val="AC6AE892"/>
    <w:lvl w:ilvl="0" w:tplc="C6CAAD56">
      <w:start w:val="1"/>
      <w:numFmt w:val="decimal"/>
      <w:pStyle w:val="a"/>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C814953"/>
    <w:multiLevelType w:val="hybridMultilevel"/>
    <w:tmpl w:val="1BA04664"/>
    <w:lvl w:ilvl="0" w:tplc="04090017">
      <w:start w:val="1"/>
      <w:numFmt w:val="chineseCountingThousand"/>
      <w:lvlText w:val="第%1节"/>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323A97"/>
    <w:multiLevelType w:val="hybridMultilevel"/>
    <w:tmpl w:val="E4DC47F6"/>
    <w:lvl w:ilvl="0" w:tplc="FFF867A2">
      <w:start w:val="1"/>
      <w:numFmt w:val="decimal"/>
      <w:lvlText w:val="[%1]"/>
      <w:lvlJc w:val="left"/>
      <w:pPr>
        <w:ind w:left="420" w:hanging="420"/>
      </w:pPr>
      <w:rPr>
        <w:rFonts w:hint="eastAsia"/>
      </w:rPr>
    </w:lvl>
    <w:lvl w:ilvl="1" w:tplc="FFF867A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969D5"/>
    <w:multiLevelType w:val="hybridMultilevel"/>
    <w:tmpl w:val="9F8E7626"/>
    <w:lvl w:ilvl="0" w:tplc="311A0990">
      <w:start w:val="1"/>
      <w:numFmt w:val="chineseCountingThousand"/>
      <w:pStyle w:val="1"/>
      <w:lvlText w:val="%1、"/>
      <w:lvlJc w:val="left"/>
      <w:pPr>
        <w:ind w:left="1022" w:hanging="420"/>
      </w:pPr>
      <w:rPr>
        <w:rFonts w:hint="eastAsia"/>
      </w:rPr>
    </w:lvl>
    <w:lvl w:ilvl="1" w:tplc="83167F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4937B0"/>
    <w:multiLevelType w:val="hybridMultilevel"/>
    <w:tmpl w:val="22F8C618"/>
    <w:lvl w:ilvl="0" w:tplc="254633A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330F15"/>
    <w:multiLevelType w:val="hybridMultilevel"/>
    <w:tmpl w:val="8F321564"/>
    <w:lvl w:ilvl="0" w:tplc="8C66A3D4">
      <w:start w:val="1"/>
      <w:numFmt w:val="low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66385D"/>
    <w:multiLevelType w:val="hybridMultilevel"/>
    <w:tmpl w:val="F7A8B302"/>
    <w:lvl w:ilvl="0" w:tplc="7AE4E7A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2822F1"/>
    <w:multiLevelType w:val="hybridMultilevel"/>
    <w:tmpl w:val="7562C7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1B42FF"/>
    <w:multiLevelType w:val="hybridMultilevel"/>
    <w:tmpl w:val="41FA91AE"/>
    <w:lvl w:ilvl="0" w:tplc="4392A038">
      <w:start w:val="1"/>
      <w:numFmt w:val="decimal"/>
      <w:pStyle w:val="4"/>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lvlOverride w:ilvl="0">
      <w:startOverride w:val="1"/>
    </w:lvlOverride>
  </w:num>
  <w:num w:numId="3">
    <w:abstractNumId w:val="0"/>
    <w:lvlOverride w:ilvl="0">
      <w:startOverride w:val="1"/>
    </w:lvlOverride>
  </w:num>
  <w:num w:numId="4">
    <w:abstractNumId w:val="2"/>
  </w:num>
  <w:num w:numId="5">
    <w:abstractNumId w:val="2"/>
    <w:lvlOverride w:ilvl="0">
      <w:startOverride w:val="1"/>
    </w:lvlOverride>
  </w:num>
  <w:num w:numId="6">
    <w:abstractNumId w:val="2"/>
    <w:lvlOverride w:ilvl="0">
      <w:startOverride w:val="1"/>
    </w:lvlOverride>
  </w:num>
  <w:num w:numId="7">
    <w:abstractNumId w:val="9"/>
  </w:num>
  <w:num w:numId="8">
    <w:abstractNumId w:val="9"/>
    <w:lvlOverride w:ilvl="0">
      <w:startOverride w:val="1"/>
    </w:lvlOverride>
  </w:num>
  <w:num w:numId="9">
    <w:abstractNumId w:val="9"/>
    <w:lvlOverride w:ilvl="0">
      <w:startOverride w:val="1"/>
    </w:lvlOverride>
  </w:num>
  <w:num w:numId="10">
    <w:abstractNumId w:val="0"/>
  </w:num>
  <w:num w:numId="11">
    <w:abstractNumId w:val="0"/>
    <w:lvlOverride w:ilvl="0">
      <w:startOverride w:val="1"/>
    </w:lvlOverride>
  </w:num>
  <w:num w:numId="12">
    <w:abstractNumId w:val="0"/>
    <w:lvlOverride w:ilvl="0">
      <w:startOverride w:val="1"/>
    </w:lvlOverride>
  </w:num>
  <w:num w:numId="13">
    <w:abstractNumId w:val="1"/>
  </w:num>
  <w:num w:numId="14">
    <w:abstractNumId w:val="0"/>
    <w:lvlOverride w:ilvl="0">
      <w:startOverride w:val="1"/>
    </w:lvlOverride>
  </w:num>
  <w:num w:numId="15">
    <w:abstractNumId w:val="3"/>
  </w:num>
  <w:num w:numId="16">
    <w:abstractNumId w:val="2"/>
    <w:lvlOverride w:ilvl="0">
      <w:startOverride w:val="1"/>
    </w:lvlOverride>
  </w:num>
  <w:num w:numId="17">
    <w:abstractNumId w:val="9"/>
    <w:lvlOverride w:ilvl="0">
      <w:startOverride w:val="1"/>
    </w:lvlOverride>
  </w:num>
  <w:num w:numId="18">
    <w:abstractNumId w:val="0"/>
    <w:lvlOverride w:ilvl="0">
      <w:startOverride w:val="1"/>
    </w:lvlOverride>
  </w:num>
  <w:num w:numId="19">
    <w:abstractNumId w:val="8"/>
  </w:num>
  <w:num w:numId="20">
    <w:abstractNumId w:val="9"/>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5"/>
  </w:num>
  <w:num w:numId="24">
    <w:abstractNumId w:val="5"/>
    <w:lvlOverride w:ilvl="0">
      <w:startOverride w:val="1"/>
    </w:lvlOverride>
  </w:num>
  <w:num w:numId="25">
    <w:abstractNumId w:val="7"/>
  </w:num>
  <w:num w:numId="2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21"/>
    <w:rsid w:val="0000065C"/>
    <w:rsid w:val="00001802"/>
    <w:rsid w:val="0001010D"/>
    <w:rsid w:val="00010BC9"/>
    <w:rsid w:val="00011564"/>
    <w:rsid w:val="00011CD6"/>
    <w:rsid w:val="00013A04"/>
    <w:rsid w:val="000149F8"/>
    <w:rsid w:val="00016560"/>
    <w:rsid w:val="0001668E"/>
    <w:rsid w:val="000166BD"/>
    <w:rsid w:val="00021923"/>
    <w:rsid w:val="0002579D"/>
    <w:rsid w:val="00025FC1"/>
    <w:rsid w:val="000272B0"/>
    <w:rsid w:val="0003193D"/>
    <w:rsid w:val="00032C9B"/>
    <w:rsid w:val="0003504D"/>
    <w:rsid w:val="0003597A"/>
    <w:rsid w:val="000378AF"/>
    <w:rsid w:val="00042F8B"/>
    <w:rsid w:val="000456CE"/>
    <w:rsid w:val="00047898"/>
    <w:rsid w:val="00051070"/>
    <w:rsid w:val="0005666F"/>
    <w:rsid w:val="00056749"/>
    <w:rsid w:val="00061260"/>
    <w:rsid w:val="00061A37"/>
    <w:rsid w:val="00062A9A"/>
    <w:rsid w:val="0006587F"/>
    <w:rsid w:val="00066EAA"/>
    <w:rsid w:val="0007034C"/>
    <w:rsid w:val="00071888"/>
    <w:rsid w:val="00071BDA"/>
    <w:rsid w:val="00080CE0"/>
    <w:rsid w:val="00081A16"/>
    <w:rsid w:val="00082282"/>
    <w:rsid w:val="00082ED0"/>
    <w:rsid w:val="00083794"/>
    <w:rsid w:val="00083FD4"/>
    <w:rsid w:val="00085911"/>
    <w:rsid w:val="00091511"/>
    <w:rsid w:val="00092E76"/>
    <w:rsid w:val="000934F9"/>
    <w:rsid w:val="00093FB6"/>
    <w:rsid w:val="000954AB"/>
    <w:rsid w:val="0009593C"/>
    <w:rsid w:val="000977D3"/>
    <w:rsid w:val="000A28DD"/>
    <w:rsid w:val="000A532D"/>
    <w:rsid w:val="000A5C65"/>
    <w:rsid w:val="000A68CB"/>
    <w:rsid w:val="000A6FF9"/>
    <w:rsid w:val="000A7CE2"/>
    <w:rsid w:val="000A7FBF"/>
    <w:rsid w:val="000B2247"/>
    <w:rsid w:val="000B32B4"/>
    <w:rsid w:val="000B358D"/>
    <w:rsid w:val="000B4F2D"/>
    <w:rsid w:val="000B552B"/>
    <w:rsid w:val="000C0856"/>
    <w:rsid w:val="000C0A42"/>
    <w:rsid w:val="000C0D2D"/>
    <w:rsid w:val="000C2F74"/>
    <w:rsid w:val="000C3DA5"/>
    <w:rsid w:val="000C7406"/>
    <w:rsid w:val="000D2CB7"/>
    <w:rsid w:val="000D30FC"/>
    <w:rsid w:val="000D3579"/>
    <w:rsid w:val="000D3997"/>
    <w:rsid w:val="000D5D49"/>
    <w:rsid w:val="000D5FD2"/>
    <w:rsid w:val="000D6891"/>
    <w:rsid w:val="000E01A8"/>
    <w:rsid w:val="000E28DA"/>
    <w:rsid w:val="000E35FC"/>
    <w:rsid w:val="000E66C0"/>
    <w:rsid w:val="000F19BA"/>
    <w:rsid w:val="000F31D6"/>
    <w:rsid w:val="000F4EB8"/>
    <w:rsid w:val="000F72BF"/>
    <w:rsid w:val="00100633"/>
    <w:rsid w:val="00101238"/>
    <w:rsid w:val="00101A78"/>
    <w:rsid w:val="001060C1"/>
    <w:rsid w:val="001070B0"/>
    <w:rsid w:val="00107D4D"/>
    <w:rsid w:val="00110820"/>
    <w:rsid w:val="00110BE0"/>
    <w:rsid w:val="00111B3F"/>
    <w:rsid w:val="00112A9B"/>
    <w:rsid w:val="0011544E"/>
    <w:rsid w:val="00115FFD"/>
    <w:rsid w:val="00116193"/>
    <w:rsid w:val="0011644B"/>
    <w:rsid w:val="00117878"/>
    <w:rsid w:val="001204D5"/>
    <w:rsid w:val="00122DD9"/>
    <w:rsid w:val="00123168"/>
    <w:rsid w:val="001257BB"/>
    <w:rsid w:val="001263CA"/>
    <w:rsid w:val="00126518"/>
    <w:rsid w:val="00127A17"/>
    <w:rsid w:val="00127C52"/>
    <w:rsid w:val="00127E62"/>
    <w:rsid w:val="00127F48"/>
    <w:rsid w:val="00130E4E"/>
    <w:rsid w:val="00136737"/>
    <w:rsid w:val="001439E5"/>
    <w:rsid w:val="00143DFD"/>
    <w:rsid w:val="00152370"/>
    <w:rsid w:val="00152434"/>
    <w:rsid w:val="00153B9B"/>
    <w:rsid w:val="00156362"/>
    <w:rsid w:val="0015641E"/>
    <w:rsid w:val="00160715"/>
    <w:rsid w:val="0016113B"/>
    <w:rsid w:val="0016173A"/>
    <w:rsid w:val="00164428"/>
    <w:rsid w:val="00164B60"/>
    <w:rsid w:val="001653EE"/>
    <w:rsid w:val="0017220C"/>
    <w:rsid w:val="00173170"/>
    <w:rsid w:val="00173356"/>
    <w:rsid w:val="00173B9E"/>
    <w:rsid w:val="00174584"/>
    <w:rsid w:val="00174E22"/>
    <w:rsid w:val="00175A62"/>
    <w:rsid w:val="00177BDB"/>
    <w:rsid w:val="00180129"/>
    <w:rsid w:val="00182C60"/>
    <w:rsid w:val="0018392B"/>
    <w:rsid w:val="001845BB"/>
    <w:rsid w:val="00187338"/>
    <w:rsid w:val="00187EC4"/>
    <w:rsid w:val="001903D0"/>
    <w:rsid w:val="001904B1"/>
    <w:rsid w:val="00191AD9"/>
    <w:rsid w:val="0019283B"/>
    <w:rsid w:val="00193EF7"/>
    <w:rsid w:val="00194A65"/>
    <w:rsid w:val="00196F8D"/>
    <w:rsid w:val="001A1197"/>
    <w:rsid w:val="001A2B49"/>
    <w:rsid w:val="001A4D69"/>
    <w:rsid w:val="001B22E0"/>
    <w:rsid w:val="001B30C9"/>
    <w:rsid w:val="001B55D8"/>
    <w:rsid w:val="001B7887"/>
    <w:rsid w:val="001C00D8"/>
    <w:rsid w:val="001C115E"/>
    <w:rsid w:val="001C4DCB"/>
    <w:rsid w:val="001D1916"/>
    <w:rsid w:val="001D2799"/>
    <w:rsid w:val="001D36F5"/>
    <w:rsid w:val="001D46A5"/>
    <w:rsid w:val="001D5442"/>
    <w:rsid w:val="001D6060"/>
    <w:rsid w:val="001E0443"/>
    <w:rsid w:val="001E166E"/>
    <w:rsid w:val="001E195A"/>
    <w:rsid w:val="001E3BD9"/>
    <w:rsid w:val="001E4F23"/>
    <w:rsid w:val="001E75B9"/>
    <w:rsid w:val="001F06FA"/>
    <w:rsid w:val="001F2B31"/>
    <w:rsid w:val="001F3BC4"/>
    <w:rsid w:val="001F79CA"/>
    <w:rsid w:val="0020321F"/>
    <w:rsid w:val="00204501"/>
    <w:rsid w:val="0020470E"/>
    <w:rsid w:val="00206AFB"/>
    <w:rsid w:val="00211741"/>
    <w:rsid w:val="00211ECF"/>
    <w:rsid w:val="00212F5B"/>
    <w:rsid w:val="00214CF5"/>
    <w:rsid w:val="002150D6"/>
    <w:rsid w:val="00216184"/>
    <w:rsid w:val="00216DB3"/>
    <w:rsid w:val="00217D7B"/>
    <w:rsid w:val="002207EF"/>
    <w:rsid w:val="002219A4"/>
    <w:rsid w:val="00222A5B"/>
    <w:rsid w:val="00223A4A"/>
    <w:rsid w:val="002241C9"/>
    <w:rsid w:val="00224405"/>
    <w:rsid w:val="00226260"/>
    <w:rsid w:val="00230A39"/>
    <w:rsid w:val="00230D02"/>
    <w:rsid w:val="002324FD"/>
    <w:rsid w:val="0023674A"/>
    <w:rsid w:val="00241A27"/>
    <w:rsid w:val="00241C98"/>
    <w:rsid w:val="00244D8A"/>
    <w:rsid w:val="00247D14"/>
    <w:rsid w:val="00250D99"/>
    <w:rsid w:val="00251082"/>
    <w:rsid w:val="0025265E"/>
    <w:rsid w:val="00253814"/>
    <w:rsid w:val="00255B16"/>
    <w:rsid w:val="00261342"/>
    <w:rsid w:val="002672D3"/>
    <w:rsid w:val="00271171"/>
    <w:rsid w:val="002727B9"/>
    <w:rsid w:val="00274797"/>
    <w:rsid w:val="0028031E"/>
    <w:rsid w:val="00282183"/>
    <w:rsid w:val="00282D15"/>
    <w:rsid w:val="0028566D"/>
    <w:rsid w:val="00285B6B"/>
    <w:rsid w:val="002913DA"/>
    <w:rsid w:val="0029229E"/>
    <w:rsid w:val="00294C25"/>
    <w:rsid w:val="00295273"/>
    <w:rsid w:val="002A01C0"/>
    <w:rsid w:val="002A7397"/>
    <w:rsid w:val="002B1AA2"/>
    <w:rsid w:val="002B3EE8"/>
    <w:rsid w:val="002B7056"/>
    <w:rsid w:val="002C074A"/>
    <w:rsid w:val="002C1666"/>
    <w:rsid w:val="002C1AA6"/>
    <w:rsid w:val="002C259D"/>
    <w:rsid w:val="002C5BC1"/>
    <w:rsid w:val="002C7ED3"/>
    <w:rsid w:val="002D00F6"/>
    <w:rsid w:val="002D1A38"/>
    <w:rsid w:val="002D4381"/>
    <w:rsid w:val="002D4999"/>
    <w:rsid w:val="002D4AB6"/>
    <w:rsid w:val="002D5DE5"/>
    <w:rsid w:val="002D73AD"/>
    <w:rsid w:val="002E07D0"/>
    <w:rsid w:val="002E097B"/>
    <w:rsid w:val="002E0FCD"/>
    <w:rsid w:val="002E10FD"/>
    <w:rsid w:val="002E15F7"/>
    <w:rsid w:val="002E1C62"/>
    <w:rsid w:val="002E3E1D"/>
    <w:rsid w:val="002E3FD2"/>
    <w:rsid w:val="002E49CF"/>
    <w:rsid w:val="002E4AEE"/>
    <w:rsid w:val="002F0FC2"/>
    <w:rsid w:val="002F12A1"/>
    <w:rsid w:val="002F30C7"/>
    <w:rsid w:val="002F5797"/>
    <w:rsid w:val="002F6189"/>
    <w:rsid w:val="002F68ED"/>
    <w:rsid w:val="00300AD9"/>
    <w:rsid w:val="00301B5C"/>
    <w:rsid w:val="00303356"/>
    <w:rsid w:val="003054FD"/>
    <w:rsid w:val="003055B2"/>
    <w:rsid w:val="00306AFE"/>
    <w:rsid w:val="00306F88"/>
    <w:rsid w:val="00307E68"/>
    <w:rsid w:val="00311727"/>
    <w:rsid w:val="00321B1D"/>
    <w:rsid w:val="00323D59"/>
    <w:rsid w:val="00324A3A"/>
    <w:rsid w:val="00325A36"/>
    <w:rsid w:val="003337E4"/>
    <w:rsid w:val="00335006"/>
    <w:rsid w:val="003366AF"/>
    <w:rsid w:val="003368BC"/>
    <w:rsid w:val="00341193"/>
    <w:rsid w:val="003449BF"/>
    <w:rsid w:val="00344A56"/>
    <w:rsid w:val="0034587D"/>
    <w:rsid w:val="0034763B"/>
    <w:rsid w:val="00347DAD"/>
    <w:rsid w:val="0035255C"/>
    <w:rsid w:val="0035471E"/>
    <w:rsid w:val="00357DD7"/>
    <w:rsid w:val="00360417"/>
    <w:rsid w:val="003634A8"/>
    <w:rsid w:val="00363B0A"/>
    <w:rsid w:val="00365A63"/>
    <w:rsid w:val="00366EA5"/>
    <w:rsid w:val="00367A54"/>
    <w:rsid w:val="00370B46"/>
    <w:rsid w:val="00371795"/>
    <w:rsid w:val="00371896"/>
    <w:rsid w:val="00372624"/>
    <w:rsid w:val="00372880"/>
    <w:rsid w:val="00373414"/>
    <w:rsid w:val="003739EF"/>
    <w:rsid w:val="00374F88"/>
    <w:rsid w:val="003770C1"/>
    <w:rsid w:val="003772BD"/>
    <w:rsid w:val="00377467"/>
    <w:rsid w:val="00382BD0"/>
    <w:rsid w:val="00382CC3"/>
    <w:rsid w:val="0038354F"/>
    <w:rsid w:val="00383E3A"/>
    <w:rsid w:val="00385AB5"/>
    <w:rsid w:val="003906E7"/>
    <w:rsid w:val="003947DF"/>
    <w:rsid w:val="00394C9A"/>
    <w:rsid w:val="00395397"/>
    <w:rsid w:val="003A3771"/>
    <w:rsid w:val="003A6455"/>
    <w:rsid w:val="003A76C3"/>
    <w:rsid w:val="003B1286"/>
    <w:rsid w:val="003B4392"/>
    <w:rsid w:val="003B5548"/>
    <w:rsid w:val="003B748F"/>
    <w:rsid w:val="003C13D6"/>
    <w:rsid w:val="003C249F"/>
    <w:rsid w:val="003C37D0"/>
    <w:rsid w:val="003C6103"/>
    <w:rsid w:val="003C6933"/>
    <w:rsid w:val="003C74C8"/>
    <w:rsid w:val="003C7D82"/>
    <w:rsid w:val="003D1ED7"/>
    <w:rsid w:val="003D5037"/>
    <w:rsid w:val="003D668B"/>
    <w:rsid w:val="003D66D4"/>
    <w:rsid w:val="003D6AFC"/>
    <w:rsid w:val="003D6FBE"/>
    <w:rsid w:val="003E0048"/>
    <w:rsid w:val="003E083B"/>
    <w:rsid w:val="003E23E6"/>
    <w:rsid w:val="003E273A"/>
    <w:rsid w:val="003E4FEE"/>
    <w:rsid w:val="003E502C"/>
    <w:rsid w:val="003E6756"/>
    <w:rsid w:val="003E7F0F"/>
    <w:rsid w:val="003F58F0"/>
    <w:rsid w:val="003F6153"/>
    <w:rsid w:val="003F640D"/>
    <w:rsid w:val="003F66DB"/>
    <w:rsid w:val="003F7B52"/>
    <w:rsid w:val="003F7C05"/>
    <w:rsid w:val="0040036C"/>
    <w:rsid w:val="0040216D"/>
    <w:rsid w:val="00402B6A"/>
    <w:rsid w:val="00403165"/>
    <w:rsid w:val="004038F3"/>
    <w:rsid w:val="0040432C"/>
    <w:rsid w:val="00404910"/>
    <w:rsid w:val="00405D23"/>
    <w:rsid w:val="004061B6"/>
    <w:rsid w:val="004061E0"/>
    <w:rsid w:val="004067DD"/>
    <w:rsid w:val="00412C97"/>
    <w:rsid w:val="0041470B"/>
    <w:rsid w:val="004164A4"/>
    <w:rsid w:val="00417ACE"/>
    <w:rsid w:val="00423815"/>
    <w:rsid w:val="00424E0A"/>
    <w:rsid w:val="004267C6"/>
    <w:rsid w:val="004321A9"/>
    <w:rsid w:val="004324E4"/>
    <w:rsid w:val="004335D5"/>
    <w:rsid w:val="004344CF"/>
    <w:rsid w:val="00435C9E"/>
    <w:rsid w:val="0043656D"/>
    <w:rsid w:val="00436AB8"/>
    <w:rsid w:val="00437521"/>
    <w:rsid w:val="004404B7"/>
    <w:rsid w:val="0044059A"/>
    <w:rsid w:val="00442551"/>
    <w:rsid w:val="00443BC5"/>
    <w:rsid w:val="004441B6"/>
    <w:rsid w:val="004448F7"/>
    <w:rsid w:val="00444A0B"/>
    <w:rsid w:val="00444F03"/>
    <w:rsid w:val="004471AB"/>
    <w:rsid w:val="00447DB7"/>
    <w:rsid w:val="00451C46"/>
    <w:rsid w:val="004526C3"/>
    <w:rsid w:val="00452E91"/>
    <w:rsid w:val="00452FF0"/>
    <w:rsid w:val="00452FF9"/>
    <w:rsid w:val="00453555"/>
    <w:rsid w:val="0045616D"/>
    <w:rsid w:val="0045741D"/>
    <w:rsid w:val="004600FA"/>
    <w:rsid w:val="00462722"/>
    <w:rsid w:val="0046487A"/>
    <w:rsid w:val="00471370"/>
    <w:rsid w:val="004757FE"/>
    <w:rsid w:val="00475809"/>
    <w:rsid w:val="004762B1"/>
    <w:rsid w:val="004774DC"/>
    <w:rsid w:val="00482F4E"/>
    <w:rsid w:val="004840EE"/>
    <w:rsid w:val="00484964"/>
    <w:rsid w:val="0048598B"/>
    <w:rsid w:val="004868DA"/>
    <w:rsid w:val="0048690F"/>
    <w:rsid w:val="00490470"/>
    <w:rsid w:val="004917C4"/>
    <w:rsid w:val="0049190D"/>
    <w:rsid w:val="00491D76"/>
    <w:rsid w:val="004940B4"/>
    <w:rsid w:val="0049527A"/>
    <w:rsid w:val="0049576B"/>
    <w:rsid w:val="004A2C9E"/>
    <w:rsid w:val="004A3CBB"/>
    <w:rsid w:val="004A3EBF"/>
    <w:rsid w:val="004A7520"/>
    <w:rsid w:val="004A79FA"/>
    <w:rsid w:val="004A7F0D"/>
    <w:rsid w:val="004B071D"/>
    <w:rsid w:val="004B14D2"/>
    <w:rsid w:val="004B3EA1"/>
    <w:rsid w:val="004B44C7"/>
    <w:rsid w:val="004B527D"/>
    <w:rsid w:val="004B5661"/>
    <w:rsid w:val="004C21C0"/>
    <w:rsid w:val="004C260E"/>
    <w:rsid w:val="004C2EFD"/>
    <w:rsid w:val="004C7D5D"/>
    <w:rsid w:val="004D0423"/>
    <w:rsid w:val="004D075B"/>
    <w:rsid w:val="004D1C8E"/>
    <w:rsid w:val="004D1FD9"/>
    <w:rsid w:val="004D3CFD"/>
    <w:rsid w:val="004D4480"/>
    <w:rsid w:val="004D53FB"/>
    <w:rsid w:val="004D60F4"/>
    <w:rsid w:val="004E1B55"/>
    <w:rsid w:val="004E2B8E"/>
    <w:rsid w:val="004E5D64"/>
    <w:rsid w:val="004E63F2"/>
    <w:rsid w:val="004E7243"/>
    <w:rsid w:val="004F16BB"/>
    <w:rsid w:val="004F1A60"/>
    <w:rsid w:val="004F1CD3"/>
    <w:rsid w:val="004F315A"/>
    <w:rsid w:val="004F342C"/>
    <w:rsid w:val="004F3B4E"/>
    <w:rsid w:val="004F43FD"/>
    <w:rsid w:val="00500431"/>
    <w:rsid w:val="005005F1"/>
    <w:rsid w:val="00503427"/>
    <w:rsid w:val="005039CD"/>
    <w:rsid w:val="00503ADA"/>
    <w:rsid w:val="005056AB"/>
    <w:rsid w:val="005079DF"/>
    <w:rsid w:val="00510B7C"/>
    <w:rsid w:val="0051119C"/>
    <w:rsid w:val="00512CFC"/>
    <w:rsid w:val="00512F10"/>
    <w:rsid w:val="005156F8"/>
    <w:rsid w:val="00516F82"/>
    <w:rsid w:val="0052027E"/>
    <w:rsid w:val="005205B1"/>
    <w:rsid w:val="00521020"/>
    <w:rsid w:val="00523AEC"/>
    <w:rsid w:val="00532B38"/>
    <w:rsid w:val="00534A58"/>
    <w:rsid w:val="0054005C"/>
    <w:rsid w:val="00540C95"/>
    <w:rsid w:val="005412B6"/>
    <w:rsid w:val="005442F0"/>
    <w:rsid w:val="005445F9"/>
    <w:rsid w:val="00546E80"/>
    <w:rsid w:val="00552EA2"/>
    <w:rsid w:val="0055369D"/>
    <w:rsid w:val="0055502F"/>
    <w:rsid w:val="005553A8"/>
    <w:rsid w:val="00555594"/>
    <w:rsid w:val="005579AF"/>
    <w:rsid w:val="00560679"/>
    <w:rsid w:val="00570E9A"/>
    <w:rsid w:val="005717F7"/>
    <w:rsid w:val="00571E1D"/>
    <w:rsid w:val="00573B8F"/>
    <w:rsid w:val="005766E8"/>
    <w:rsid w:val="00576738"/>
    <w:rsid w:val="00576CFC"/>
    <w:rsid w:val="00581A1E"/>
    <w:rsid w:val="005837F6"/>
    <w:rsid w:val="00585326"/>
    <w:rsid w:val="00586F79"/>
    <w:rsid w:val="005917B7"/>
    <w:rsid w:val="00591EA7"/>
    <w:rsid w:val="00592A67"/>
    <w:rsid w:val="00593AE9"/>
    <w:rsid w:val="0059413F"/>
    <w:rsid w:val="00595646"/>
    <w:rsid w:val="00596D67"/>
    <w:rsid w:val="00597CF9"/>
    <w:rsid w:val="005A2767"/>
    <w:rsid w:val="005A2B2E"/>
    <w:rsid w:val="005A2D0F"/>
    <w:rsid w:val="005A5178"/>
    <w:rsid w:val="005B124B"/>
    <w:rsid w:val="005B3B95"/>
    <w:rsid w:val="005C1478"/>
    <w:rsid w:val="005C2638"/>
    <w:rsid w:val="005C38A2"/>
    <w:rsid w:val="005C7449"/>
    <w:rsid w:val="005C762B"/>
    <w:rsid w:val="005D4A55"/>
    <w:rsid w:val="005D4D44"/>
    <w:rsid w:val="005D699F"/>
    <w:rsid w:val="005E071F"/>
    <w:rsid w:val="005E14D1"/>
    <w:rsid w:val="005E42FF"/>
    <w:rsid w:val="005E61DA"/>
    <w:rsid w:val="005E67D7"/>
    <w:rsid w:val="005F2460"/>
    <w:rsid w:val="005F59A6"/>
    <w:rsid w:val="005F5D7E"/>
    <w:rsid w:val="005F7048"/>
    <w:rsid w:val="005F7754"/>
    <w:rsid w:val="006004E2"/>
    <w:rsid w:val="006035F5"/>
    <w:rsid w:val="00603DA6"/>
    <w:rsid w:val="0060607D"/>
    <w:rsid w:val="0061123E"/>
    <w:rsid w:val="00611B05"/>
    <w:rsid w:val="00616AAF"/>
    <w:rsid w:val="00622B73"/>
    <w:rsid w:val="00623441"/>
    <w:rsid w:val="0062773A"/>
    <w:rsid w:val="00630719"/>
    <w:rsid w:val="00633CFF"/>
    <w:rsid w:val="00635685"/>
    <w:rsid w:val="006361B9"/>
    <w:rsid w:val="006375AF"/>
    <w:rsid w:val="006408EE"/>
    <w:rsid w:val="006410D0"/>
    <w:rsid w:val="00645B53"/>
    <w:rsid w:val="006461EA"/>
    <w:rsid w:val="00646C15"/>
    <w:rsid w:val="0064760A"/>
    <w:rsid w:val="00652C39"/>
    <w:rsid w:val="00652DEB"/>
    <w:rsid w:val="00653EA5"/>
    <w:rsid w:val="006551E8"/>
    <w:rsid w:val="00655A56"/>
    <w:rsid w:val="00655C30"/>
    <w:rsid w:val="006567F1"/>
    <w:rsid w:val="006576B3"/>
    <w:rsid w:val="00657F6F"/>
    <w:rsid w:val="006657AC"/>
    <w:rsid w:val="00666818"/>
    <w:rsid w:val="00667F6B"/>
    <w:rsid w:val="00673906"/>
    <w:rsid w:val="006744C0"/>
    <w:rsid w:val="006801CC"/>
    <w:rsid w:val="00680F99"/>
    <w:rsid w:val="00681347"/>
    <w:rsid w:val="00683170"/>
    <w:rsid w:val="0068347D"/>
    <w:rsid w:val="006842BF"/>
    <w:rsid w:val="00684E06"/>
    <w:rsid w:val="00684E5D"/>
    <w:rsid w:val="00687263"/>
    <w:rsid w:val="00690EF9"/>
    <w:rsid w:val="006942CC"/>
    <w:rsid w:val="00694504"/>
    <w:rsid w:val="00694FF4"/>
    <w:rsid w:val="006964A0"/>
    <w:rsid w:val="00697001"/>
    <w:rsid w:val="006A059E"/>
    <w:rsid w:val="006A0F36"/>
    <w:rsid w:val="006A26B3"/>
    <w:rsid w:val="006A304B"/>
    <w:rsid w:val="006A7F79"/>
    <w:rsid w:val="006B46DE"/>
    <w:rsid w:val="006B47FF"/>
    <w:rsid w:val="006B56F7"/>
    <w:rsid w:val="006B6B6B"/>
    <w:rsid w:val="006C15E0"/>
    <w:rsid w:val="006C2FD8"/>
    <w:rsid w:val="006C312F"/>
    <w:rsid w:val="006C653E"/>
    <w:rsid w:val="006C6CD2"/>
    <w:rsid w:val="006C7E08"/>
    <w:rsid w:val="006D1172"/>
    <w:rsid w:val="006D44AB"/>
    <w:rsid w:val="006D4AD1"/>
    <w:rsid w:val="006D5F9A"/>
    <w:rsid w:val="006D7054"/>
    <w:rsid w:val="006E001D"/>
    <w:rsid w:val="006E1D07"/>
    <w:rsid w:val="006E2AC8"/>
    <w:rsid w:val="006E364A"/>
    <w:rsid w:val="006E55AA"/>
    <w:rsid w:val="006E7775"/>
    <w:rsid w:val="006F0601"/>
    <w:rsid w:val="006F11AC"/>
    <w:rsid w:val="006F3E9B"/>
    <w:rsid w:val="006F683A"/>
    <w:rsid w:val="006F6B4D"/>
    <w:rsid w:val="006F7E99"/>
    <w:rsid w:val="007009FF"/>
    <w:rsid w:val="007011CE"/>
    <w:rsid w:val="00701985"/>
    <w:rsid w:val="00703147"/>
    <w:rsid w:val="00705E6D"/>
    <w:rsid w:val="00711871"/>
    <w:rsid w:val="007173DB"/>
    <w:rsid w:val="00717E58"/>
    <w:rsid w:val="007200F1"/>
    <w:rsid w:val="00720BF0"/>
    <w:rsid w:val="00721594"/>
    <w:rsid w:val="00722213"/>
    <w:rsid w:val="00724E4D"/>
    <w:rsid w:val="007253A0"/>
    <w:rsid w:val="00730ADC"/>
    <w:rsid w:val="00732044"/>
    <w:rsid w:val="00732D74"/>
    <w:rsid w:val="00733634"/>
    <w:rsid w:val="007338F1"/>
    <w:rsid w:val="00736E6C"/>
    <w:rsid w:val="00737123"/>
    <w:rsid w:val="00740898"/>
    <w:rsid w:val="00743121"/>
    <w:rsid w:val="00744574"/>
    <w:rsid w:val="0074510F"/>
    <w:rsid w:val="007475B2"/>
    <w:rsid w:val="007517B3"/>
    <w:rsid w:val="00752D42"/>
    <w:rsid w:val="00753CD5"/>
    <w:rsid w:val="007549BC"/>
    <w:rsid w:val="00760DD2"/>
    <w:rsid w:val="007648DD"/>
    <w:rsid w:val="00772D58"/>
    <w:rsid w:val="007741B0"/>
    <w:rsid w:val="00777457"/>
    <w:rsid w:val="00780541"/>
    <w:rsid w:val="00785E42"/>
    <w:rsid w:val="007920F2"/>
    <w:rsid w:val="007928F7"/>
    <w:rsid w:val="00794D68"/>
    <w:rsid w:val="0079570A"/>
    <w:rsid w:val="007A1213"/>
    <w:rsid w:val="007A5F35"/>
    <w:rsid w:val="007A72C7"/>
    <w:rsid w:val="007A72FB"/>
    <w:rsid w:val="007A7337"/>
    <w:rsid w:val="007B1214"/>
    <w:rsid w:val="007B40B2"/>
    <w:rsid w:val="007B41BE"/>
    <w:rsid w:val="007B4776"/>
    <w:rsid w:val="007B5B67"/>
    <w:rsid w:val="007B61F2"/>
    <w:rsid w:val="007B76AB"/>
    <w:rsid w:val="007C0DF0"/>
    <w:rsid w:val="007C34D4"/>
    <w:rsid w:val="007C488E"/>
    <w:rsid w:val="007C5E9F"/>
    <w:rsid w:val="007C635D"/>
    <w:rsid w:val="007C6D27"/>
    <w:rsid w:val="007D4C93"/>
    <w:rsid w:val="007D522B"/>
    <w:rsid w:val="007D55E2"/>
    <w:rsid w:val="007D63E4"/>
    <w:rsid w:val="007E39DD"/>
    <w:rsid w:val="007E50E4"/>
    <w:rsid w:val="007E55DC"/>
    <w:rsid w:val="007F0994"/>
    <w:rsid w:val="007F2CCB"/>
    <w:rsid w:val="007F3326"/>
    <w:rsid w:val="007F338C"/>
    <w:rsid w:val="007F3EB0"/>
    <w:rsid w:val="007F4398"/>
    <w:rsid w:val="007F49F0"/>
    <w:rsid w:val="007F77AB"/>
    <w:rsid w:val="00800A95"/>
    <w:rsid w:val="00801CFB"/>
    <w:rsid w:val="008022F8"/>
    <w:rsid w:val="00802D07"/>
    <w:rsid w:val="00804A8D"/>
    <w:rsid w:val="00805EC7"/>
    <w:rsid w:val="00810983"/>
    <w:rsid w:val="0081115F"/>
    <w:rsid w:val="00812374"/>
    <w:rsid w:val="00812F94"/>
    <w:rsid w:val="00814BE2"/>
    <w:rsid w:val="008205B6"/>
    <w:rsid w:val="00827030"/>
    <w:rsid w:val="00827D5C"/>
    <w:rsid w:val="00827EB1"/>
    <w:rsid w:val="00832EFE"/>
    <w:rsid w:val="008333EF"/>
    <w:rsid w:val="00834096"/>
    <w:rsid w:val="00834275"/>
    <w:rsid w:val="00835253"/>
    <w:rsid w:val="00837FD8"/>
    <w:rsid w:val="00840249"/>
    <w:rsid w:val="008433A0"/>
    <w:rsid w:val="008509F9"/>
    <w:rsid w:val="008519AB"/>
    <w:rsid w:val="00854D5A"/>
    <w:rsid w:val="00855E03"/>
    <w:rsid w:val="008567D1"/>
    <w:rsid w:val="008578CE"/>
    <w:rsid w:val="008614A4"/>
    <w:rsid w:val="00864820"/>
    <w:rsid w:val="008657B8"/>
    <w:rsid w:val="00865B7A"/>
    <w:rsid w:val="00866466"/>
    <w:rsid w:val="00866C4F"/>
    <w:rsid w:val="00866F2D"/>
    <w:rsid w:val="00872CBA"/>
    <w:rsid w:val="00872D63"/>
    <w:rsid w:val="00873756"/>
    <w:rsid w:val="008777F9"/>
    <w:rsid w:val="00877D36"/>
    <w:rsid w:val="00880B29"/>
    <w:rsid w:val="0088413E"/>
    <w:rsid w:val="00887E30"/>
    <w:rsid w:val="0089060A"/>
    <w:rsid w:val="008908D1"/>
    <w:rsid w:val="00891B64"/>
    <w:rsid w:val="00892CEF"/>
    <w:rsid w:val="00893781"/>
    <w:rsid w:val="00895EDA"/>
    <w:rsid w:val="008A21D1"/>
    <w:rsid w:val="008A4104"/>
    <w:rsid w:val="008A4764"/>
    <w:rsid w:val="008A50E6"/>
    <w:rsid w:val="008A5B61"/>
    <w:rsid w:val="008A6C61"/>
    <w:rsid w:val="008A792E"/>
    <w:rsid w:val="008B184A"/>
    <w:rsid w:val="008B249B"/>
    <w:rsid w:val="008B28C9"/>
    <w:rsid w:val="008B29B6"/>
    <w:rsid w:val="008B3606"/>
    <w:rsid w:val="008B3A9F"/>
    <w:rsid w:val="008B3AFF"/>
    <w:rsid w:val="008B3B3D"/>
    <w:rsid w:val="008B410E"/>
    <w:rsid w:val="008B6DA0"/>
    <w:rsid w:val="008B7006"/>
    <w:rsid w:val="008C0813"/>
    <w:rsid w:val="008C0845"/>
    <w:rsid w:val="008C1785"/>
    <w:rsid w:val="008C2110"/>
    <w:rsid w:val="008C5677"/>
    <w:rsid w:val="008C5E58"/>
    <w:rsid w:val="008C7D81"/>
    <w:rsid w:val="008D2767"/>
    <w:rsid w:val="008D4CD4"/>
    <w:rsid w:val="008D4E7D"/>
    <w:rsid w:val="008E0677"/>
    <w:rsid w:val="008E0C13"/>
    <w:rsid w:val="008E1F27"/>
    <w:rsid w:val="008E4C6B"/>
    <w:rsid w:val="008F5492"/>
    <w:rsid w:val="008F6E02"/>
    <w:rsid w:val="008F7FF1"/>
    <w:rsid w:val="0090036F"/>
    <w:rsid w:val="00902760"/>
    <w:rsid w:val="00903852"/>
    <w:rsid w:val="0090393D"/>
    <w:rsid w:val="009044AB"/>
    <w:rsid w:val="00907A4C"/>
    <w:rsid w:val="00907F15"/>
    <w:rsid w:val="009108EC"/>
    <w:rsid w:val="00917A92"/>
    <w:rsid w:val="009202B9"/>
    <w:rsid w:val="00921FF0"/>
    <w:rsid w:val="00923772"/>
    <w:rsid w:val="00924CEF"/>
    <w:rsid w:val="00924D87"/>
    <w:rsid w:val="00930AA3"/>
    <w:rsid w:val="00932DC6"/>
    <w:rsid w:val="00933AED"/>
    <w:rsid w:val="00944CCA"/>
    <w:rsid w:val="0094610C"/>
    <w:rsid w:val="00946B60"/>
    <w:rsid w:val="00952AE5"/>
    <w:rsid w:val="00953D1A"/>
    <w:rsid w:val="00955FBA"/>
    <w:rsid w:val="00965BA6"/>
    <w:rsid w:val="00967D9B"/>
    <w:rsid w:val="00975504"/>
    <w:rsid w:val="00977F82"/>
    <w:rsid w:val="0098095E"/>
    <w:rsid w:val="00980F1D"/>
    <w:rsid w:val="009818B2"/>
    <w:rsid w:val="00982E2D"/>
    <w:rsid w:val="009830F9"/>
    <w:rsid w:val="00985D20"/>
    <w:rsid w:val="00985F13"/>
    <w:rsid w:val="00986A71"/>
    <w:rsid w:val="00987A68"/>
    <w:rsid w:val="00991095"/>
    <w:rsid w:val="00991132"/>
    <w:rsid w:val="0099308F"/>
    <w:rsid w:val="0099711D"/>
    <w:rsid w:val="009975C5"/>
    <w:rsid w:val="00997DAF"/>
    <w:rsid w:val="009A0F33"/>
    <w:rsid w:val="009A2669"/>
    <w:rsid w:val="009A295C"/>
    <w:rsid w:val="009B07C2"/>
    <w:rsid w:val="009B192F"/>
    <w:rsid w:val="009B206F"/>
    <w:rsid w:val="009B438C"/>
    <w:rsid w:val="009B520B"/>
    <w:rsid w:val="009B5A0E"/>
    <w:rsid w:val="009B5C6A"/>
    <w:rsid w:val="009C094F"/>
    <w:rsid w:val="009C1B6D"/>
    <w:rsid w:val="009C2F61"/>
    <w:rsid w:val="009C5495"/>
    <w:rsid w:val="009C7744"/>
    <w:rsid w:val="009D5050"/>
    <w:rsid w:val="009D5309"/>
    <w:rsid w:val="009E24AF"/>
    <w:rsid w:val="009E2CF7"/>
    <w:rsid w:val="009E3FF5"/>
    <w:rsid w:val="009E6E5E"/>
    <w:rsid w:val="009F0BC5"/>
    <w:rsid w:val="009F3EEC"/>
    <w:rsid w:val="009F63B6"/>
    <w:rsid w:val="009F6DE0"/>
    <w:rsid w:val="009F771D"/>
    <w:rsid w:val="009F7F87"/>
    <w:rsid w:val="00A022F8"/>
    <w:rsid w:val="00A03264"/>
    <w:rsid w:val="00A03BC1"/>
    <w:rsid w:val="00A042E0"/>
    <w:rsid w:val="00A056CA"/>
    <w:rsid w:val="00A14D04"/>
    <w:rsid w:val="00A15C00"/>
    <w:rsid w:val="00A1792A"/>
    <w:rsid w:val="00A17E1F"/>
    <w:rsid w:val="00A20E5C"/>
    <w:rsid w:val="00A2239A"/>
    <w:rsid w:val="00A23A64"/>
    <w:rsid w:val="00A246B3"/>
    <w:rsid w:val="00A2598B"/>
    <w:rsid w:val="00A26966"/>
    <w:rsid w:val="00A275A7"/>
    <w:rsid w:val="00A309CC"/>
    <w:rsid w:val="00A32D19"/>
    <w:rsid w:val="00A3309D"/>
    <w:rsid w:val="00A34399"/>
    <w:rsid w:val="00A35754"/>
    <w:rsid w:val="00A362F9"/>
    <w:rsid w:val="00A4132F"/>
    <w:rsid w:val="00A434BB"/>
    <w:rsid w:val="00A43636"/>
    <w:rsid w:val="00A449C2"/>
    <w:rsid w:val="00A45FF7"/>
    <w:rsid w:val="00A51AD9"/>
    <w:rsid w:val="00A54734"/>
    <w:rsid w:val="00A54C09"/>
    <w:rsid w:val="00A55810"/>
    <w:rsid w:val="00A635C9"/>
    <w:rsid w:val="00A64302"/>
    <w:rsid w:val="00A65062"/>
    <w:rsid w:val="00A67001"/>
    <w:rsid w:val="00A70D8B"/>
    <w:rsid w:val="00A74116"/>
    <w:rsid w:val="00A76ACA"/>
    <w:rsid w:val="00A76C09"/>
    <w:rsid w:val="00A776FC"/>
    <w:rsid w:val="00A8061A"/>
    <w:rsid w:val="00A81134"/>
    <w:rsid w:val="00A8116B"/>
    <w:rsid w:val="00A824B7"/>
    <w:rsid w:val="00A830CB"/>
    <w:rsid w:val="00A84559"/>
    <w:rsid w:val="00A84DA3"/>
    <w:rsid w:val="00A853EB"/>
    <w:rsid w:val="00A86C59"/>
    <w:rsid w:val="00A87DFD"/>
    <w:rsid w:val="00A9170D"/>
    <w:rsid w:val="00A94015"/>
    <w:rsid w:val="00A97350"/>
    <w:rsid w:val="00AA009D"/>
    <w:rsid w:val="00AA1221"/>
    <w:rsid w:val="00AA2476"/>
    <w:rsid w:val="00AA4847"/>
    <w:rsid w:val="00AA4E46"/>
    <w:rsid w:val="00AA6201"/>
    <w:rsid w:val="00AA635F"/>
    <w:rsid w:val="00AA6E25"/>
    <w:rsid w:val="00AB0E6E"/>
    <w:rsid w:val="00AB1A8C"/>
    <w:rsid w:val="00AB1D75"/>
    <w:rsid w:val="00AB6B10"/>
    <w:rsid w:val="00AB7B32"/>
    <w:rsid w:val="00AB7ED2"/>
    <w:rsid w:val="00AC389E"/>
    <w:rsid w:val="00AC456E"/>
    <w:rsid w:val="00AC47F1"/>
    <w:rsid w:val="00AC5CBE"/>
    <w:rsid w:val="00AD1D88"/>
    <w:rsid w:val="00AD2D1D"/>
    <w:rsid w:val="00AD4502"/>
    <w:rsid w:val="00AD47FD"/>
    <w:rsid w:val="00AE14B2"/>
    <w:rsid w:val="00AE50C0"/>
    <w:rsid w:val="00AE6F69"/>
    <w:rsid w:val="00AE7069"/>
    <w:rsid w:val="00AF1241"/>
    <w:rsid w:val="00AF25C1"/>
    <w:rsid w:val="00AF35CC"/>
    <w:rsid w:val="00AF50D8"/>
    <w:rsid w:val="00AF5F28"/>
    <w:rsid w:val="00AF6B09"/>
    <w:rsid w:val="00AF7EA5"/>
    <w:rsid w:val="00B002AE"/>
    <w:rsid w:val="00B01023"/>
    <w:rsid w:val="00B020CB"/>
    <w:rsid w:val="00B02102"/>
    <w:rsid w:val="00B04C72"/>
    <w:rsid w:val="00B053C9"/>
    <w:rsid w:val="00B062DA"/>
    <w:rsid w:val="00B108FD"/>
    <w:rsid w:val="00B124B8"/>
    <w:rsid w:val="00B147CA"/>
    <w:rsid w:val="00B16BBE"/>
    <w:rsid w:val="00B2211D"/>
    <w:rsid w:val="00B23204"/>
    <w:rsid w:val="00B240F6"/>
    <w:rsid w:val="00B2626D"/>
    <w:rsid w:val="00B320CA"/>
    <w:rsid w:val="00B32661"/>
    <w:rsid w:val="00B3298E"/>
    <w:rsid w:val="00B3677C"/>
    <w:rsid w:val="00B369FF"/>
    <w:rsid w:val="00B36CA1"/>
    <w:rsid w:val="00B4159F"/>
    <w:rsid w:val="00B437ED"/>
    <w:rsid w:val="00B44BA5"/>
    <w:rsid w:val="00B45A4C"/>
    <w:rsid w:val="00B46351"/>
    <w:rsid w:val="00B46CDD"/>
    <w:rsid w:val="00B4728A"/>
    <w:rsid w:val="00B53E9B"/>
    <w:rsid w:val="00B5459F"/>
    <w:rsid w:val="00B54999"/>
    <w:rsid w:val="00B5640B"/>
    <w:rsid w:val="00B60BCB"/>
    <w:rsid w:val="00B6274D"/>
    <w:rsid w:val="00B6403B"/>
    <w:rsid w:val="00B647B9"/>
    <w:rsid w:val="00B64A91"/>
    <w:rsid w:val="00B67772"/>
    <w:rsid w:val="00B704F5"/>
    <w:rsid w:val="00B70871"/>
    <w:rsid w:val="00B719C8"/>
    <w:rsid w:val="00B72CCA"/>
    <w:rsid w:val="00B73722"/>
    <w:rsid w:val="00B73D32"/>
    <w:rsid w:val="00B760B4"/>
    <w:rsid w:val="00B77CEC"/>
    <w:rsid w:val="00B82AE2"/>
    <w:rsid w:val="00B82C5D"/>
    <w:rsid w:val="00B857A2"/>
    <w:rsid w:val="00B9128F"/>
    <w:rsid w:val="00B95493"/>
    <w:rsid w:val="00B95D80"/>
    <w:rsid w:val="00B96965"/>
    <w:rsid w:val="00B96EF8"/>
    <w:rsid w:val="00B96F30"/>
    <w:rsid w:val="00BA011F"/>
    <w:rsid w:val="00BA2AA2"/>
    <w:rsid w:val="00BA70C7"/>
    <w:rsid w:val="00BA74B5"/>
    <w:rsid w:val="00BB1B25"/>
    <w:rsid w:val="00BB603D"/>
    <w:rsid w:val="00BB66D2"/>
    <w:rsid w:val="00BB6F26"/>
    <w:rsid w:val="00BC0E83"/>
    <w:rsid w:val="00BC3153"/>
    <w:rsid w:val="00BD0833"/>
    <w:rsid w:val="00BD0B4F"/>
    <w:rsid w:val="00BD13DB"/>
    <w:rsid w:val="00BD15B6"/>
    <w:rsid w:val="00BD2B21"/>
    <w:rsid w:val="00BD2FEA"/>
    <w:rsid w:val="00BD3EF4"/>
    <w:rsid w:val="00BD4BA6"/>
    <w:rsid w:val="00BD7889"/>
    <w:rsid w:val="00BE1C77"/>
    <w:rsid w:val="00BE1FD5"/>
    <w:rsid w:val="00BE535C"/>
    <w:rsid w:val="00BE5A79"/>
    <w:rsid w:val="00BF0E30"/>
    <w:rsid w:val="00BF1AC3"/>
    <w:rsid w:val="00BF3ED1"/>
    <w:rsid w:val="00BF46EB"/>
    <w:rsid w:val="00BF5047"/>
    <w:rsid w:val="00BF5350"/>
    <w:rsid w:val="00BF68C0"/>
    <w:rsid w:val="00C00923"/>
    <w:rsid w:val="00C017F2"/>
    <w:rsid w:val="00C04DCC"/>
    <w:rsid w:val="00C06A3E"/>
    <w:rsid w:val="00C10483"/>
    <w:rsid w:val="00C1411C"/>
    <w:rsid w:val="00C15018"/>
    <w:rsid w:val="00C166AF"/>
    <w:rsid w:val="00C20034"/>
    <w:rsid w:val="00C219B7"/>
    <w:rsid w:val="00C2274C"/>
    <w:rsid w:val="00C22A04"/>
    <w:rsid w:val="00C22CA4"/>
    <w:rsid w:val="00C23A91"/>
    <w:rsid w:val="00C24985"/>
    <w:rsid w:val="00C258E1"/>
    <w:rsid w:val="00C26E1B"/>
    <w:rsid w:val="00C272DC"/>
    <w:rsid w:val="00C27E83"/>
    <w:rsid w:val="00C308CC"/>
    <w:rsid w:val="00C31353"/>
    <w:rsid w:val="00C346D8"/>
    <w:rsid w:val="00C3489E"/>
    <w:rsid w:val="00C4008C"/>
    <w:rsid w:val="00C403F3"/>
    <w:rsid w:val="00C41234"/>
    <w:rsid w:val="00C417BB"/>
    <w:rsid w:val="00C41EB3"/>
    <w:rsid w:val="00C4214C"/>
    <w:rsid w:val="00C42522"/>
    <w:rsid w:val="00C428E3"/>
    <w:rsid w:val="00C47BEA"/>
    <w:rsid w:val="00C50859"/>
    <w:rsid w:val="00C51E79"/>
    <w:rsid w:val="00C55207"/>
    <w:rsid w:val="00C55AF4"/>
    <w:rsid w:val="00C55B1C"/>
    <w:rsid w:val="00C57637"/>
    <w:rsid w:val="00C62595"/>
    <w:rsid w:val="00C62E6F"/>
    <w:rsid w:val="00C649C6"/>
    <w:rsid w:val="00C64C17"/>
    <w:rsid w:val="00C65686"/>
    <w:rsid w:val="00C66212"/>
    <w:rsid w:val="00C67C13"/>
    <w:rsid w:val="00C73019"/>
    <w:rsid w:val="00C73037"/>
    <w:rsid w:val="00C74416"/>
    <w:rsid w:val="00C75F2F"/>
    <w:rsid w:val="00C773C7"/>
    <w:rsid w:val="00C77A90"/>
    <w:rsid w:val="00C91865"/>
    <w:rsid w:val="00C92EB1"/>
    <w:rsid w:val="00C97D7E"/>
    <w:rsid w:val="00CA145A"/>
    <w:rsid w:val="00CA29B4"/>
    <w:rsid w:val="00CA777A"/>
    <w:rsid w:val="00CB7B0A"/>
    <w:rsid w:val="00CC02B6"/>
    <w:rsid w:val="00CC2489"/>
    <w:rsid w:val="00CC33A4"/>
    <w:rsid w:val="00CD1717"/>
    <w:rsid w:val="00CD1959"/>
    <w:rsid w:val="00CD3122"/>
    <w:rsid w:val="00CD6DC8"/>
    <w:rsid w:val="00CD7268"/>
    <w:rsid w:val="00CE251F"/>
    <w:rsid w:val="00CE58C0"/>
    <w:rsid w:val="00CE5DB0"/>
    <w:rsid w:val="00CF1AFC"/>
    <w:rsid w:val="00CF6BA6"/>
    <w:rsid w:val="00D01702"/>
    <w:rsid w:val="00D027CB"/>
    <w:rsid w:val="00D04FA8"/>
    <w:rsid w:val="00D131B8"/>
    <w:rsid w:val="00D14E4F"/>
    <w:rsid w:val="00D15583"/>
    <w:rsid w:val="00D1558C"/>
    <w:rsid w:val="00D17978"/>
    <w:rsid w:val="00D21F77"/>
    <w:rsid w:val="00D23DD1"/>
    <w:rsid w:val="00D27175"/>
    <w:rsid w:val="00D27AAA"/>
    <w:rsid w:val="00D27B76"/>
    <w:rsid w:val="00D304A9"/>
    <w:rsid w:val="00D3090A"/>
    <w:rsid w:val="00D3146E"/>
    <w:rsid w:val="00D31E9E"/>
    <w:rsid w:val="00D33E3B"/>
    <w:rsid w:val="00D35A55"/>
    <w:rsid w:val="00D40DAC"/>
    <w:rsid w:val="00D41182"/>
    <w:rsid w:val="00D47925"/>
    <w:rsid w:val="00D53D4F"/>
    <w:rsid w:val="00D555C9"/>
    <w:rsid w:val="00D55F64"/>
    <w:rsid w:val="00D61FCA"/>
    <w:rsid w:val="00D62A2B"/>
    <w:rsid w:val="00D6351A"/>
    <w:rsid w:val="00D642A7"/>
    <w:rsid w:val="00D654C1"/>
    <w:rsid w:val="00D67940"/>
    <w:rsid w:val="00D67AB3"/>
    <w:rsid w:val="00D722BB"/>
    <w:rsid w:val="00D7237F"/>
    <w:rsid w:val="00D732AA"/>
    <w:rsid w:val="00D74DF6"/>
    <w:rsid w:val="00D76401"/>
    <w:rsid w:val="00D7679E"/>
    <w:rsid w:val="00D76CEA"/>
    <w:rsid w:val="00D808D0"/>
    <w:rsid w:val="00D81028"/>
    <w:rsid w:val="00D81C59"/>
    <w:rsid w:val="00D86EFB"/>
    <w:rsid w:val="00D87414"/>
    <w:rsid w:val="00D87470"/>
    <w:rsid w:val="00D92123"/>
    <w:rsid w:val="00D92FFC"/>
    <w:rsid w:val="00D93447"/>
    <w:rsid w:val="00D93656"/>
    <w:rsid w:val="00D94047"/>
    <w:rsid w:val="00D94643"/>
    <w:rsid w:val="00D973D5"/>
    <w:rsid w:val="00D97B4E"/>
    <w:rsid w:val="00DA1D2A"/>
    <w:rsid w:val="00DA6928"/>
    <w:rsid w:val="00DA7C58"/>
    <w:rsid w:val="00DA7E34"/>
    <w:rsid w:val="00DB02EE"/>
    <w:rsid w:val="00DB3523"/>
    <w:rsid w:val="00DB4AA4"/>
    <w:rsid w:val="00DC2295"/>
    <w:rsid w:val="00DC47E2"/>
    <w:rsid w:val="00DC4A4E"/>
    <w:rsid w:val="00DC4C84"/>
    <w:rsid w:val="00DC67E7"/>
    <w:rsid w:val="00DD3994"/>
    <w:rsid w:val="00DD48B5"/>
    <w:rsid w:val="00DD61DB"/>
    <w:rsid w:val="00DD668C"/>
    <w:rsid w:val="00DD68FF"/>
    <w:rsid w:val="00DD7EA5"/>
    <w:rsid w:val="00DE3225"/>
    <w:rsid w:val="00DE50CB"/>
    <w:rsid w:val="00DE6D57"/>
    <w:rsid w:val="00DE7143"/>
    <w:rsid w:val="00DF0153"/>
    <w:rsid w:val="00DF10C0"/>
    <w:rsid w:val="00E02060"/>
    <w:rsid w:val="00E02956"/>
    <w:rsid w:val="00E02D53"/>
    <w:rsid w:val="00E0743C"/>
    <w:rsid w:val="00E0789F"/>
    <w:rsid w:val="00E13672"/>
    <w:rsid w:val="00E1379C"/>
    <w:rsid w:val="00E20294"/>
    <w:rsid w:val="00E20513"/>
    <w:rsid w:val="00E2164B"/>
    <w:rsid w:val="00E22A49"/>
    <w:rsid w:val="00E23BBA"/>
    <w:rsid w:val="00E25DDE"/>
    <w:rsid w:val="00E2603C"/>
    <w:rsid w:val="00E26DB8"/>
    <w:rsid w:val="00E27AAE"/>
    <w:rsid w:val="00E31722"/>
    <w:rsid w:val="00E41C7C"/>
    <w:rsid w:val="00E45DD4"/>
    <w:rsid w:val="00E467BB"/>
    <w:rsid w:val="00E47F8A"/>
    <w:rsid w:val="00E51E0C"/>
    <w:rsid w:val="00E54690"/>
    <w:rsid w:val="00E54FCC"/>
    <w:rsid w:val="00E5798C"/>
    <w:rsid w:val="00E621A7"/>
    <w:rsid w:val="00E66DF4"/>
    <w:rsid w:val="00E67E14"/>
    <w:rsid w:val="00E706F0"/>
    <w:rsid w:val="00E70A83"/>
    <w:rsid w:val="00E71A4A"/>
    <w:rsid w:val="00E7274A"/>
    <w:rsid w:val="00E7542E"/>
    <w:rsid w:val="00E77A16"/>
    <w:rsid w:val="00E817D7"/>
    <w:rsid w:val="00E81A57"/>
    <w:rsid w:val="00E833FB"/>
    <w:rsid w:val="00E84495"/>
    <w:rsid w:val="00E85356"/>
    <w:rsid w:val="00E85D40"/>
    <w:rsid w:val="00E87442"/>
    <w:rsid w:val="00E9016E"/>
    <w:rsid w:val="00E910F5"/>
    <w:rsid w:val="00E924BD"/>
    <w:rsid w:val="00E947B3"/>
    <w:rsid w:val="00E9503A"/>
    <w:rsid w:val="00E96AB1"/>
    <w:rsid w:val="00E974D2"/>
    <w:rsid w:val="00E97514"/>
    <w:rsid w:val="00E97A5B"/>
    <w:rsid w:val="00EA180B"/>
    <w:rsid w:val="00EA2D13"/>
    <w:rsid w:val="00EA3AC9"/>
    <w:rsid w:val="00EA3BE3"/>
    <w:rsid w:val="00EA4223"/>
    <w:rsid w:val="00EA6ED7"/>
    <w:rsid w:val="00EB0556"/>
    <w:rsid w:val="00EB17AE"/>
    <w:rsid w:val="00EB264F"/>
    <w:rsid w:val="00EB2E5A"/>
    <w:rsid w:val="00EB3A47"/>
    <w:rsid w:val="00EB3FF6"/>
    <w:rsid w:val="00EB44A8"/>
    <w:rsid w:val="00EB65A3"/>
    <w:rsid w:val="00EB772F"/>
    <w:rsid w:val="00EC0174"/>
    <w:rsid w:val="00EC116C"/>
    <w:rsid w:val="00EC12D3"/>
    <w:rsid w:val="00EC1A7A"/>
    <w:rsid w:val="00EC3DA2"/>
    <w:rsid w:val="00EC6F06"/>
    <w:rsid w:val="00EC74E6"/>
    <w:rsid w:val="00EC77E8"/>
    <w:rsid w:val="00ED169B"/>
    <w:rsid w:val="00ED6B79"/>
    <w:rsid w:val="00ED6DFF"/>
    <w:rsid w:val="00ED6E75"/>
    <w:rsid w:val="00ED7411"/>
    <w:rsid w:val="00EE03AA"/>
    <w:rsid w:val="00EE11AC"/>
    <w:rsid w:val="00EE2202"/>
    <w:rsid w:val="00EE48D6"/>
    <w:rsid w:val="00EE6476"/>
    <w:rsid w:val="00EE6484"/>
    <w:rsid w:val="00EF0B0B"/>
    <w:rsid w:val="00F00407"/>
    <w:rsid w:val="00F07FB9"/>
    <w:rsid w:val="00F130D8"/>
    <w:rsid w:val="00F14509"/>
    <w:rsid w:val="00F15A24"/>
    <w:rsid w:val="00F214E7"/>
    <w:rsid w:val="00F21600"/>
    <w:rsid w:val="00F30597"/>
    <w:rsid w:val="00F307C2"/>
    <w:rsid w:val="00F3086C"/>
    <w:rsid w:val="00F32423"/>
    <w:rsid w:val="00F356D9"/>
    <w:rsid w:val="00F419D5"/>
    <w:rsid w:val="00F41C26"/>
    <w:rsid w:val="00F42138"/>
    <w:rsid w:val="00F432CC"/>
    <w:rsid w:val="00F44949"/>
    <w:rsid w:val="00F44BD9"/>
    <w:rsid w:val="00F50C58"/>
    <w:rsid w:val="00F52682"/>
    <w:rsid w:val="00F53B30"/>
    <w:rsid w:val="00F55B5F"/>
    <w:rsid w:val="00F57303"/>
    <w:rsid w:val="00F60E5E"/>
    <w:rsid w:val="00F615E7"/>
    <w:rsid w:val="00F62E76"/>
    <w:rsid w:val="00F66106"/>
    <w:rsid w:val="00F6765A"/>
    <w:rsid w:val="00F70168"/>
    <w:rsid w:val="00F76849"/>
    <w:rsid w:val="00F83E7F"/>
    <w:rsid w:val="00F86537"/>
    <w:rsid w:val="00F8662F"/>
    <w:rsid w:val="00F86B83"/>
    <w:rsid w:val="00F871EA"/>
    <w:rsid w:val="00F9096F"/>
    <w:rsid w:val="00F92607"/>
    <w:rsid w:val="00F93D71"/>
    <w:rsid w:val="00F9582F"/>
    <w:rsid w:val="00F95BC0"/>
    <w:rsid w:val="00F973B7"/>
    <w:rsid w:val="00FA4A03"/>
    <w:rsid w:val="00FA6F2A"/>
    <w:rsid w:val="00FA7210"/>
    <w:rsid w:val="00FA7891"/>
    <w:rsid w:val="00FA7DD7"/>
    <w:rsid w:val="00FB0B3F"/>
    <w:rsid w:val="00FB2E3D"/>
    <w:rsid w:val="00FB4111"/>
    <w:rsid w:val="00FB4F67"/>
    <w:rsid w:val="00FB532D"/>
    <w:rsid w:val="00FC0198"/>
    <w:rsid w:val="00FC036D"/>
    <w:rsid w:val="00FC1519"/>
    <w:rsid w:val="00FC1EA3"/>
    <w:rsid w:val="00FC2693"/>
    <w:rsid w:val="00FC4D6D"/>
    <w:rsid w:val="00FC4E8E"/>
    <w:rsid w:val="00FC6223"/>
    <w:rsid w:val="00FC7704"/>
    <w:rsid w:val="00FC7752"/>
    <w:rsid w:val="00FC7BFA"/>
    <w:rsid w:val="00FD01C3"/>
    <w:rsid w:val="00FD20C5"/>
    <w:rsid w:val="00FD2E8D"/>
    <w:rsid w:val="00FD6138"/>
    <w:rsid w:val="00FD69EE"/>
    <w:rsid w:val="00FE2A36"/>
    <w:rsid w:val="00FE3DCC"/>
    <w:rsid w:val="00FE5B99"/>
    <w:rsid w:val="00FE7EF5"/>
    <w:rsid w:val="00FF1E9A"/>
    <w:rsid w:val="00FF457B"/>
    <w:rsid w:val="00FF6023"/>
    <w:rsid w:val="00FF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88E9D"/>
  <w15:chartTrackingRefBased/>
  <w15:docId w15:val="{308C5016-C7A4-4BF9-BB02-CBADC2E2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E7F0F"/>
    <w:pPr>
      <w:widowControl w:val="0"/>
      <w:spacing w:line="360" w:lineRule="auto"/>
      <w:ind w:firstLineChars="200" w:firstLine="480"/>
      <w:jc w:val="both"/>
    </w:pPr>
    <w:rPr>
      <w:rFonts w:ascii="Times New Roman" w:eastAsia="宋体" w:hAnsi="Times New Roman" w:cs="Times New Roman"/>
      <w:szCs w:val="24"/>
    </w:rPr>
  </w:style>
  <w:style w:type="paragraph" w:styleId="1">
    <w:name w:val="heading 1"/>
    <w:basedOn w:val="a0"/>
    <w:next w:val="a0"/>
    <w:link w:val="10"/>
    <w:uiPriority w:val="9"/>
    <w:qFormat/>
    <w:rsid w:val="004D53FB"/>
    <w:pPr>
      <w:keepNext/>
      <w:keepLines/>
      <w:numPr>
        <w:numId w:val="1"/>
      </w:numPr>
      <w:spacing w:before="360" w:after="360"/>
      <w:ind w:left="420" w:firstLineChars="0" w:firstLine="0"/>
      <w:jc w:val="center"/>
      <w:outlineLvl w:val="0"/>
    </w:pPr>
    <w:rPr>
      <w:rFonts w:ascii="黑体" w:eastAsia="黑体" w:hAnsi="黑体"/>
      <w:b/>
      <w:bCs/>
      <w:kern w:val="44"/>
      <w:sz w:val="30"/>
      <w:szCs w:val="30"/>
    </w:rPr>
  </w:style>
  <w:style w:type="paragraph" w:styleId="2">
    <w:name w:val="heading 2"/>
    <w:basedOn w:val="a0"/>
    <w:next w:val="a0"/>
    <w:link w:val="20"/>
    <w:uiPriority w:val="9"/>
    <w:unhideWhenUsed/>
    <w:qFormat/>
    <w:rsid w:val="00592A67"/>
    <w:pPr>
      <w:keepNext/>
      <w:keepLines/>
      <w:numPr>
        <w:numId w:val="23"/>
      </w:numPr>
      <w:ind w:firstLineChars="0" w:firstLine="0"/>
      <w:jc w:val="left"/>
      <w:outlineLvl w:val="1"/>
    </w:pPr>
    <w:rPr>
      <w:rFonts w:ascii="黑体" w:eastAsia="黑体" w:hAnsi="黑体" w:cstheme="majorBidi"/>
      <w:bCs/>
      <w:sz w:val="24"/>
      <w:szCs w:val="28"/>
    </w:rPr>
  </w:style>
  <w:style w:type="paragraph" w:styleId="3">
    <w:name w:val="heading 3"/>
    <w:basedOn w:val="a0"/>
    <w:next w:val="a0"/>
    <w:link w:val="30"/>
    <w:uiPriority w:val="9"/>
    <w:unhideWhenUsed/>
    <w:qFormat/>
    <w:rsid w:val="00447DB7"/>
    <w:pPr>
      <w:keepNext/>
      <w:keepLines/>
      <w:numPr>
        <w:numId w:val="10"/>
      </w:numPr>
      <w:ind w:left="0" w:firstLine="482"/>
      <w:outlineLvl w:val="2"/>
    </w:pPr>
    <w:rPr>
      <w:rFonts w:ascii="黑体" w:eastAsia="黑体" w:hAnsi="黑体"/>
      <w:b/>
      <w:bCs/>
    </w:rPr>
  </w:style>
  <w:style w:type="paragraph" w:styleId="4">
    <w:name w:val="heading 4"/>
    <w:basedOn w:val="a"/>
    <w:next w:val="a0"/>
    <w:link w:val="40"/>
    <w:uiPriority w:val="9"/>
    <w:unhideWhenUsed/>
    <w:qFormat/>
    <w:rsid w:val="005A2D0F"/>
    <w:pPr>
      <w:numPr>
        <w:numId w:val="7"/>
      </w:numPr>
      <w:ind w:left="0" w:firstLine="480"/>
      <w:outlineLvl w:val="3"/>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447DB7"/>
    <w:rPr>
      <w:rFonts w:ascii="黑体" w:eastAsia="黑体" w:hAnsi="黑体" w:cs="Times New Roman"/>
      <w:b/>
      <w:bCs/>
      <w:sz w:val="24"/>
      <w:szCs w:val="24"/>
    </w:rPr>
  </w:style>
  <w:style w:type="paragraph" w:styleId="a4">
    <w:name w:val="Plain Text"/>
    <w:basedOn w:val="a0"/>
    <w:link w:val="a5"/>
    <w:uiPriority w:val="99"/>
    <w:unhideWhenUsed/>
    <w:rsid w:val="00743121"/>
    <w:rPr>
      <w:rFonts w:asciiTheme="minorEastAsia" w:hAnsi="Courier New" w:cs="Courier New"/>
    </w:rPr>
  </w:style>
  <w:style w:type="character" w:customStyle="1" w:styleId="a5">
    <w:name w:val="纯文本 字符"/>
    <w:basedOn w:val="a1"/>
    <w:link w:val="a4"/>
    <w:uiPriority w:val="99"/>
    <w:rsid w:val="00743121"/>
    <w:rPr>
      <w:rFonts w:asciiTheme="minorEastAsia" w:hAnsi="Courier New" w:cs="Courier New"/>
    </w:rPr>
  </w:style>
  <w:style w:type="paragraph" w:styleId="a6">
    <w:name w:val="header"/>
    <w:basedOn w:val="a0"/>
    <w:link w:val="a7"/>
    <w:uiPriority w:val="99"/>
    <w:unhideWhenUsed/>
    <w:rsid w:val="00880B29"/>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1"/>
    <w:link w:val="a6"/>
    <w:uiPriority w:val="99"/>
    <w:rsid w:val="00880B29"/>
    <w:rPr>
      <w:sz w:val="18"/>
      <w:szCs w:val="18"/>
    </w:rPr>
  </w:style>
  <w:style w:type="paragraph" w:styleId="a8">
    <w:name w:val="footer"/>
    <w:basedOn w:val="a0"/>
    <w:link w:val="a9"/>
    <w:uiPriority w:val="99"/>
    <w:unhideWhenUsed/>
    <w:rsid w:val="00880B29"/>
    <w:pPr>
      <w:tabs>
        <w:tab w:val="center" w:pos="4513"/>
        <w:tab w:val="right" w:pos="9026"/>
      </w:tabs>
      <w:snapToGrid w:val="0"/>
      <w:jc w:val="left"/>
    </w:pPr>
    <w:rPr>
      <w:sz w:val="18"/>
      <w:szCs w:val="18"/>
    </w:rPr>
  </w:style>
  <w:style w:type="character" w:customStyle="1" w:styleId="a9">
    <w:name w:val="页脚 字符"/>
    <w:basedOn w:val="a1"/>
    <w:link w:val="a8"/>
    <w:uiPriority w:val="99"/>
    <w:rsid w:val="00880B29"/>
    <w:rPr>
      <w:sz w:val="18"/>
      <w:szCs w:val="18"/>
    </w:rPr>
  </w:style>
  <w:style w:type="character" w:customStyle="1" w:styleId="10">
    <w:name w:val="标题 1 字符"/>
    <w:basedOn w:val="a1"/>
    <w:link w:val="1"/>
    <w:uiPriority w:val="9"/>
    <w:rsid w:val="004D53FB"/>
    <w:rPr>
      <w:rFonts w:ascii="黑体" w:eastAsia="黑体" w:hAnsi="黑体" w:cs="Times New Roman"/>
      <w:b/>
      <w:bCs/>
      <w:kern w:val="44"/>
      <w:sz w:val="30"/>
      <w:szCs w:val="30"/>
    </w:rPr>
  </w:style>
  <w:style w:type="character" w:customStyle="1" w:styleId="20">
    <w:name w:val="标题 2 字符"/>
    <w:basedOn w:val="a1"/>
    <w:link w:val="2"/>
    <w:uiPriority w:val="9"/>
    <w:rsid w:val="00592A67"/>
    <w:rPr>
      <w:rFonts w:ascii="黑体" w:eastAsia="黑体" w:hAnsi="黑体" w:cstheme="majorBidi"/>
      <w:bCs/>
      <w:sz w:val="24"/>
      <w:szCs w:val="28"/>
    </w:rPr>
  </w:style>
  <w:style w:type="paragraph" w:styleId="a">
    <w:name w:val="List Paragraph"/>
    <w:basedOn w:val="a0"/>
    <w:uiPriority w:val="34"/>
    <w:qFormat/>
    <w:rsid w:val="007475B2"/>
    <w:pPr>
      <w:numPr>
        <w:numId w:val="13"/>
      </w:numPr>
      <w:ind w:firstLineChars="0" w:firstLine="0"/>
    </w:pPr>
  </w:style>
  <w:style w:type="character" w:customStyle="1" w:styleId="40">
    <w:name w:val="标题 4 字符"/>
    <w:basedOn w:val="a1"/>
    <w:link w:val="4"/>
    <w:uiPriority w:val="9"/>
    <w:rsid w:val="005A2D0F"/>
    <w:rPr>
      <w:rFonts w:ascii="黑体" w:eastAsia="黑体" w:hAnsi="黑体" w:cs="Times New Roman"/>
      <w:sz w:val="24"/>
      <w:szCs w:val="24"/>
    </w:rPr>
  </w:style>
  <w:style w:type="paragraph" w:styleId="TOC">
    <w:name w:val="TOC Heading"/>
    <w:basedOn w:val="1"/>
    <w:next w:val="a0"/>
    <w:uiPriority w:val="39"/>
    <w:unhideWhenUsed/>
    <w:qFormat/>
    <w:rsid w:val="00323D5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0"/>
    <w:next w:val="a0"/>
    <w:autoRedefine/>
    <w:uiPriority w:val="39"/>
    <w:unhideWhenUsed/>
    <w:rsid w:val="00705E6D"/>
    <w:pPr>
      <w:widowControl/>
      <w:tabs>
        <w:tab w:val="left" w:pos="1260"/>
        <w:tab w:val="right" w:leader="dot" w:pos="8296"/>
      </w:tabs>
      <w:ind w:left="220" w:firstLineChars="0" w:firstLine="0"/>
      <w:jc w:val="left"/>
    </w:pPr>
    <w:rPr>
      <w:rFonts w:eastAsia="黑体"/>
      <w:b/>
      <w:kern w:val="0"/>
    </w:rPr>
  </w:style>
  <w:style w:type="paragraph" w:styleId="11">
    <w:name w:val="toc 1"/>
    <w:basedOn w:val="a0"/>
    <w:next w:val="a0"/>
    <w:autoRedefine/>
    <w:uiPriority w:val="39"/>
    <w:unhideWhenUsed/>
    <w:rsid w:val="00705E6D"/>
    <w:pPr>
      <w:widowControl/>
      <w:tabs>
        <w:tab w:val="left" w:pos="1050"/>
        <w:tab w:val="right" w:leader="dot" w:pos="8296"/>
      </w:tabs>
      <w:ind w:firstLineChars="0" w:firstLine="0"/>
      <w:jc w:val="left"/>
    </w:pPr>
    <w:rPr>
      <w:rFonts w:eastAsia="黑体"/>
      <w:b/>
      <w:kern w:val="0"/>
      <w:sz w:val="28"/>
      <w:szCs w:val="28"/>
    </w:rPr>
  </w:style>
  <w:style w:type="paragraph" w:styleId="31">
    <w:name w:val="toc 3"/>
    <w:basedOn w:val="a0"/>
    <w:next w:val="a0"/>
    <w:autoRedefine/>
    <w:uiPriority w:val="39"/>
    <w:unhideWhenUsed/>
    <w:rsid w:val="00705E6D"/>
    <w:pPr>
      <w:widowControl/>
      <w:tabs>
        <w:tab w:val="left" w:pos="840"/>
        <w:tab w:val="right" w:leader="dot" w:pos="8296"/>
      </w:tabs>
      <w:ind w:left="440" w:firstLineChars="0" w:firstLine="0"/>
      <w:jc w:val="left"/>
    </w:pPr>
    <w:rPr>
      <w:kern w:val="0"/>
    </w:rPr>
  </w:style>
  <w:style w:type="character" w:styleId="aa">
    <w:name w:val="Hyperlink"/>
    <w:basedOn w:val="a1"/>
    <w:uiPriority w:val="99"/>
    <w:unhideWhenUsed/>
    <w:rsid w:val="00323D59"/>
    <w:rPr>
      <w:color w:val="0563C1" w:themeColor="hyperlink"/>
      <w:u w:val="single"/>
    </w:rPr>
  </w:style>
  <w:style w:type="character" w:styleId="ab">
    <w:name w:val="Placeholder Text"/>
    <w:basedOn w:val="a1"/>
    <w:uiPriority w:val="99"/>
    <w:semiHidden/>
    <w:rsid w:val="00123168"/>
    <w:rPr>
      <w:color w:val="808080"/>
    </w:rPr>
  </w:style>
  <w:style w:type="table" w:styleId="6">
    <w:name w:val="List Table 6 Colorful"/>
    <w:basedOn w:val="a2"/>
    <w:uiPriority w:val="51"/>
    <w:rsid w:val="007741B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c">
    <w:name w:val="caption"/>
    <w:basedOn w:val="a0"/>
    <w:next w:val="a0"/>
    <w:uiPriority w:val="35"/>
    <w:unhideWhenUsed/>
    <w:qFormat/>
    <w:rsid w:val="00447DB7"/>
    <w:pPr>
      <w:keepNext/>
      <w:ind w:firstLineChars="0" w:firstLine="0"/>
      <w:jc w:val="center"/>
    </w:pPr>
    <w:rPr>
      <w:b/>
    </w:rPr>
  </w:style>
  <w:style w:type="paragraph" w:styleId="ad">
    <w:name w:val="Quote"/>
    <w:basedOn w:val="a0"/>
    <w:next w:val="a0"/>
    <w:link w:val="ae"/>
    <w:uiPriority w:val="29"/>
    <w:qFormat/>
    <w:rsid w:val="00447DB7"/>
    <w:pPr>
      <w:ind w:firstLineChars="0" w:firstLine="0"/>
    </w:pPr>
    <w:rPr>
      <w:sz w:val="18"/>
      <w:szCs w:val="18"/>
    </w:rPr>
  </w:style>
  <w:style w:type="character" w:customStyle="1" w:styleId="ae">
    <w:name w:val="引用 字符"/>
    <w:basedOn w:val="a1"/>
    <w:link w:val="ad"/>
    <w:uiPriority w:val="29"/>
    <w:rsid w:val="00447DB7"/>
    <w:rPr>
      <w:rFonts w:ascii="Times New Roman" w:eastAsia="宋体" w:hAnsi="Times New Roman" w:cs="Times New Roman"/>
      <w:sz w:val="18"/>
      <w:szCs w:val="18"/>
    </w:rPr>
  </w:style>
  <w:style w:type="table" w:styleId="af">
    <w:name w:val="Table Grid"/>
    <w:basedOn w:val="a2"/>
    <w:uiPriority w:val="39"/>
    <w:rsid w:val="006F1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1"/>
    <w:uiPriority w:val="99"/>
    <w:semiHidden/>
    <w:unhideWhenUsed/>
    <w:rsid w:val="00C4214C"/>
    <w:rPr>
      <w:sz w:val="21"/>
      <w:szCs w:val="21"/>
    </w:rPr>
  </w:style>
  <w:style w:type="paragraph" w:styleId="af1">
    <w:name w:val="annotation text"/>
    <w:basedOn w:val="a0"/>
    <w:link w:val="af2"/>
    <w:uiPriority w:val="99"/>
    <w:semiHidden/>
    <w:unhideWhenUsed/>
    <w:rsid w:val="00C4214C"/>
    <w:pPr>
      <w:jc w:val="left"/>
    </w:pPr>
  </w:style>
  <w:style w:type="character" w:customStyle="1" w:styleId="af2">
    <w:name w:val="批注文字 字符"/>
    <w:basedOn w:val="a1"/>
    <w:link w:val="af1"/>
    <w:uiPriority w:val="99"/>
    <w:semiHidden/>
    <w:rsid w:val="00C4214C"/>
    <w:rPr>
      <w:rFonts w:ascii="Times New Roman" w:eastAsia="宋体" w:hAnsi="Times New Roman" w:cs="Times New Roman"/>
      <w:sz w:val="24"/>
      <w:szCs w:val="24"/>
    </w:rPr>
  </w:style>
  <w:style w:type="paragraph" w:styleId="af3">
    <w:name w:val="annotation subject"/>
    <w:basedOn w:val="af1"/>
    <w:next w:val="af1"/>
    <w:link w:val="af4"/>
    <w:uiPriority w:val="99"/>
    <w:semiHidden/>
    <w:unhideWhenUsed/>
    <w:rsid w:val="00C4214C"/>
    <w:rPr>
      <w:b/>
      <w:bCs/>
    </w:rPr>
  </w:style>
  <w:style w:type="character" w:customStyle="1" w:styleId="af4">
    <w:name w:val="批注主题 字符"/>
    <w:basedOn w:val="af2"/>
    <w:link w:val="af3"/>
    <w:uiPriority w:val="99"/>
    <w:semiHidden/>
    <w:rsid w:val="00C4214C"/>
    <w:rPr>
      <w:rFonts w:ascii="Times New Roman" w:eastAsia="宋体" w:hAnsi="Times New Roman" w:cs="Times New Roman"/>
      <w:b/>
      <w:bCs/>
      <w:sz w:val="24"/>
      <w:szCs w:val="24"/>
    </w:rPr>
  </w:style>
  <w:style w:type="paragraph" w:styleId="af5">
    <w:name w:val="Revision"/>
    <w:hidden/>
    <w:uiPriority w:val="99"/>
    <w:semiHidden/>
    <w:rsid w:val="00C4214C"/>
    <w:rPr>
      <w:rFonts w:ascii="Times New Roman" w:eastAsia="宋体" w:hAnsi="Times New Roman" w:cs="Times New Roman"/>
      <w:sz w:val="24"/>
      <w:szCs w:val="24"/>
    </w:rPr>
  </w:style>
  <w:style w:type="paragraph" w:styleId="af6">
    <w:name w:val="Balloon Text"/>
    <w:basedOn w:val="a0"/>
    <w:link w:val="af7"/>
    <w:uiPriority w:val="99"/>
    <w:semiHidden/>
    <w:unhideWhenUsed/>
    <w:rsid w:val="00C4214C"/>
    <w:pPr>
      <w:spacing w:line="240" w:lineRule="auto"/>
    </w:pPr>
    <w:rPr>
      <w:sz w:val="18"/>
      <w:szCs w:val="18"/>
    </w:rPr>
  </w:style>
  <w:style w:type="character" w:customStyle="1" w:styleId="af7">
    <w:name w:val="批注框文本 字符"/>
    <w:basedOn w:val="a1"/>
    <w:link w:val="af6"/>
    <w:uiPriority w:val="99"/>
    <w:semiHidden/>
    <w:rsid w:val="00C4214C"/>
    <w:rPr>
      <w:rFonts w:ascii="Times New Roman" w:eastAsia="宋体" w:hAnsi="Times New Roman" w:cs="Times New Roman"/>
      <w:sz w:val="18"/>
      <w:szCs w:val="18"/>
    </w:rPr>
  </w:style>
  <w:style w:type="paragraph" w:styleId="af8">
    <w:name w:val="endnote text"/>
    <w:basedOn w:val="a0"/>
    <w:link w:val="af9"/>
    <w:uiPriority w:val="99"/>
    <w:unhideWhenUsed/>
    <w:rsid w:val="00C55B1C"/>
    <w:pPr>
      <w:snapToGrid w:val="0"/>
      <w:ind w:left="420" w:hangingChars="200" w:hanging="420"/>
    </w:pPr>
    <w:rPr>
      <w:szCs w:val="21"/>
    </w:rPr>
  </w:style>
  <w:style w:type="character" w:customStyle="1" w:styleId="af9">
    <w:name w:val="尾注文本 字符"/>
    <w:basedOn w:val="a1"/>
    <w:link w:val="af8"/>
    <w:uiPriority w:val="99"/>
    <w:rsid w:val="00C55B1C"/>
    <w:rPr>
      <w:rFonts w:ascii="Times New Roman" w:eastAsia="宋体" w:hAnsi="Times New Roman" w:cs="Times New Roman"/>
      <w:szCs w:val="21"/>
    </w:rPr>
  </w:style>
  <w:style w:type="character" w:styleId="afa">
    <w:name w:val="endnote reference"/>
    <w:basedOn w:val="a1"/>
    <w:uiPriority w:val="99"/>
    <w:unhideWhenUsed/>
    <w:rsid w:val="00985D20"/>
    <w:rPr>
      <w:vertAlign w:val="superscript"/>
    </w:rPr>
  </w:style>
  <w:style w:type="paragraph" w:styleId="afb">
    <w:name w:val="footnote text"/>
    <w:basedOn w:val="a0"/>
    <w:link w:val="afc"/>
    <w:uiPriority w:val="99"/>
    <w:semiHidden/>
    <w:unhideWhenUsed/>
    <w:rsid w:val="00491D76"/>
    <w:pPr>
      <w:snapToGrid w:val="0"/>
      <w:jc w:val="left"/>
    </w:pPr>
    <w:rPr>
      <w:sz w:val="18"/>
      <w:szCs w:val="18"/>
    </w:rPr>
  </w:style>
  <w:style w:type="character" w:customStyle="1" w:styleId="afc">
    <w:name w:val="脚注文本 字符"/>
    <w:basedOn w:val="a1"/>
    <w:link w:val="afb"/>
    <w:uiPriority w:val="99"/>
    <w:semiHidden/>
    <w:rsid w:val="00491D76"/>
    <w:rPr>
      <w:rFonts w:ascii="Times New Roman" w:eastAsia="宋体" w:hAnsi="Times New Roman" w:cs="Times New Roman"/>
      <w:sz w:val="18"/>
      <w:szCs w:val="18"/>
    </w:rPr>
  </w:style>
  <w:style w:type="character" w:styleId="afd">
    <w:name w:val="footnote reference"/>
    <w:basedOn w:val="a1"/>
    <w:uiPriority w:val="99"/>
    <w:semiHidden/>
    <w:unhideWhenUsed/>
    <w:rsid w:val="00491D76"/>
    <w:rPr>
      <w:vertAlign w:val="superscript"/>
    </w:rPr>
  </w:style>
  <w:style w:type="table" w:styleId="22">
    <w:name w:val="List Table 2"/>
    <w:basedOn w:val="a2"/>
    <w:uiPriority w:val="47"/>
    <w:rsid w:val="000E66C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41">
    <w:name w:val="toc 4"/>
    <w:basedOn w:val="a0"/>
    <w:next w:val="a0"/>
    <w:autoRedefine/>
    <w:uiPriority w:val="39"/>
    <w:semiHidden/>
    <w:unhideWhenUsed/>
    <w:rsid w:val="00705E6D"/>
    <w:pPr>
      <w:ind w:leftChars="600" w:left="1260"/>
    </w:pPr>
  </w:style>
  <w:style w:type="paragraph" w:styleId="afe">
    <w:name w:val="Date"/>
    <w:basedOn w:val="a0"/>
    <w:next w:val="a0"/>
    <w:link w:val="aff"/>
    <w:uiPriority w:val="99"/>
    <w:semiHidden/>
    <w:unhideWhenUsed/>
    <w:rsid w:val="00FC4E8E"/>
    <w:pPr>
      <w:ind w:leftChars="2500" w:left="100"/>
    </w:pPr>
  </w:style>
  <w:style w:type="character" w:customStyle="1" w:styleId="aff">
    <w:name w:val="日期 字符"/>
    <w:basedOn w:val="a1"/>
    <w:link w:val="afe"/>
    <w:uiPriority w:val="99"/>
    <w:semiHidden/>
    <w:rsid w:val="00FC4E8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5854">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9428041">
      <w:bodyDiv w:val="1"/>
      <w:marLeft w:val="0"/>
      <w:marRight w:val="0"/>
      <w:marTop w:val="0"/>
      <w:marBottom w:val="0"/>
      <w:divBdr>
        <w:top w:val="none" w:sz="0" w:space="0" w:color="auto"/>
        <w:left w:val="none" w:sz="0" w:space="0" w:color="auto"/>
        <w:bottom w:val="none" w:sz="0" w:space="0" w:color="auto"/>
        <w:right w:val="none" w:sz="0" w:space="0" w:color="auto"/>
      </w:divBdr>
    </w:div>
    <w:div w:id="154297687">
      <w:bodyDiv w:val="1"/>
      <w:marLeft w:val="0"/>
      <w:marRight w:val="0"/>
      <w:marTop w:val="0"/>
      <w:marBottom w:val="0"/>
      <w:divBdr>
        <w:top w:val="none" w:sz="0" w:space="0" w:color="auto"/>
        <w:left w:val="none" w:sz="0" w:space="0" w:color="auto"/>
        <w:bottom w:val="none" w:sz="0" w:space="0" w:color="auto"/>
        <w:right w:val="none" w:sz="0" w:space="0" w:color="auto"/>
      </w:divBdr>
    </w:div>
    <w:div w:id="221912521">
      <w:bodyDiv w:val="1"/>
      <w:marLeft w:val="0"/>
      <w:marRight w:val="0"/>
      <w:marTop w:val="0"/>
      <w:marBottom w:val="0"/>
      <w:divBdr>
        <w:top w:val="none" w:sz="0" w:space="0" w:color="auto"/>
        <w:left w:val="none" w:sz="0" w:space="0" w:color="auto"/>
        <w:bottom w:val="none" w:sz="0" w:space="0" w:color="auto"/>
        <w:right w:val="none" w:sz="0" w:space="0" w:color="auto"/>
      </w:divBdr>
    </w:div>
    <w:div w:id="247622467">
      <w:bodyDiv w:val="1"/>
      <w:marLeft w:val="0"/>
      <w:marRight w:val="0"/>
      <w:marTop w:val="0"/>
      <w:marBottom w:val="0"/>
      <w:divBdr>
        <w:top w:val="none" w:sz="0" w:space="0" w:color="auto"/>
        <w:left w:val="none" w:sz="0" w:space="0" w:color="auto"/>
        <w:bottom w:val="none" w:sz="0" w:space="0" w:color="auto"/>
        <w:right w:val="none" w:sz="0" w:space="0" w:color="auto"/>
      </w:divBdr>
    </w:div>
    <w:div w:id="263465481">
      <w:bodyDiv w:val="1"/>
      <w:marLeft w:val="0"/>
      <w:marRight w:val="0"/>
      <w:marTop w:val="0"/>
      <w:marBottom w:val="0"/>
      <w:divBdr>
        <w:top w:val="none" w:sz="0" w:space="0" w:color="auto"/>
        <w:left w:val="none" w:sz="0" w:space="0" w:color="auto"/>
        <w:bottom w:val="none" w:sz="0" w:space="0" w:color="auto"/>
        <w:right w:val="none" w:sz="0" w:space="0" w:color="auto"/>
      </w:divBdr>
    </w:div>
    <w:div w:id="287975355">
      <w:bodyDiv w:val="1"/>
      <w:marLeft w:val="0"/>
      <w:marRight w:val="0"/>
      <w:marTop w:val="0"/>
      <w:marBottom w:val="0"/>
      <w:divBdr>
        <w:top w:val="none" w:sz="0" w:space="0" w:color="auto"/>
        <w:left w:val="none" w:sz="0" w:space="0" w:color="auto"/>
        <w:bottom w:val="none" w:sz="0" w:space="0" w:color="auto"/>
        <w:right w:val="none" w:sz="0" w:space="0" w:color="auto"/>
      </w:divBdr>
    </w:div>
    <w:div w:id="325397802">
      <w:bodyDiv w:val="1"/>
      <w:marLeft w:val="0"/>
      <w:marRight w:val="0"/>
      <w:marTop w:val="0"/>
      <w:marBottom w:val="0"/>
      <w:divBdr>
        <w:top w:val="none" w:sz="0" w:space="0" w:color="auto"/>
        <w:left w:val="none" w:sz="0" w:space="0" w:color="auto"/>
        <w:bottom w:val="none" w:sz="0" w:space="0" w:color="auto"/>
        <w:right w:val="none" w:sz="0" w:space="0" w:color="auto"/>
      </w:divBdr>
    </w:div>
    <w:div w:id="333579425">
      <w:bodyDiv w:val="1"/>
      <w:marLeft w:val="0"/>
      <w:marRight w:val="0"/>
      <w:marTop w:val="0"/>
      <w:marBottom w:val="0"/>
      <w:divBdr>
        <w:top w:val="none" w:sz="0" w:space="0" w:color="auto"/>
        <w:left w:val="none" w:sz="0" w:space="0" w:color="auto"/>
        <w:bottom w:val="none" w:sz="0" w:space="0" w:color="auto"/>
        <w:right w:val="none" w:sz="0" w:space="0" w:color="auto"/>
      </w:divBdr>
    </w:div>
    <w:div w:id="404299668">
      <w:bodyDiv w:val="1"/>
      <w:marLeft w:val="0"/>
      <w:marRight w:val="0"/>
      <w:marTop w:val="0"/>
      <w:marBottom w:val="0"/>
      <w:divBdr>
        <w:top w:val="none" w:sz="0" w:space="0" w:color="auto"/>
        <w:left w:val="none" w:sz="0" w:space="0" w:color="auto"/>
        <w:bottom w:val="none" w:sz="0" w:space="0" w:color="auto"/>
        <w:right w:val="none" w:sz="0" w:space="0" w:color="auto"/>
      </w:divBdr>
    </w:div>
    <w:div w:id="473836378">
      <w:bodyDiv w:val="1"/>
      <w:marLeft w:val="0"/>
      <w:marRight w:val="0"/>
      <w:marTop w:val="0"/>
      <w:marBottom w:val="0"/>
      <w:divBdr>
        <w:top w:val="none" w:sz="0" w:space="0" w:color="auto"/>
        <w:left w:val="none" w:sz="0" w:space="0" w:color="auto"/>
        <w:bottom w:val="none" w:sz="0" w:space="0" w:color="auto"/>
        <w:right w:val="none" w:sz="0" w:space="0" w:color="auto"/>
      </w:divBdr>
    </w:div>
    <w:div w:id="501316340">
      <w:bodyDiv w:val="1"/>
      <w:marLeft w:val="0"/>
      <w:marRight w:val="0"/>
      <w:marTop w:val="0"/>
      <w:marBottom w:val="0"/>
      <w:divBdr>
        <w:top w:val="none" w:sz="0" w:space="0" w:color="auto"/>
        <w:left w:val="none" w:sz="0" w:space="0" w:color="auto"/>
        <w:bottom w:val="none" w:sz="0" w:space="0" w:color="auto"/>
        <w:right w:val="none" w:sz="0" w:space="0" w:color="auto"/>
      </w:divBdr>
    </w:div>
    <w:div w:id="503134930">
      <w:bodyDiv w:val="1"/>
      <w:marLeft w:val="0"/>
      <w:marRight w:val="0"/>
      <w:marTop w:val="0"/>
      <w:marBottom w:val="0"/>
      <w:divBdr>
        <w:top w:val="none" w:sz="0" w:space="0" w:color="auto"/>
        <w:left w:val="none" w:sz="0" w:space="0" w:color="auto"/>
        <w:bottom w:val="none" w:sz="0" w:space="0" w:color="auto"/>
        <w:right w:val="none" w:sz="0" w:space="0" w:color="auto"/>
      </w:divBdr>
    </w:div>
    <w:div w:id="514997091">
      <w:bodyDiv w:val="1"/>
      <w:marLeft w:val="0"/>
      <w:marRight w:val="0"/>
      <w:marTop w:val="0"/>
      <w:marBottom w:val="0"/>
      <w:divBdr>
        <w:top w:val="none" w:sz="0" w:space="0" w:color="auto"/>
        <w:left w:val="none" w:sz="0" w:space="0" w:color="auto"/>
        <w:bottom w:val="none" w:sz="0" w:space="0" w:color="auto"/>
        <w:right w:val="none" w:sz="0" w:space="0" w:color="auto"/>
      </w:divBdr>
    </w:div>
    <w:div w:id="529806452">
      <w:bodyDiv w:val="1"/>
      <w:marLeft w:val="0"/>
      <w:marRight w:val="0"/>
      <w:marTop w:val="0"/>
      <w:marBottom w:val="0"/>
      <w:divBdr>
        <w:top w:val="none" w:sz="0" w:space="0" w:color="auto"/>
        <w:left w:val="none" w:sz="0" w:space="0" w:color="auto"/>
        <w:bottom w:val="none" w:sz="0" w:space="0" w:color="auto"/>
        <w:right w:val="none" w:sz="0" w:space="0" w:color="auto"/>
      </w:divBdr>
      <w:divsChild>
        <w:div w:id="843320345">
          <w:marLeft w:val="0"/>
          <w:marRight w:val="0"/>
          <w:marTop w:val="0"/>
          <w:marBottom w:val="0"/>
          <w:divBdr>
            <w:top w:val="single" w:sz="6" w:space="8" w:color="F2F2F2"/>
            <w:left w:val="none" w:sz="0" w:space="0" w:color="auto"/>
            <w:bottom w:val="none" w:sz="0" w:space="0" w:color="auto"/>
            <w:right w:val="none" w:sz="0" w:space="0" w:color="auto"/>
          </w:divBdr>
        </w:div>
      </w:divsChild>
    </w:div>
    <w:div w:id="559050692">
      <w:bodyDiv w:val="1"/>
      <w:marLeft w:val="0"/>
      <w:marRight w:val="0"/>
      <w:marTop w:val="0"/>
      <w:marBottom w:val="0"/>
      <w:divBdr>
        <w:top w:val="none" w:sz="0" w:space="0" w:color="auto"/>
        <w:left w:val="none" w:sz="0" w:space="0" w:color="auto"/>
        <w:bottom w:val="none" w:sz="0" w:space="0" w:color="auto"/>
        <w:right w:val="none" w:sz="0" w:space="0" w:color="auto"/>
      </w:divBdr>
    </w:div>
    <w:div w:id="576017460">
      <w:bodyDiv w:val="1"/>
      <w:marLeft w:val="0"/>
      <w:marRight w:val="0"/>
      <w:marTop w:val="0"/>
      <w:marBottom w:val="0"/>
      <w:divBdr>
        <w:top w:val="none" w:sz="0" w:space="0" w:color="auto"/>
        <w:left w:val="none" w:sz="0" w:space="0" w:color="auto"/>
        <w:bottom w:val="none" w:sz="0" w:space="0" w:color="auto"/>
        <w:right w:val="none" w:sz="0" w:space="0" w:color="auto"/>
      </w:divBdr>
    </w:div>
    <w:div w:id="583685887">
      <w:bodyDiv w:val="1"/>
      <w:marLeft w:val="0"/>
      <w:marRight w:val="0"/>
      <w:marTop w:val="0"/>
      <w:marBottom w:val="0"/>
      <w:divBdr>
        <w:top w:val="none" w:sz="0" w:space="0" w:color="auto"/>
        <w:left w:val="none" w:sz="0" w:space="0" w:color="auto"/>
        <w:bottom w:val="none" w:sz="0" w:space="0" w:color="auto"/>
        <w:right w:val="none" w:sz="0" w:space="0" w:color="auto"/>
      </w:divBdr>
    </w:div>
    <w:div w:id="613364941">
      <w:bodyDiv w:val="1"/>
      <w:marLeft w:val="0"/>
      <w:marRight w:val="0"/>
      <w:marTop w:val="0"/>
      <w:marBottom w:val="0"/>
      <w:divBdr>
        <w:top w:val="none" w:sz="0" w:space="0" w:color="auto"/>
        <w:left w:val="none" w:sz="0" w:space="0" w:color="auto"/>
        <w:bottom w:val="none" w:sz="0" w:space="0" w:color="auto"/>
        <w:right w:val="none" w:sz="0" w:space="0" w:color="auto"/>
      </w:divBdr>
    </w:div>
    <w:div w:id="643000170">
      <w:bodyDiv w:val="1"/>
      <w:marLeft w:val="0"/>
      <w:marRight w:val="0"/>
      <w:marTop w:val="0"/>
      <w:marBottom w:val="0"/>
      <w:divBdr>
        <w:top w:val="none" w:sz="0" w:space="0" w:color="auto"/>
        <w:left w:val="none" w:sz="0" w:space="0" w:color="auto"/>
        <w:bottom w:val="none" w:sz="0" w:space="0" w:color="auto"/>
        <w:right w:val="none" w:sz="0" w:space="0" w:color="auto"/>
      </w:divBdr>
    </w:div>
    <w:div w:id="644433374">
      <w:bodyDiv w:val="1"/>
      <w:marLeft w:val="0"/>
      <w:marRight w:val="0"/>
      <w:marTop w:val="0"/>
      <w:marBottom w:val="0"/>
      <w:divBdr>
        <w:top w:val="none" w:sz="0" w:space="0" w:color="auto"/>
        <w:left w:val="none" w:sz="0" w:space="0" w:color="auto"/>
        <w:bottom w:val="none" w:sz="0" w:space="0" w:color="auto"/>
        <w:right w:val="none" w:sz="0" w:space="0" w:color="auto"/>
      </w:divBdr>
    </w:div>
    <w:div w:id="674266874">
      <w:bodyDiv w:val="1"/>
      <w:marLeft w:val="0"/>
      <w:marRight w:val="0"/>
      <w:marTop w:val="0"/>
      <w:marBottom w:val="0"/>
      <w:divBdr>
        <w:top w:val="none" w:sz="0" w:space="0" w:color="auto"/>
        <w:left w:val="none" w:sz="0" w:space="0" w:color="auto"/>
        <w:bottom w:val="none" w:sz="0" w:space="0" w:color="auto"/>
        <w:right w:val="none" w:sz="0" w:space="0" w:color="auto"/>
      </w:divBdr>
    </w:div>
    <w:div w:id="677314705">
      <w:bodyDiv w:val="1"/>
      <w:marLeft w:val="0"/>
      <w:marRight w:val="0"/>
      <w:marTop w:val="0"/>
      <w:marBottom w:val="0"/>
      <w:divBdr>
        <w:top w:val="none" w:sz="0" w:space="0" w:color="auto"/>
        <w:left w:val="none" w:sz="0" w:space="0" w:color="auto"/>
        <w:bottom w:val="none" w:sz="0" w:space="0" w:color="auto"/>
        <w:right w:val="none" w:sz="0" w:space="0" w:color="auto"/>
      </w:divBdr>
    </w:div>
    <w:div w:id="693073040">
      <w:bodyDiv w:val="1"/>
      <w:marLeft w:val="0"/>
      <w:marRight w:val="0"/>
      <w:marTop w:val="0"/>
      <w:marBottom w:val="0"/>
      <w:divBdr>
        <w:top w:val="none" w:sz="0" w:space="0" w:color="auto"/>
        <w:left w:val="none" w:sz="0" w:space="0" w:color="auto"/>
        <w:bottom w:val="none" w:sz="0" w:space="0" w:color="auto"/>
        <w:right w:val="none" w:sz="0" w:space="0" w:color="auto"/>
      </w:divBdr>
    </w:div>
    <w:div w:id="728462079">
      <w:bodyDiv w:val="1"/>
      <w:marLeft w:val="0"/>
      <w:marRight w:val="0"/>
      <w:marTop w:val="0"/>
      <w:marBottom w:val="0"/>
      <w:divBdr>
        <w:top w:val="none" w:sz="0" w:space="0" w:color="auto"/>
        <w:left w:val="none" w:sz="0" w:space="0" w:color="auto"/>
        <w:bottom w:val="none" w:sz="0" w:space="0" w:color="auto"/>
        <w:right w:val="none" w:sz="0" w:space="0" w:color="auto"/>
      </w:divBdr>
    </w:div>
    <w:div w:id="736250468">
      <w:bodyDiv w:val="1"/>
      <w:marLeft w:val="0"/>
      <w:marRight w:val="0"/>
      <w:marTop w:val="0"/>
      <w:marBottom w:val="0"/>
      <w:divBdr>
        <w:top w:val="none" w:sz="0" w:space="0" w:color="auto"/>
        <w:left w:val="none" w:sz="0" w:space="0" w:color="auto"/>
        <w:bottom w:val="none" w:sz="0" w:space="0" w:color="auto"/>
        <w:right w:val="none" w:sz="0" w:space="0" w:color="auto"/>
      </w:divBdr>
    </w:div>
    <w:div w:id="883903078">
      <w:bodyDiv w:val="1"/>
      <w:marLeft w:val="0"/>
      <w:marRight w:val="0"/>
      <w:marTop w:val="0"/>
      <w:marBottom w:val="0"/>
      <w:divBdr>
        <w:top w:val="none" w:sz="0" w:space="0" w:color="auto"/>
        <w:left w:val="none" w:sz="0" w:space="0" w:color="auto"/>
        <w:bottom w:val="none" w:sz="0" w:space="0" w:color="auto"/>
        <w:right w:val="none" w:sz="0" w:space="0" w:color="auto"/>
      </w:divBdr>
    </w:div>
    <w:div w:id="893781500">
      <w:bodyDiv w:val="1"/>
      <w:marLeft w:val="0"/>
      <w:marRight w:val="0"/>
      <w:marTop w:val="0"/>
      <w:marBottom w:val="0"/>
      <w:divBdr>
        <w:top w:val="none" w:sz="0" w:space="0" w:color="auto"/>
        <w:left w:val="none" w:sz="0" w:space="0" w:color="auto"/>
        <w:bottom w:val="none" w:sz="0" w:space="0" w:color="auto"/>
        <w:right w:val="none" w:sz="0" w:space="0" w:color="auto"/>
      </w:divBdr>
    </w:div>
    <w:div w:id="941304925">
      <w:bodyDiv w:val="1"/>
      <w:marLeft w:val="0"/>
      <w:marRight w:val="0"/>
      <w:marTop w:val="0"/>
      <w:marBottom w:val="0"/>
      <w:divBdr>
        <w:top w:val="none" w:sz="0" w:space="0" w:color="auto"/>
        <w:left w:val="none" w:sz="0" w:space="0" w:color="auto"/>
        <w:bottom w:val="none" w:sz="0" w:space="0" w:color="auto"/>
        <w:right w:val="none" w:sz="0" w:space="0" w:color="auto"/>
      </w:divBdr>
    </w:div>
    <w:div w:id="942613227">
      <w:bodyDiv w:val="1"/>
      <w:marLeft w:val="0"/>
      <w:marRight w:val="0"/>
      <w:marTop w:val="0"/>
      <w:marBottom w:val="0"/>
      <w:divBdr>
        <w:top w:val="none" w:sz="0" w:space="0" w:color="auto"/>
        <w:left w:val="none" w:sz="0" w:space="0" w:color="auto"/>
        <w:bottom w:val="none" w:sz="0" w:space="0" w:color="auto"/>
        <w:right w:val="none" w:sz="0" w:space="0" w:color="auto"/>
      </w:divBdr>
    </w:div>
    <w:div w:id="954869071">
      <w:bodyDiv w:val="1"/>
      <w:marLeft w:val="0"/>
      <w:marRight w:val="0"/>
      <w:marTop w:val="0"/>
      <w:marBottom w:val="0"/>
      <w:divBdr>
        <w:top w:val="none" w:sz="0" w:space="0" w:color="auto"/>
        <w:left w:val="none" w:sz="0" w:space="0" w:color="auto"/>
        <w:bottom w:val="none" w:sz="0" w:space="0" w:color="auto"/>
        <w:right w:val="none" w:sz="0" w:space="0" w:color="auto"/>
      </w:divBdr>
    </w:div>
    <w:div w:id="1001002818">
      <w:bodyDiv w:val="1"/>
      <w:marLeft w:val="0"/>
      <w:marRight w:val="0"/>
      <w:marTop w:val="0"/>
      <w:marBottom w:val="0"/>
      <w:divBdr>
        <w:top w:val="none" w:sz="0" w:space="0" w:color="auto"/>
        <w:left w:val="none" w:sz="0" w:space="0" w:color="auto"/>
        <w:bottom w:val="none" w:sz="0" w:space="0" w:color="auto"/>
        <w:right w:val="none" w:sz="0" w:space="0" w:color="auto"/>
      </w:divBdr>
    </w:div>
    <w:div w:id="1026254885">
      <w:bodyDiv w:val="1"/>
      <w:marLeft w:val="0"/>
      <w:marRight w:val="0"/>
      <w:marTop w:val="0"/>
      <w:marBottom w:val="0"/>
      <w:divBdr>
        <w:top w:val="none" w:sz="0" w:space="0" w:color="auto"/>
        <w:left w:val="none" w:sz="0" w:space="0" w:color="auto"/>
        <w:bottom w:val="none" w:sz="0" w:space="0" w:color="auto"/>
        <w:right w:val="none" w:sz="0" w:space="0" w:color="auto"/>
      </w:divBdr>
    </w:div>
    <w:div w:id="1040515341">
      <w:bodyDiv w:val="1"/>
      <w:marLeft w:val="0"/>
      <w:marRight w:val="0"/>
      <w:marTop w:val="0"/>
      <w:marBottom w:val="0"/>
      <w:divBdr>
        <w:top w:val="none" w:sz="0" w:space="0" w:color="auto"/>
        <w:left w:val="none" w:sz="0" w:space="0" w:color="auto"/>
        <w:bottom w:val="none" w:sz="0" w:space="0" w:color="auto"/>
        <w:right w:val="none" w:sz="0" w:space="0" w:color="auto"/>
      </w:divBdr>
    </w:div>
    <w:div w:id="1063408206">
      <w:bodyDiv w:val="1"/>
      <w:marLeft w:val="0"/>
      <w:marRight w:val="0"/>
      <w:marTop w:val="0"/>
      <w:marBottom w:val="0"/>
      <w:divBdr>
        <w:top w:val="none" w:sz="0" w:space="0" w:color="auto"/>
        <w:left w:val="none" w:sz="0" w:space="0" w:color="auto"/>
        <w:bottom w:val="none" w:sz="0" w:space="0" w:color="auto"/>
        <w:right w:val="none" w:sz="0" w:space="0" w:color="auto"/>
      </w:divBdr>
    </w:div>
    <w:div w:id="1097481838">
      <w:bodyDiv w:val="1"/>
      <w:marLeft w:val="0"/>
      <w:marRight w:val="0"/>
      <w:marTop w:val="0"/>
      <w:marBottom w:val="0"/>
      <w:divBdr>
        <w:top w:val="none" w:sz="0" w:space="0" w:color="auto"/>
        <w:left w:val="none" w:sz="0" w:space="0" w:color="auto"/>
        <w:bottom w:val="none" w:sz="0" w:space="0" w:color="auto"/>
        <w:right w:val="none" w:sz="0" w:space="0" w:color="auto"/>
      </w:divBdr>
    </w:div>
    <w:div w:id="1195118143">
      <w:bodyDiv w:val="1"/>
      <w:marLeft w:val="0"/>
      <w:marRight w:val="0"/>
      <w:marTop w:val="0"/>
      <w:marBottom w:val="0"/>
      <w:divBdr>
        <w:top w:val="none" w:sz="0" w:space="0" w:color="auto"/>
        <w:left w:val="none" w:sz="0" w:space="0" w:color="auto"/>
        <w:bottom w:val="none" w:sz="0" w:space="0" w:color="auto"/>
        <w:right w:val="none" w:sz="0" w:space="0" w:color="auto"/>
      </w:divBdr>
    </w:div>
    <w:div w:id="1203324696">
      <w:bodyDiv w:val="1"/>
      <w:marLeft w:val="0"/>
      <w:marRight w:val="0"/>
      <w:marTop w:val="0"/>
      <w:marBottom w:val="0"/>
      <w:divBdr>
        <w:top w:val="none" w:sz="0" w:space="0" w:color="auto"/>
        <w:left w:val="none" w:sz="0" w:space="0" w:color="auto"/>
        <w:bottom w:val="none" w:sz="0" w:space="0" w:color="auto"/>
        <w:right w:val="none" w:sz="0" w:space="0" w:color="auto"/>
      </w:divBdr>
    </w:div>
    <w:div w:id="1231042382">
      <w:bodyDiv w:val="1"/>
      <w:marLeft w:val="0"/>
      <w:marRight w:val="0"/>
      <w:marTop w:val="0"/>
      <w:marBottom w:val="0"/>
      <w:divBdr>
        <w:top w:val="none" w:sz="0" w:space="0" w:color="auto"/>
        <w:left w:val="none" w:sz="0" w:space="0" w:color="auto"/>
        <w:bottom w:val="none" w:sz="0" w:space="0" w:color="auto"/>
        <w:right w:val="none" w:sz="0" w:space="0" w:color="auto"/>
      </w:divBdr>
    </w:div>
    <w:div w:id="1338264219">
      <w:bodyDiv w:val="1"/>
      <w:marLeft w:val="0"/>
      <w:marRight w:val="0"/>
      <w:marTop w:val="0"/>
      <w:marBottom w:val="0"/>
      <w:divBdr>
        <w:top w:val="none" w:sz="0" w:space="0" w:color="auto"/>
        <w:left w:val="none" w:sz="0" w:space="0" w:color="auto"/>
        <w:bottom w:val="none" w:sz="0" w:space="0" w:color="auto"/>
        <w:right w:val="none" w:sz="0" w:space="0" w:color="auto"/>
      </w:divBdr>
    </w:div>
    <w:div w:id="1343778879">
      <w:bodyDiv w:val="1"/>
      <w:marLeft w:val="0"/>
      <w:marRight w:val="0"/>
      <w:marTop w:val="0"/>
      <w:marBottom w:val="0"/>
      <w:divBdr>
        <w:top w:val="none" w:sz="0" w:space="0" w:color="auto"/>
        <w:left w:val="none" w:sz="0" w:space="0" w:color="auto"/>
        <w:bottom w:val="none" w:sz="0" w:space="0" w:color="auto"/>
        <w:right w:val="none" w:sz="0" w:space="0" w:color="auto"/>
      </w:divBdr>
    </w:div>
    <w:div w:id="1387948635">
      <w:bodyDiv w:val="1"/>
      <w:marLeft w:val="0"/>
      <w:marRight w:val="0"/>
      <w:marTop w:val="0"/>
      <w:marBottom w:val="0"/>
      <w:divBdr>
        <w:top w:val="none" w:sz="0" w:space="0" w:color="auto"/>
        <w:left w:val="none" w:sz="0" w:space="0" w:color="auto"/>
        <w:bottom w:val="none" w:sz="0" w:space="0" w:color="auto"/>
        <w:right w:val="none" w:sz="0" w:space="0" w:color="auto"/>
      </w:divBdr>
    </w:div>
    <w:div w:id="1438217471">
      <w:bodyDiv w:val="1"/>
      <w:marLeft w:val="0"/>
      <w:marRight w:val="0"/>
      <w:marTop w:val="0"/>
      <w:marBottom w:val="0"/>
      <w:divBdr>
        <w:top w:val="none" w:sz="0" w:space="0" w:color="auto"/>
        <w:left w:val="none" w:sz="0" w:space="0" w:color="auto"/>
        <w:bottom w:val="none" w:sz="0" w:space="0" w:color="auto"/>
        <w:right w:val="none" w:sz="0" w:space="0" w:color="auto"/>
      </w:divBdr>
    </w:div>
    <w:div w:id="1453211904">
      <w:bodyDiv w:val="1"/>
      <w:marLeft w:val="0"/>
      <w:marRight w:val="0"/>
      <w:marTop w:val="0"/>
      <w:marBottom w:val="0"/>
      <w:divBdr>
        <w:top w:val="none" w:sz="0" w:space="0" w:color="auto"/>
        <w:left w:val="none" w:sz="0" w:space="0" w:color="auto"/>
        <w:bottom w:val="none" w:sz="0" w:space="0" w:color="auto"/>
        <w:right w:val="none" w:sz="0" w:space="0" w:color="auto"/>
      </w:divBdr>
    </w:div>
    <w:div w:id="1483959658">
      <w:bodyDiv w:val="1"/>
      <w:marLeft w:val="0"/>
      <w:marRight w:val="0"/>
      <w:marTop w:val="0"/>
      <w:marBottom w:val="0"/>
      <w:divBdr>
        <w:top w:val="none" w:sz="0" w:space="0" w:color="auto"/>
        <w:left w:val="none" w:sz="0" w:space="0" w:color="auto"/>
        <w:bottom w:val="none" w:sz="0" w:space="0" w:color="auto"/>
        <w:right w:val="none" w:sz="0" w:space="0" w:color="auto"/>
      </w:divBdr>
    </w:div>
    <w:div w:id="1502046292">
      <w:bodyDiv w:val="1"/>
      <w:marLeft w:val="0"/>
      <w:marRight w:val="0"/>
      <w:marTop w:val="0"/>
      <w:marBottom w:val="0"/>
      <w:divBdr>
        <w:top w:val="none" w:sz="0" w:space="0" w:color="auto"/>
        <w:left w:val="none" w:sz="0" w:space="0" w:color="auto"/>
        <w:bottom w:val="none" w:sz="0" w:space="0" w:color="auto"/>
        <w:right w:val="none" w:sz="0" w:space="0" w:color="auto"/>
      </w:divBdr>
    </w:div>
    <w:div w:id="1503541694">
      <w:bodyDiv w:val="1"/>
      <w:marLeft w:val="0"/>
      <w:marRight w:val="0"/>
      <w:marTop w:val="0"/>
      <w:marBottom w:val="0"/>
      <w:divBdr>
        <w:top w:val="none" w:sz="0" w:space="0" w:color="auto"/>
        <w:left w:val="none" w:sz="0" w:space="0" w:color="auto"/>
        <w:bottom w:val="none" w:sz="0" w:space="0" w:color="auto"/>
        <w:right w:val="none" w:sz="0" w:space="0" w:color="auto"/>
      </w:divBdr>
    </w:div>
    <w:div w:id="1542285671">
      <w:bodyDiv w:val="1"/>
      <w:marLeft w:val="0"/>
      <w:marRight w:val="0"/>
      <w:marTop w:val="0"/>
      <w:marBottom w:val="0"/>
      <w:divBdr>
        <w:top w:val="none" w:sz="0" w:space="0" w:color="auto"/>
        <w:left w:val="none" w:sz="0" w:space="0" w:color="auto"/>
        <w:bottom w:val="none" w:sz="0" w:space="0" w:color="auto"/>
        <w:right w:val="none" w:sz="0" w:space="0" w:color="auto"/>
      </w:divBdr>
    </w:div>
    <w:div w:id="1545678479">
      <w:marLeft w:val="0"/>
      <w:marRight w:val="0"/>
      <w:marTop w:val="0"/>
      <w:marBottom w:val="0"/>
      <w:divBdr>
        <w:top w:val="none" w:sz="0" w:space="0" w:color="auto"/>
        <w:left w:val="none" w:sz="0" w:space="0" w:color="auto"/>
        <w:bottom w:val="none" w:sz="0" w:space="0" w:color="auto"/>
        <w:right w:val="none" w:sz="0" w:space="0" w:color="auto"/>
      </w:divBdr>
    </w:div>
    <w:div w:id="1608855317">
      <w:bodyDiv w:val="1"/>
      <w:marLeft w:val="0"/>
      <w:marRight w:val="0"/>
      <w:marTop w:val="0"/>
      <w:marBottom w:val="0"/>
      <w:divBdr>
        <w:top w:val="none" w:sz="0" w:space="0" w:color="auto"/>
        <w:left w:val="none" w:sz="0" w:space="0" w:color="auto"/>
        <w:bottom w:val="none" w:sz="0" w:space="0" w:color="auto"/>
        <w:right w:val="none" w:sz="0" w:space="0" w:color="auto"/>
      </w:divBdr>
    </w:div>
    <w:div w:id="1639920742">
      <w:bodyDiv w:val="1"/>
      <w:marLeft w:val="0"/>
      <w:marRight w:val="0"/>
      <w:marTop w:val="0"/>
      <w:marBottom w:val="0"/>
      <w:divBdr>
        <w:top w:val="none" w:sz="0" w:space="0" w:color="auto"/>
        <w:left w:val="none" w:sz="0" w:space="0" w:color="auto"/>
        <w:bottom w:val="none" w:sz="0" w:space="0" w:color="auto"/>
        <w:right w:val="none" w:sz="0" w:space="0" w:color="auto"/>
      </w:divBdr>
    </w:div>
    <w:div w:id="1668901339">
      <w:bodyDiv w:val="1"/>
      <w:marLeft w:val="0"/>
      <w:marRight w:val="0"/>
      <w:marTop w:val="0"/>
      <w:marBottom w:val="0"/>
      <w:divBdr>
        <w:top w:val="none" w:sz="0" w:space="0" w:color="auto"/>
        <w:left w:val="none" w:sz="0" w:space="0" w:color="auto"/>
        <w:bottom w:val="none" w:sz="0" w:space="0" w:color="auto"/>
        <w:right w:val="none" w:sz="0" w:space="0" w:color="auto"/>
      </w:divBdr>
    </w:div>
    <w:div w:id="1685787614">
      <w:bodyDiv w:val="1"/>
      <w:marLeft w:val="0"/>
      <w:marRight w:val="0"/>
      <w:marTop w:val="0"/>
      <w:marBottom w:val="0"/>
      <w:divBdr>
        <w:top w:val="none" w:sz="0" w:space="0" w:color="auto"/>
        <w:left w:val="none" w:sz="0" w:space="0" w:color="auto"/>
        <w:bottom w:val="none" w:sz="0" w:space="0" w:color="auto"/>
        <w:right w:val="none" w:sz="0" w:space="0" w:color="auto"/>
      </w:divBdr>
    </w:div>
    <w:div w:id="1805460855">
      <w:bodyDiv w:val="1"/>
      <w:marLeft w:val="0"/>
      <w:marRight w:val="0"/>
      <w:marTop w:val="0"/>
      <w:marBottom w:val="0"/>
      <w:divBdr>
        <w:top w:val="none" w:sz="0" w:space="0" w:color="auto"/>
        <w:left w:val="none" w:sz="0" w:space="0" w:color="auto"/>
        <w:bottom w:val="none" w:sz="0" w:space="0" w:color="auto"/>
        <w:right w:val="none" w:sz="0" w:space="0" w:color="auto"/>
      </w:divBdr>
    </w:div>
    <w:div w:id="1810631772">
      <w:bodyDiv w:val="1"/>
      <w:marLeft w:val="0"/>
      <w:marRight w:val="0"/>
      <w:marTop w:val="0"/>
      <w:marBottom w:val="0"/>
      <w:divBdr>
        <w:top w:val="none" w:sz="0" w:space="0" w:color="auto"/>
        <w:left w:val="none" w:sz="0" w:space="0" w:color="auto"/>
        <w:bottom w:val="none" w:sz="0" w:space="0" w:color="auto"/>
        <w:right w:val="none" w:sz="0" w:space="0" w:color="auto"/>
      </w:divBdr>
    </w:div>
    <w:div w:id="1813667073">
      <w:bodyDiv w:val="1"/>
      <w:marLeft w:val="0"/>
      <w:marRight w:val="0"/>
      <w:marTop w:val="0"/>
      <w:marBottom w:val="0"/>
      <w:divBdr>
        <w:top w:val="none" w:sz="0" w:space="0" w:color="auto"/>
        <w:left w:val="none" w:sz="0" w:space="0" w:color="auto"/>
        <w:bottom w:val="none" w:sz="0" w:space="0" w:color="auto"/>
        <w:right w:val="none" w:sz="0" w:space="0" w:color="auto"/>
      </w:divBdr>
    </w:div>
    <w:div w:id="1845393698">
      <w:bodyDiv w:val="1"/>
      <w:marLeft w:val="0"/>
      <w:marRight w:val="0"/>
      <w:marTop w:val="0"/>
      <w:marBottom w:val="0"/>
      <w:divBdr>
        <w:top w:val="none" w:sz="0" w:space="0" w:color="auto"/>
        <w:left w:val="none" w:sz="0" w:space="0" w:color="auto"/>
        <w:bottom w:val="none" w:sz="0" w:space="0" w:color="auto"/>
        <w:right w:val="none" w:sz="0" w:space="0" w:color="auto"/>
      </w:divBdr>
    </w:div>
    <w:div w:id="1877496912">
      <w:bodyDiv w:val="1"/>
      <w:marLeft w:val="0"/>
      <w:marRight w:val="0"/>
      <w:marTop w:val="0"/>
      <w:marBottom w:val="0"/>
      <w:divBdr>
        <w:top w:val="none" w:sz="0" w:space="0" w:color="auto"/>
        <w:left w:val="none" w:sz="0" w:space="0" w:color="auto"/>
        <w:bottom w:val="none" w:sz="0" w:space="0" w:color="auto"/>
        <w:right w:val="none" w:sz="0" w:space="0" w:color="auto"/>
      </w:divBdr>
    </w:div>
    <w:div w:id="1881820192">
      <w:bodyDiv w:val="1"/>
      <w:marLeft w:val="0"/>
      <w:marRight w:val="0"/>
      <w:marTop w:val="0"/>
      <w:marBottom w:val="0"/>
      <w:divBdr>
        <w:top w:val="none" w:sz="0" w:space="0" w:color="auto"/>
        <w:left w:val="none" w:sz="0" w:space="0" w:color="auto"/>
        <w:bottom w:val="none" w:sz="0" w:space="0" w:color="auto"/>
        <w:right w:val="none" w:sz="0" w:space="0" w:color="auto"/>
      </w:divBdr>
    </w:div>
    <w:div w:id="1888493555">
      <w:bodyDiv w:val="1"/>
      <w:marLeft w:val="0"/>
      <w:marRight w:val="0"/>
      <w:marTop w:val="0"/>
      <w:marBottom w:val="0"/>
      <w:divBdr>
        <w:top w:val="none" w:sz="0" w:space="0" w:color="auto"/>
        <w:left w:val="none" w:sz="0" w:space="0" w:color="auto"/>
        <w:bottom w:val="none" w:sz="0" w:space="0" w:color="auto"/>
        <w:right w:val="none" w:sz="0" w:space="0" w:color="auto"/>
      </w:divBdr>
    </w:div>
    <w:div w:id="1921600197">
      <w:bodyDiv w:val="1"/>
      <w:marLeft w:val="0"/>
      <w:marRight w:val="0"/>
      <w:marTop w:val="0"/>
      <w:marBottom w:val="0"/>
      <w:divBdr>
        <w:top w:val="none" w:sz="0" w:space="0" w:color="auto"/>
        <w:left w:val="none" w:sz="0" w:space="0" w:color="auto"/>
        <w:bottom w:val="none" w:sz="0" w:space="0" w:color="auto"/>
        <w:right w:val="none" w:sz="0" w:space="0" w:color="auto"/>
      </w:divBdr>
    </w:div>
    <w:div w:id="1933123468">
      <w:bodyDiv w:val="1"/>
      <w:marLeft w:val="0"/>
      <w:marRight w:val="0"/>
      <w:marTop w:val="0"/>
      <w:marBottom w:val="0"/>
      <w:divBdr>
        <w:top w:val="none" w:sz="0" w:space="0" w:color="auto"/>
        <w:left w:val="none" w:sz="0" w:space="0" w:color="auto"/>
        <w:bottom w:val="none" w:sz="0" w:space="0" w:color="auto"/>
        <w:right w:val="none" w:sz="0" w:space="0" w:color="auto"/>
      </w:divBdr>
    </w:div>
    <w:div w:id="1936478049">
      <w:bodyDiv w:val="1"/>
      <w:marLeft w:val="0"/>
      <w:marRight w:val="0"/>
      <w:marTop w:val="0"/>
      <w:marBottom w:val="0"/>
      <w:divBdr>
        <w:top w:val="none" w:sz="0" w:space="0" w:color="auto"/>
        <w:left w:val="none" w:sz="0" w:space="0" w:color="auto"/>
        <w:bottom w:val="none" w:sz="0" w:space="0" w:color="auto"/>
        <w:right w:val="none" w:sz="0" w:space="0" w:color="auto"/>
      </w:divBdr>
    </w:div>
    <w:div w:id="1938445858">
      <w:bodyDiv w:val="1"/>
      <w:marLeft w:val="0"/>
      <w:marRight w:val="0"/>
      <w:marTop w:val="0"/>
      <w:marBottom w:val="0"/>
      <w:divBdr>
        <w:top w:val="none" w:sz="0" w:space="0" w:color="auto"/>
        <w:left w:val="none" w:sz="0" w:space="0" w:color="auto"/>
        <w:bottom w:val="none" w:sz="0" w:space="0" w:color="auto"/>
        <w:right w:val="none" w:sz="0" w:space="0" w:color="auto"/>
      </w:divBdr>
    </w:div>
    <w:div w:id="1972786762">
      <w:bodyDiv w:val="1"/>
      <w:marLeft w:val="0"/>
      <w:marRight w:val="0"/>
      <w:marTop w:val="0"/>
      <w:marBottom w:val="0"/>
      <w:divBdr>
        <w:top w:val="none" w:sz="0" w:space="0" w:color="auto"/>
        <w:left w:val="none" w:sz="0" w:space="0" w:color="auto"/>
        <w:bottom w:val="none" w:sz="0" w:space="0" w:color="auto"/>
        <w:right w:val="none" w:sz="0" w:space="0" w:color="auto"/>
      </w:divBdr>
    </w:div>
    <w:div w:id="2013293179">
      <w:bodyDiv w:val="1"/>
      <w:marLeft w:val="0"/>
      <w:marRight w:val="0"/>
      <w:marTop w:val="0"/>
      <w:marBottom w:val="0"/>
      <w:divBdr>
        <w:top w:val="none" w:sz="0" w:space="0" w:color="auto"/>
        <w:left w:val="none" w:sz="0" w:space="0" w:color="auto"/>
        <w:bottom w:val="none" w:sz="0" w:space="0" w:color="auto"/>
        <w:right w:val="none" w:sz="0" w:space="0" w:color="auto"/>
      </w:divBdr>
    </w:div>
    <w:div w:id="2017806640">
      <w:bodyDiv w:val="1"/>
      <w:marLeft w:val="0"/>
      <w:marRight w:val="0"/>
      <w:marTop w:val="0"/>
      <w:marBottom w:val="0"/>
      <w:divBdr>
        <w:top w:val="none" w:sz="0" w:space="0" w:color="auto"/>
        <w:left w:val="none" w:sz="0" w:space="0" w:color="auto"/>
        <w:bottom w:val="none" w:sz="0" w:space="0" w:color="auto"/>
        <w:right w:val="none" w:sz="0" w:space="0" w:color="auto"/>
      </w:divBdr>
    </w:div>
    <w:div w:id="2059158390">
      <w:bodyDiv w:val="1"/>
      <w:marLeft w:val="0"/>
      <w:marRight w:val="0"/>
      <w:marTop w:val="0"/>
      <w:marBottom w:val="0"/>
      <w:divBdr>
        <w:top w:val="none" w:sz="0" w:space="0" w:color="auto"/>
        <w:left w:val="none" w:sz="0" w:space="0" w:color="auto"/>
        <w:bottom w:val="none" w:sz="0" w:space="0" w:color="auto"/>
        <w:right w:val="none" w:sz="0" w:space="0" w:color="auto"/>
      </w:divBdr>
    </w:div>
    <w:div w:id="2076387564">
      <w:bodyDiv w:val="1"/>
      <w:marLeft w:val="0"/>
      <w:marRight w:val="0"/>
      <w:marTop w:val="0"/>
      <w:marBottom w:val="0"/>
      <w:divBdr>
        <w:top w:val="none" w:sz="0" w:space="0" w:color="auto"/>
        <w:left w:val="none" w:sz="0" w:space="0" w:color="auto"/>
        <w:bottom w:val="none" w:sz="0" w:space="0" w:color="auto"/>
        <w:right w:val="none" w:sz="0" w:space="0" w:color="auto"/>
      </w:divBdr>
    </w:div>
    <w:div w:id="21364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AA9CC-AA08-4CAC-AC20-E843ACF0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12165</TotalTime>
  <Pages>15</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Daijun Chen</dc:creator>
  <cp:keywords/>
  <dc:description/>
  <cp:lastModifiedBy>Windows 用户</cp:lastModifiedBy>
  <cp:revision>25</cp:revision>
  <cp:lastPrinted>2018-04-20T09:37:00Z</cp:lastPrinted>
  <dcterms:created xsi:type="dcterms:W3CDTF">2018-04-06T07:04:00Z</dcterms:created>
  <dcterms:modified xsi:type="dcterms:W3CDTF">2018-06-05T07:11:00Z</dcterms:modified>
</cp:coreProperties>
</file>