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A4F35">
      <w:pPr>
        <w:rPr>
          <w:rFonts w:ascii="Times New Roman" w:hAnsi="Times New Roman" w:cs="Times New Roman"/>
          <w:b/>
          <w:bCs/>
          <w:sz w:val="36"/>
          <w:szCs w:val="36"/>
        </w:rPr>
      </w:pPr>
      <w:r>
        <w:rPr>
          <w:rFonts w:ascii="Times New Roman" w:hAnsi="Times New Roman" w:cs="Times New Roman"/>
          <w:b/>
          <w:bCs/>
          <w:sz w:val="36"/>
          <w:szCs w:val="36"/>
        </w:rPr>
        <w:t>Project Design Phase: Proposed Solution</w:t>
      </w:r>
    </w:p>
    <w:tbl>
      <w:tblPr>
        <w:tblStyle w:val="12"/>
        <w:tblW w:w="0" w:type="auto"/>
        <w:tblCellSpacing w:w="15" w:type="dxa"/>
        <w:tblInd w:w="0" w:type="dxa"/>
        <w:tblLayout w:type="autofit"/>
        <w:tblCellMar>
          <w:top w:w="15" w:type="dxa"/>
          <w:left w:w="15" w:type="dxa"/>
          <w:bottom w:w="15" w:type="dxa"/>
          <w:right w:w="15" w:type="dxa"/>
        </w:tblCellMar>
      </w:tblPr>
      <w:tblGrid>
        <w:gridCol w:w="1912"/>
        <w:gridCol w:w="5738"/>
      </w:tblGrid>
      <w:tr w14:paraId="68AB9DA5">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58164A6">
            <w:pPr>
              <w:rPr>
                <w:rFonts w:ascii="Times New Roman" w:hAnsi="Times New Roman" w:cs="Times New Roman"/>
              </w:rPr>
            </w:pPr>
            <w:r>
              <w:rPr>
                <w:rFonts w:ascii="Times New Roman" w:hAnsi="Times New Roman" w:cs="Times New Roman"/>
                <w:b/>
                <w:bCs/>
              </w:rPr>
              <w:t>Date</w:t>
            </w:r>
          </w:p>
        </w:tc>
        <w:tc>
          <w:tcPr>
            <w:tcW w:w="0" w:type="auto"/>
            <w:tcBorders>
              <w:top w:val="single" w:color="auto" w:sz="6" w:space="0"/>
              <w:left w:val="single" w:color="auto" w:sz="6" w:space="0"/>
              <w:bottom w:val="single" w:color="auto" w:sz="6" w:space="0"/>
              <w:right w:val="single" w:color="auto" w:sz="6" w:space="0"/>
            </w:tcBorders>
            <w:vAlign w:val="center"/>
          </w:tcPr>
          <w:p w14:paraId="2FFF1A95">
            <w:pPr>
              <w:rPr>
                <w:rFonts w:ascii="Times New Roman" w:hAnsi="Times New Roman" w:cs="Times New Roman"/>
              </w:rPr>
            </w:pPr>
            <w:r>
              <w:rPr>
                <w:rFonts w:ascii="Times New Roman" w:hAnsi="Times New Roman" w:cs="Times New Roman"/>
              </w:rPr>
              <w:t xml:space="preserve">05 April 2026 </w:t>
            </w:r>
          </w:p>
        </w:tc>
      </w:tr>
      <w:tr w14:paraId="09AB652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ACBA2C7">
            <w:pPr>
              <w:rPr>
                <w:rFonts w:ascii="Times New Roman" w:hAnsi="Times New Roman" w:cs="Times New Roman"/>
              </w:rPr>
            </w:pPr>
            <w:r>
              <w:rPr>
                <w:rFonts w:ascii="Times New Roman" w:hAnsi="Times New Roman" w:cs="Times New Roman"/>
                <w:b/>
                <w:bCs/>
              </w:rPr>
              <w:t>Team ID</w:t>
            </w:r>
          </w:p>
        </w:tc>
        <w:tc>
          <w:tcPr>
            <w:tcW w:w="0" w:type="auto"/>
            <w:tcBorders>
              <w:top w:val="single" w:color="auto" w:sz="6" w:space="0"/>
              <w:left w:val="single" w:color="auto" w:sz="6" w:space="0"/>
              <w:bottom w:val="single" w:color="auto" w:sz="6" w:space="0"/>
              <w:right w:val="single" w:color="auto" w:sz="6" w:space="0"/>
            </w:tcBorders>
            <w:vAlign w:val="center"/>
          </w:tcPr>
          <w:p w14:paraId="11306BFC">
            <w:pPr>
              <w:rPr>
                <w:rFonts w:ascii="Times New Roman" w:hAnsi="Times New Roman" w:cs="Times New Roman"/>
              </w:rPr>
            </w:pPr>
            <w:r>
              <w:rPr>
                <w:rFonts w:hint="default" w:ascii="Times New Roman" w:hAnsi="Times New Roman"/>
              </w:rPr>
              <w:t>69c0bdcbc71a9ebd6a519107</w:t>
            </w:r>
            <w:bookmarkStart w:id="0" w:name="_GoBack"/>
            <w:bookmarkEnd w:id="0"/>
            <w:r>
              <w:rPr>
                <w:rFonts w:ascii="Times New Roman" w:hAnsi="Times New Roman" w:cs="Times New Roman"/>
              </w:rPr>
              <w:t xml:space="preserve"> </w:t>
            </w:r>
          </w:p>
        </w:tc>
      </w:tr>
      <w:tr w14:paraId="2AE3E2A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F549BBB">
            <w:pPr>
              <w:rPr>
                <w:rFonts w:ascii="Times New Roman" w:hAnsi="Times New Roman" w:cs="Times New Roman"/>
              </w:rPr>
            </w:pPr>
            <w:r>
              <w:rPr>
                <w:rFonts w:ascii="Times New Roman" w:hAnsi="Times New Roman" w:cs="Times New Roman"/>
                <w:b/>
                <w:bCs/>
              </w:rPr>
              <w:t>Project Name</w:t>
            </w:r>
          </w:p>
        </w:tc>
        <w:tc>
          <w:tcPr>
            <w:tcW w:w="0" w:type="auto"/>
            <w:tcBorders>
              <w:top w:val="single" w:color="auto" w:sz="6" w:space="0"/>
              <w:left w:val="single" w:color="auto" w:sz="6" w:space="0"/>
              <w:bottom w:val="single" w:color="auto" w:sz="6" w:space="0"/>
              <w:right w:val="single" w:color="auto" w:sz="6" w:space="0"/>
            </w:tcBorders>
            <w:vAlign w:val="center"/>
          </w:tcPr>
          <w:p w14:paraId="3BE71380">
            <w:pPr>
              <w:rPr>
                <w:rFonts w:ascii="Times New Roman" w:hAnsi="Times New Roman" w:cs="Times New Roman"/>
              </w:rPr>
            </w:pPr>
            <w:r>
              <w:rPr>
                <w:rFonts w:ascii="Times New Roman" w:hAnsi="Times New Roman" w:cs="Times New Roman"/>
              </w:rPr>
              <w:t xml:space="preserve">Enforcing Mandatory Fields via UI Policies and Migration </w:t>
            </w:r>
          </w:p>
        </w:tc>
      </w:tr>
      <w:tr w14:paraId="6AF0EE0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37BE423">
            <w:pPr>
              <w:rPr>
                <w:rFonts w:ascii="Times New Roman" w:hAnsi="Times New Roman" w:cs="Times New Roman"/>
              </w:rPr>
            </w:pPr>
            <w:r>
              <w:rPr>
                <w:rFonts w:ascii="Times New Roman" w:hAnsi="Times New Roman" w:cs="Times New Roman"/>
                <w:b/>
                <w:bCs/>
              </w:rPr>
              <w:t>Maximum Marks</w:t>
            </w:r>
          </w:p>
        </w:tc>
        <w:tc>
          <w:tcPr>
            <w:tcW w:w="0" w:type="auto"/>
            <w:tcBorders>
              <w:top w:val="single" w:color="auto" w:sz="6" w:space="0"/>
              <w:left w:val="single" w:color="auto" w:sz="6" w:space="0"/>
              <w:bottom w:val="single" w:color="auto" w:sz="6" w:space="0"/>
              <w:right w:val="single" w:color="auto" w:sz="6" w:space="0"/>
            </w:tcBorders>
            <w:vAlign w:val="center"/>
          </w:tcPr>
          <w:p w14:paraId="42EBCBA9">
            <w:pPr>
              <w:rPr>
                <w:rFonts w:ascii="Times New Roman" w:hAnsi="Times New Roman" w:cs="Times New Roman"/>
              </w:rPr>
            </w:pPr>
          </w:p>
        </w:tc>
      </w:tr>
    </w:tbl>
    <w:p w14:paraId="37E8885E">
      <w:pPr>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6EC44182">
      <w:pPr>
        <w:rPr>
          <w:rFonts w:ascii="Times New Roman" w:hAnsi="Times New Roman" w:cs="Times New Roman"/>
          <w:b/>
          <w:bCs/>
        </w:rPr>
      </w:pPr>
      <w:r>
        <w:rPr>
          <w:rFonts w:ascii="Times New Roman" w:hAnsi="Times New Roman" w:cs="Times New Roman"/>
          <w:b/>
          <w:bCs/>
        </w:rPr>
        <w:t>Solution Template Details</w:t>
      </w:r>
    </w:p>
    <w:tbl>
      <w:tblPr>
        <w:tblStyle w:val="12"/>
        <w:tblW w:w="0" w:type="auto"/>
        <w:tblCellSpacing w:w="15" w:type="dxa"/>
        <w:tblInd w:w="0" w:type="dxa"/>
        <w:tblLayout w:type="autofit"/>
        <w:tblCellMar>
          <w:top w:w="15" w:type="dxa"/>
          <w:left w:w="15" w:type="dxa"/>
          <w:bottom w:w="15" w:type="dxa"/>
          <w:right w:w="15" w:type="dxa"/>
        </w:tblCellMar>
      </w:tblPr>
      <w:tblGrid>
        <w:gridCol w:w="652"/>
        <w:gridCol w:w="1829"/>
        <w:gridCol w:w="6665"/>
      </w:tblGrid>
      <w:tr w14:paraId="5C3A4033">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A11FD60">
            <w:pPr>
              <w:rPr>
                <w:rFonts w:ascii="Times New Roman" w:hAnsi="Times New Roman" w:cs="Times New Roman"/>
              </w:rPr>
            </w:pPr>
            <w:r>
              <w:rPr>
                <w:rFonts w:ascii="Times New Roman" w:hAnsi="Times New Roman" w:cs="Times New Roman"/>
                <w:b/>
                <w:bCs/>
              </w:rPr>
              <w:t>S.No.</w:t>
            </w:r>
          </w:p>
        </w:tc>
        <w:tc>
          <w:tcPr>
            <w:tcW w:w="0" w:type="auto"/>
            <w:tcBorders>
              <w:top w:val="single" w:color="auto" w:sz="6" w:space="0"/>
              <w:left w:val="single" w:color="auto" w:sz="6" w:space="0"/>
              <w:bottom w:val="single" w:color="auto" w:sz="6" w:space="0"/>
              <w:right w:val="single" w:color="auto" w:sz="6" w:space="0"/>
            </w:tcBorders>
            <w:vAlign w:val="center"/>
          </w:tcPr>
          <w:p w14:paraId="1F325479">
            <w:pPr>
              <w:rPr>
                <w:rFonts w:ascii="Times New Roman" w:hAnsi="Times New Roman" w:cs="Times New Roman"/>
              </w:rPr>
            </w:pPr>
            <w:r>
              <w:rPr>
                <w:rFonts w:ascii="Times New Roman" w:hAnsi="Times New Roman" w:cs="Times New Roman"/>
                <w:b/>
                <w:bCs/>
              </w:rPr>
              <w:t>Parameter</w:t>
            </w:r>
          </w:p>
        </w:tc>
        <w:tc>
          <w:tcPr>
            <w:tcW w:w="0" w:type="auto"/>
            <w:tcBorders>
              <w:top w:val="single" w:color="auto" w:sz="6" w:space="0"/>
              <w:left w:val="single" w:color="auto" w:sz="6" w:space="0"/>
              <w:bottom w:val="single" w:color="auto" w:sz="6" w:space="0"/>
              <w:right w:val="single" w:color="auto" w:sz="6" w:space="0"/>
            </w:tcBorders>
            <w:vAlign w:val="center"/>
          </w:tcPr>
          <w:p w14:paraId="68DF5E87">
            <w:pPr>
              <w:rPr>
                <w:rFonts w:ascii="Times New Roman" w:hAnsi="Times New Roman" w:cs="Times New Roman"/>
              </w:rPr>
            </w:pPr>
            <w:r>
              <w:rPr>
                <w:rFonts w:ascii="Times New Roman" w:hAnsi="Times New Roman" w:cs="Times New Roman"/>
                <w:b/>
                <w:bCs/>
              </w:rPr>
              <w:t>Description</w:t>
            </w:r>
          </w:p>
        </w:tc>
      </w:tr>
      <w:tr w14:paraId="2D6B0A6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1BDD897">
            <w:pPr>
              <w:rPr>
                <w:rFonts w:ascii="Times New Roman" w:hAnsi="Times New Roman" w:cs="Times New Roman"/>
              </w:rPr>
            </w:pPr>
            <w:r>
              <w:rPr>
                <w:rFonts w:ascii="Times New Roman" w:hAnsi="Times New Roman" w:cs="Times New Roman"/>
                <w:b/>
                <w:bCs/>
              </w:rPr>
              <w:t>1</w:t>
            </w:r>
          </w:p>
        </w:tc>
        <w:tc>
          <w:tcPr>
            <w:tcW w:w="0" w:type="auto"/>
            <w:tcBorders>
              <w:top w:val="single" w:color="auto" w:sz="6" w:space="0"/>
              <w:left w:val="single" w:color="auto" w:sz="6" w:space="0"/>
              <w:bottom w:val="single" w:color="auto" w:sz="6" w:space="0"/>
              <w:right w:val="single" w:color="auto" w:sz="6" w:space="0"/>
            </w:tcBorders>
            <w:vAlign w:val="center"/>
          </w:tcPr>
          <w:p w14:paraId="2B2B008F">
            <w:pPr>
              <w:rPr>
                <w:rFonts w:ascii="Times New Roman" w:hAnsi="Times New Roman" w:cs="Times New Roman"/>
              </w:rPr>
            </w:pPr>
            <w:r>
              <w:rPr>
                <w:rFonts w:ascii="Times New Roman" w:hAnsi="Times New Roman" w:cs="Times New Roman"/>
                <w:b/>
                <w:bCs/>
              </w:rPr>
              <w:t>Problem Statement</w:t>
            </w:r>
          </w:p>
        </w:tc>
        <w:tc>
          <w:tcPr>
            <w:tcW w:w="0" w:type="auto"/>
            <w:tcBorders>
              <w:top w:val="single" w:color="auto" w:sz="6" w:space="0"/>
              <w:left w:val="single" w:color="auto" w:sz="6" w:space="0"/>
              <w:bottom w:val="single" w:color="auto" w:sz="6" w:space="0"/>
              <w:right w:val="single" w:color="auto" w:sz="6" w:space="0"/>
            </w:tcBorders>
            <w:vAlign w:val="center"/>
          </w:tcPr>
          <w:p w14:paraId="2BC1306A">
            <w:pPr>
              <w:rPr>
                <w:rFonts w:ascii="Times New Roman" w:hAnsi="Times New Roman" w:cs="Times New Roman"/>
              </w:rPr>
            </w:pPr>
            <w:r>
              <w:rPr>
                <w:rFonts w:ascii="Times New Roman" w:hAnsi="Times New Roman" w:cs="Times New Roman"/>
              </w:rPr>
              <w:t xml:space="preserve">Manual data entry often leads to incomplete records in ServiceNow, causing reporting inaccuracies. There is a need to enforce data integrity dynamically without complex scripting and a requirement to move these configurations across environments (Dev to Prod) seamlessly. </w:t>
            </w:r>
          </w:p>
        </w:tc>
      </w:tr>
      <w:tr w14:paraId="28AE383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E7AFE96">
            <w:pPr>
              <w:rPr>
                <w:rFonts w:ascii="Times New Roman" w:hAnsi="Times New Roman" w:cs="Times New Roman"/>
              </w:rPr>
            </w:pPr>
            <w:r>
              <w:rPr>
                <w:rFonts w:ascii="Times New Roman" w:hAnsi="Times New Roman" w:cs="Times New Roman"/>
                <w:b/>
                <w:bCs/>
              </w:rPr>
              <w:t>2</w:t>
            </w:r>
          </w:p>
        </w:tc>
        <w:tc>
          <w:tcPr>
            <w:tcW w:w="0" w:type="auto"/>
            <w:tcBorders>
              <w:top w:val="single" w:color="auto" w:sz="6" w:space="0"/>
              <w:left w:val="single" w:color="auto" w:sz="6" w:space="0"/>
              <w:bottom w:val="single" w:color="auto" w:sz="6" w:space="0"/>
              <w:right w:val="single" w:color="auto" w:sz="6" w:space="0"/>
            </w:tcBorders>
            <w:vAlign w:val="center"/>
          </w:tcPr>
          <w:p w14:paraId="4F85B348">
            <w:pPr>
              <w:rPr>
                <w:rFonts w:ascii="Times New Roman" w:hAnsi="Times New Roman" w:cs="Times New Roman"/>
              </w:rPr>
            </w:pPr>
            <w:r>
              <w:rPr>
                <w:rFonts w:ascii="Times New Roman" w:hAnsi="Times New Roman" w:cs="Times New Roman"/>
                <w:b/>
                <w:bCs/>
              </w:rPr>
              <w:t>Idea / Solution Description</w:t>
            </w:r>
          </w:p>
        </w:tc>
        <w:tc>
          <w:tcPr>
            <w:tcW w:w="0" w:type="auto"/>
            <w:tcBorders>
              <w:top w:val="single" w:color="auto" w:sz="6" w:space="0"/>
              <w:left w:val="single" w:color="auto" w:sz="6" w:space="0"/>
              <w:bottom w:val="single" w:color="auto" w:sz="6" w:space="0"/>
              <w:right w:val="single" w:color="auto" w:sz="6" w:space="0"/>
            </w:tcBorders>
            <w:vAlign w:val="center"/>
          </w:tcPr>
          <w:p w14:paraId="573BB57C">
            <w:pPr>
              <w:rPr>
                <w:rFonts w:ascii="Times New Roman" w:hAnsi="Times New Roman" w:cs="Times New Roman"/>
              </w:rPr>
            </w:pPr>
            <w:r>
              <w:rPr>
                <w:rFonts w:ascii="Times New Roman" w:hAnsi="Times New Roman" w:cs="Times New Roman"/>
              </w:rPr>
              <w:t xml:space="preserve">Use </w:t>
            </w:r>
            <w:r>
              <w:rPr>
                <w:rFonts w:ascii="Times New Roman" w:hAnsi="Times New Roman" w:cs="Times New Roman"/>
                <w:b/>
                <w:bCs/>
              </w:rPr>
              <w:t>ServiceNow UI Policies</w:t>
            </w:r>
            <w:r>
              <w:rPr>
                <w:rFonts w:ascii="Times New Roman" w:hAnsi="Times New Roman" w:cs="Times New Roman"/>
              </w:rPr>
              <w:t xml:space="preserve"> to set field attributes (Mandatory, Visible, Read-only) based on specific conditions on the client side. To move these changes, </w:t>
            </w:r>
            <w:r>
              <w:rPr>
                <w:rFonts w:ascii="Times New Roman" w:hAnsi="Times New Roman" w:cs="Times New Roman"/>
                <w:b/>
                <w:bCs/>
              </w:rPr>
              <w:t>Update Sets</w:t>
            </w:r>
            <w:r>
              <w:rPr>
                <w:rFonts w:ascii="Times New Roman" w:hAnsi="Times New Roman" w:cs="Times New Roman"/>
              </w:rPr>
              <w:t xml:space="preserve"> will be utilized to capture the XML definitions of the UI Policies and UI Policy Actions for migration. </w:t>
            </w:r>
          </w:p>
        </w:tc>
      </w:tr>
      <w:tr w14:paraId="016B1DF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EAEFAC8">
            <w:pPr>
              <w:rPr>
                <w:rFonts w:ascii="Times New Roman" w:hAnsi="Times New Roman" w:cs="Times New Roman"/>
              </w:rPr>
            </w:pPr>
            <w:r>
              <w:rPr>
                <w:rFonts w:ascii="Times New Roman" w:hAnsi="Times New Roman" w:cs="Times New Roman"/>
                <w:b/>
                <w:bCs/>
              </w:rPr>
              <w:t>3</w:t>
            </w:r>
          </w:p>
        </w:tc>
        <w:tc>
          <w:tcPr>
            <w:tcW w:w="0" w:type="auto"/>
            <w:tcBorders>
              <w:top w:val="single" w:color="auto" w:sz="6" w:space="0"/>
              <w:left w:val="single" w:color="auto" w:sz="6" w:space="0"/>
              <w:bottom w:val="single" w:color="auto" w:sz="6" w:space="0"/>
              <w:right w:val="single" w:color="auto" w:sz="6" w:space="0"/>
            </w:tcBorders>
            <w:vAlign w:val="center"/>
          </w:tcPr>
          <w:p w14:paraId="59D7A6F7">
            <w:pPr>
              <w:rPr>
                <w:rFonts w:ascii="Times New Roman" w:hAnsi="Times New Roman" w:cs="Times New Roman"/>
              </w:rPr>
            </w:pPr>
            <w:r>
              <w:rPr>
                <w:rFonts w:ascii="Times New Roman" w:hAnsi="Times New Roman" w:cs="Times New Roman"/>
                <w:b/>
                <w:bCs/>
              </w:rPr>
              <w:t>Novelty / Uniqueness</w:t>
            </w:r>
          </w:p>
        </w:tc>
        <w:tc>
          <w:tcPr>
            <w:tcW w:w="0" w:type="auto"/>
            <w:tcBorders>
              <w:top w:val="single" w:color="auto" w:sz="6" w:space="0"/>
              <w:left w:val="single" w:color="auto" w:sz="6" w:space="0"/>
              <w:bottom w:val="single" w:color="auto" w:sz="6" w:space="0"/>
              <w:right w:val="single" w:color="auto" w:sz="6" w:space="0"/>
            </w:tcBorders>
            <w:vAlign w:val="center"/>
          </w:tcPr>
          <w:p w14:paraId="412D498B">
            <w:pPr>
              <w:rPr>
                <w:rFonts w:ascii="Times New Roman" w:hAnsi="Times New Roman" w:cs="Times New Roman"/>
              </w:rPr>
            </w:pPr>
            <w:r>
              <w:rPr>
                <w:rFonts w:ascii="Times New Roman" w:hAnsi="Times New Roman" w:cs="Times New Roman"/>
              </w:rPr>
              <w:t xml:space="preserve">This approach leverages </w:t>
            </w:r>
            <w:r>
              <w:rPr>
                <w:rFonts w:ascii="Times New Roman" w:hAnsi="Times New Roman" w:cs="Times New Roman"/>
                <w:b/>
                <w:bCs/>
              </w:rPr>
              <w:t>No-Code/Low-Code</w:t>
            </w:r>
            <w:r>
              <w:rPr>
                <w:rFonts w:ascii="Times New Roman" w:hAnsi="Times New Roman" w:cs="Times New Roman"/>
              </w:rPr>
              <w:t xml:space="preserve"> logic, reducing the technical debt associated with Client Scripts. It ensures that data validation is handled at the UI layer, providing immediate feedback to the user before the form is submitted.</w:t>
            </w:r>
          </w:p>
        </w:tc>
      </w:tr>
      <w:tr w14:paraId="30EA1BE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56A00C7">
            <w:pPr>
              <w:rPr>
                <w:rFonts w:ascii="Times New Roman" w:hAnsi="Times New Roman" w:cs="Times New Roman"/>
              </w:rPr>
            </w:pPr>
            <w:r>
              <w:rPr>
                <w:rFonts w:ascii="Times New Roman" w:hAnsi="Times New Roman" w:cs="Times New Roman"/>
                <w:b/>
                <w:bCs/>
              </w:rPr>
              <w:t>4</w:t>
            </w:r>
          </w:p>
        </w:tc>
        <w:tc>
          <w:tcPr>
            <w:tcW w:w="0" w:type="auto"/>
            <w:tcBorders>
              <w:top w:val="single" w:color="auto" w:sz="6" w:space="0"/>
              <w:left w:val="single" w:color="auto" w:sz="6" w:space="0"/>
              <w:bottom w:val="single" w:color="auto" w:sz="6" w:space="0"/>
              <w:right w:val="single" w:color="auto" w:sz="6" w:space="0"/>
            </w:tcBorders>
            <w:vAlign w:val="center"/>
          </w:tcPr>
          <w:p w14:paraId="4EAC768F">
            <w:pPr>
              <w:rPr>
                <w:rFonts w:ascii="Times New Roman" w:hAnsi="Times New Roman" w:cs="Times New Roman"/>
              </w:rPr>
            </w:pPr>
            <w:r>
              <w:rPr>
                <w:rFonts w:ascii="Times New Roman" w:hAnsi="Times New Roman" w:cs="Times New Roman"/>
                <w:b/>
                <w:bCs/>
              </w:rPr>
              <w:t>Social Impact / Customer Satisfaction</w:t>
            </w:r>
          </w:p>
        </w:tc>
        <w:tc>
          <w:tcPr>
            <w:tcW w:w="0" w:type="auto"/>
            <w:tcBorders>
              <w:top w:val="single" w:color="auto" w:sz="6" w:space="0"/>
              <w:left w:val="single" w:color="auto" w:sz="6" w:space="0"/>
              <w:bottom w:val="single" w:color="auto" w:sz="6" w:space="0"/>
              <w:right w:val="single" w:color="auto" w:sz="6" w:space="0"/>
            </w:tcBorders>
            <w:vAlign w:val="center"/>
          </w:tcPr>
          <w:p w14:paraId="494D2DFD">
            <w:pPr>
              <w:rPr>
                <w:rFonts w:ascii="Times New Roman" w:hAnsi="Times New Roman" w:cs="Times New Roman"/>
              </w:rPr>
            </w:pPr>
            <w:r>
              <w:rPr>
                <w:rFonts w:ascii="Times New Roman" w:hAnsi="Times New Roman" w:cs="Times New Roman"/>
              </w:rPr>
              <w:t>Improves the user experience by clearly marking required information, which leads to higher quality data. For the business, this results in more reliable analytics and faster ticket resolution times due to complete initial data.</w:t>
            </w:r>
          </w:p>
        </w:tc>
      </w:tr>
      <w:tr w14:paraId="701DC66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03E24D9">
            <w:pPr>
              <w:rPr>
                <w:rFonts w:ascii="Times New Roman" w:hAnsi="Times New Roman" w:cs="Times New Roman"/>
              </w:rPr>
            </w:pPr>
            <w:r>
              <w:rPr>
                <w:rFonts w:ascii="Times New Roman" w:hAnsi="Times New Roman" w:cs="Times New Roman"/>
                <w:b/>
                <w:bCs/>
              </w:rPr>
              <w:t>5</w:t>
            </w:r>
          </w:p>
        </w:tc>
        <w:tc>
          <w:tcPr>
            <w:tcW w:w="0" w:type="auto"/>
            <w:tcBorders>
              <w:top w:val="single" w:color="auto" w:sz="6" w:space="0"/>
              <w:left w:val="single" w:color="auto" w:sz="6" w:space="0"/>
              <w:bottom w:val="single" w:color="auto" w:sz="6" w:space="0"/>
              <w:right w:val="single" w:color="auto" w:sz="6" w:space="0"/>
            </w:tcBorders>
            <w:vAlign w:val="center"/>
          </w:tcPr>
          <w:p w14:paraId="0B1852D5">
            <w:pPr>
              <w:rPr>
                <w:rFonts w:ascii="Times New Roman" w:hAnsi="Times New Roman" w:cs="Times New Roman"/>
              </w:rPr>
            </w:pPr>
            <w:r>
              <w:rPr>
                <w:rFonts w:ascii="Times New Roman" w:hAnsi="Times New Roman" w:cs="Times New Roman"/>
                <w:b/>
                <w:bCs/>
              </w:rPr>
              <w:t>Business Model (Revenue Model)</w:t>
            </w:r>
          </w:p>
        </w:tc>
        <w:tc>
          <w:tcPr>
            <w:tcW w:w="0" w:type="auto"/>
            <w:tcBorders>
              <w:top w:val="single" w:color="auto" w:sz="6" w:space="0"/>
              <w:left w:val="single" w:color="auto" w:sz="6" w:space="0"/>
              <w:bottom w:val="single" w:color="auto" w:sz="6" w:space="0"/>
              <w:right w:val="single" w:color="auto" w:sz="6" w:space="0"/>
            </w:tcBorders>
            <w:vAlign w:val="center"/>
          </w:tcPr>
          <w:p w14:paraId="3F2E591F">
            <w:pPr>
              <w:rPr>
                <w:rFonts w:ascii="Times New Roman" w:hAnsi="Times New Roman" w:cs="Times New Roman"/>
              </w:rPr>
            </w:pPr>
            <w:r>
              <w:rPr>
                <w:rFonts w:ascii="Times New Roman" w:hAnsi="Times New Roman" w:cs="Times New Roman"/>
              </w:rPr>
              <w:t>Reduces operational costs by minimizing the time developers spend on manual migrations and troubleshooting "bad data." Standardizing migration via Update Sets ensures high availability and system stability.</w:t>
            </w:r>
          </w:p>
        </w:tc>
      </w:tr>
      <w:tr w14:paraId="5A91634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150B2C9">
            <w:pPr>
              <w:rPr>
                <w:rFonts w:ascii="Times New Roman" w:hAnsi="Times New Roman" w:cs="Times New Roman"/>
              </w:rPr>
            </w:pPr>
            <w:r>
              <w:rPr>
                <w:rFonts w:ascii="Times New Roman" w:hAnsi="Times New Roman" w:cs="Times New Roman"/>
                <w:b/>
                <w:bCs/>
              </w:rPr>
              <w:t>6</w:t>
            </w:r>
          </w:p>
        </w:tc>
        <w:tc>
          <w:tcPr>
            <w:tcW w:w="0" w:type="auto"/>
            <w:tcBorders>
              <w:top w:val="single" w:color="auto" w:sz="6" w:space="0"/>
              <w:left w:val="single" w:color="auto" w:sz="6" w:space="0"/>
              <w:bottom w:val="single" w:color="auto" w:sz="6" w:space="0"/>
              <w:right w:val="single" w:color="auto" w:sz="6" w:space="0"/>
            </w:tcBorders>
            <w:vAlign w:val="center"/>
          </w:tcPr>
          <w:p w14:paraId="4FE7955F">
            <w:pPr>
              <w:rPr>
                <w:rFonts w:ascii="Times New Roman" w:hAnsi="Times New Roman" w:cs="Times New Roman"/>
              </w:rPr>
            </w:pPr>
            <w:r>
              <w:rPr>
                <w:rFonts w:ascii="Times New Roman" w:hAnsi="Times New Roman" w:cs="Times New Roman"/>
                <w:b/>
                <w:bCs/>
              </w:rPr>
              <w:t>Scalability of the Solution</w:t>
            </w:r>
          </w:p>
        </w:tc>
        <w:tc>
          <w:tcPr>
            <w:tcW w:w="0" w:type="auto"/>
            <w:tcBorders>
              <w:top w:val="single" w:color="auto" w:sz="6" w:space="0"/>
              <w:left w:val="single" w:color="auto" w:sz="6" w:space="0"/>
              <w:bottom w:val="single" w:color="auto" w:sz="6" w:space="0"/>
              <w:right w:val="single" w:color="auto" w:sz="6" w:space="0"/>
            </w:tcBorders>
            <w:vAlign w:val="center"/>
          </w:tcPr>
          <w:p w14:paraId="025A3AE0">
            <w:pPr>
              <w:rPr>
                <w:rFonts w:ascii="Times New Roman" w:hAnsi="Times New Roman" w:cs="Times New Roman"/>
              </w:rPr>
            </w:pPr>
            <w:r>
              <w:rPr>
                <w:rFonts w:ascii="Times New Roman" w:hAnsi="Times New Roman" w:cs="Times New Roman"/>
              </w:rPr>
              <w:t>The solution is highly scalable as UI Policies can be applied to parent tables (like Task) to affect all child tables. Update Sets can also be batched to handle large-scale enterprise deployments involving hundreds of configuration changes.</w:t>
            </w:r>
          </w:p>
        </w:tc>
      </w:tr>
    </w:tbl>
    <w:p w14:paraId="3AEF9CF1">
      <w:pPr>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56D"/>
    <w:rsid w:val="0027156D"/>
    <w:rsid w:val="004F19AF"/>
    <w:rsid w:val="00726ED8"/>
    <w:rsid w:val="00A65712"/>
    <w:rsid w:val="180C3C5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Pages>
  <Words>280</Words>
  <Characters>1596</Characters>
  <Lines>13</Lines>
  <Paragraphs>3</Paragraphs>
  <TotalTime>0</TotalTime>
  <ScaleCrop>false</ScaleCrop>
  <LinksUpToDate>false</LinksUpToDate>
  <CharactersWithSpaces>1873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2026-04-04T11:58:00Z</dcterms:created>
  <dc:creator>keerthikakeerthi176@gmail.com</dc:creator>
  <cp:lastModifiedBy>ADMIN</cp:lastModifiedBy>
  <dcterms:modified xsi:type="dcterms:W3CDTF">2026-04-06T08:27:17Z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476EF6153031485084364DFEEE5ABF86_13</vt:lpwstr>
  </property>
</Properties>
</file>