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640" w:firstLineChars="200"/>
        <w:jc w:val="center"/>
        <w:rPr>
          <w:rFonts w:hint="eastAsia" w:ascii="黑体" w:hAnsi="黑体" w:eastAsia="黑体"/>
          <w:sz w:val="32"/>
          <w:szCs w:val="32"/>
        </w:rPr>
      </w:pPr>
      <w:r>
        <w:rPr>
          <w:rFonts w:hint="eastAsia" w:ascii="黑体" w:hAnsi="黑体" w:eastAsia="黑体"/>
          <w:sz w:val="32"/>
          <w:szCs w:val="32"/>
        </w:rPr>
        <w:t>“京东杯”</w:t>
      </w:r>
      <w:r>
        <w:rPr>
          <w:rFonts w:hint="eastAsia" w:ascii="黑体" w:hAnsi="黑体" w:eastAsia="黑体"/>
          <w:sz w:val="32"/>
          <w:szCs w:val="32"/>
          <w:lang w:eastAsia="zh-CN"/>
        </w:rPr>
        <w:t>中国人民大学</w:t>
      </w:r>
      <w:r>
        <w:rPr>
          <w:rFonts w:hint="eastAsia" w:ascii="黑体" w:hAnsi="黑体" w:eastAsia="黑体"/>
          <w:sz w:val="32"/>
          <w:szCs w:val="32"/>
        </w:rPr>
        <w:t>第十</w:t>
      </w:r>
      <w:r>
        <w:rPr>
          <w:rFonts w:hint="eastAsia" w:ascii="黑体" w:hAnsi="黑体" w:eastAsia="黑体"/>
          <w:sz w:val="32"/>
          <w:szCs w:val="32"/>
          <w:lang w:val="en-US" w:eastAsia="zh-CN"/>
        </w:rPr>
        <w:t>七</w:t>
      </w:r>
      <w:r>
        <w:rPr>
          <w:rFonts w:hint="eastAsia" w:ascii="黑体" w:hAnsi="黑体" w:eastAsia="黑体"/>
          <w:sz w:val="32"/>
          <w:szCs w:val="32"/>
        </w:rPr>
        <w:t>届</w:t>
      </w:r>
    </w:p>
    <w:p>
      <w:pPr>
        <w:spacing w:line="360" w:lineRule="auto"/>
        <w:ind w:firstLine="640" w:firstLineChars="200"/>
        <w:jc w:val="center"/>
        <w:rPr>
          <w:rFonts w:hint="eastAsia" w:ascii="黑体" w:hAnsi="黑体" w:eastAsia="黑体"/>
          <w:sz w:val="32"/>
          <w:szCs w:val="32"/>
          <w:lang w:eastAsia="zh-CN"/>
        </w:rPr>
      </w:pPr>
      <w:r>
        <w:rPr>
          <w:rFonts w:hint="eastAsia" w:ascii="黑体" w:hAnsi="黑体" w:eastAsia="黑体"/>
          <w:sz w:val="32"/>
          <w:szCs w:val="32"/>
        </w:rPr>
        <w:t>学生创新创业大赛</w:t>
      </w:r>
      <w:r>
        <w:rPr>
          <w:rFonts w:hint="eastAsia" w:ascii="黑体" w:hAnsi="黑体" w:eastAsia="黑体"/>
          <w:sz w:val="32"/>
          <w:szCs w:val="32"/>
          <w:lang w:val="en-US" w:eastAsia="zh-CN"/>
        </w:rPr>
        <w:t>文件</w:t>
      </w:r>
    </w:p>
    <w:p>
      <w:pPr>
        <w:spacing w:line="360" w:lineRule="auto"/>
        <w:ind w:firstLine="480" w:firstLineChars="200"/>
        <w:rPr>
          <w:rFonts w:hint="eastAsia" w:ascii="宋体" w:hAnsi="宋体" w:eastAsia="宋体"/>
          <w:sz w:val="24"/>
          <w:szCs w:val="24"/>
        </w:rPr>
      </w:pP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为贯彻落实习近平总书记给中国国际大学生创新大赛参赛学生代表的重要回信精神，学校持续深化创新创业教育改革，围绕“跨学科融合+实战化培养+政校企共育”，打通“课程—项目—产业”链路，加快构建“创新—创造—创业”（以下简称“三创”）人才培养体系。作为学校“三创”培养体系的重要载体，“京东杯”中国人民大学第十七届学生创新创业大赛即日起正式开启报名！</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本届大赛立足学生成长发展需求，联动人大文化科技园、门头沟区创新创业基地、苏州智慧治理创业园、深圳研究院的协同孵化网络，与东城区人社局、京东集团股份有限公司深入合作，通过校地企资源高效整合，推动学生项目在多校区、多平台、多场景中接受检验、加速成长，引导学生在真实产业场景中深化行业认知、提升实践能力、拓展就业创业渠道，更好发挥创业带动就业作用。大赛选拔出的优秀项目，将由学校择优推荐参加中国国际大学生创新大赛（2026）市赛等高水平赛事，并获得一对一咨询及专项指导机会。</w:t>
      </w:r>
    </w:p>
    <w:p>
      <w:pPr>
        <w:spacing w:line="360" w:lineRule="auto"/>
        <w:ind w:firstLine="562" w:firstLineChars="200"/>
        <w:rPr>
          <w:rFonts w:hint="eastAsia" w:ascii="宋体" w:hAnsi="宋体" w:eastAsia="宋体"/>
          <w:b/>
          <w:bCs/>
          <w:sz w:val="28"/>
          <w:szCs w:val="28"/>
        </w:rPr>
      </w:pPr>
      <w:r>
        <w:rPr>
          <w:rFonts w:hint="eastAsia" w:ascii="宋体" w:hAnsi="宋体" w:eastAsia="宋体"/>
          <w:b/>
          <w:bCs/>
          <w:sz w:val="28"/>
          <w:szCs w:val="28"/>
        </w:rPr>
        <w:t>一、赛事组织</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京东杯”第十七届学生创新创业大赛由京东集团捐赠支持，由中国人民大学学生就业创业指导中心、中国人民大学文化科技园、中国人民大学校友服务与资源拓展部、中国人民大学团委联合主办，中国人民大学青年职业生涯发展协会、创客协会协办。大赛邀请著名投资机构负责人、企业家、投资人、创业导师担任评委。</w:t>
      </w:r>
    </w:p>
    <w:p>
      <w:pPr>
        <w:spacing w:line="360" w:lineRule="auto"/>
        <w:ind w:firstLine="562" w:firstLineChars="200"/>
        <w:rPr>
          <w:rFonts w:hint="eastAsia" w:ascii="宋体" w:hAnsi="宋体" w:eastAsia="宋体"/>
          <w:b/>
          <w:bCs/>
          <w:sz w:val="28"/>
          <w:szCs w:val="28"/>
        </w:rPr>
      </w:pPr>
      <w:r>
        <w:rPr>
          <w:rFonts w:hint="eastAsia" w:ascii="宋体" w:hAnsi="宋体" w:eastAsia="宋体"/>
          <w:b/>
          <w:bCs/>
          <w:sz w:val="28"/>
          <w:szCs w:val="28"/>
        </w:rPr>
        <w:t>二、“京东杯”的新面貌</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本年度赛事将实现赛、课、训、奖交融，新增课程指导创新、AI实训与赛道创新、企业实践创新与奖项设置创新。</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课程指导创新</w:t>
      </w:r>
      <w:r>
        <w:rPr>
          <w:rFonts w:hint="eastAsia" w:ascii="宋体" w:hAnsi="宋体" w:eastAsia="宋体" w:cs="宋体"/>
          <w:sz w:val="24"/>
          <w:szCs w:val="24"/>
          <w:lang w:eastAsia="zh-CN"/>
        </w:rPr>
        <w:t>：</w:t>
      </w:r>
      <w:r>
        <w:rPr>
          <w:rFonts w:hint="eastAsia" w:ascii="宋体" w:hAnsi="宋体" w:eastAsia="宋体" w:cs="宋体"/>
          <w:sz w:val="24"/>
          <w:szCs w:val="24"/>
        </w:rPr>
        <w:t>配合赛事，结合“创新—创造—创业”大讲堂开展系列讲座、辅导等活动，点面结合推动赛事项目质量提升。拟邀请具有丰富创业经验和深厚行业背景的企业家、高管和专业人士担任创业导师，根据学生的创业项目特点和需求，为团队匹配最适合的创业导师，有针对性地引导创业团队。</w:t>
      </w:r>
    </w:p>
    <w:p>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rPr>
        <w:t>AI实训与赛道创新</w:t>
      </w:r>
      <w:r>
        <w:rPr>
          <w:rFonts w:hint="eastAsia" w:ascii="宋体" w:hAnsi="宋体" w:eastAsia="宋体" w:cs="宋体"/>
          <w:sz w:val="24"/>
          <w:szCs w:val="24"/>
          <w:lang w:eastAsia="zh-CN"/>
        </w:rPr>
        <w:t>：</w:t>
      </w:r>
      <w:r>
        <w:rPr>
          <w:rFonts w:hint="eastAsia" w:ascii="宋体" w:hAnsi="宋体" w:eastAsia="宋体" w:cs="宋体"/>
          <w:sz w:val="24"/>
          <w:szCs w:val="24"/>
        </w:rPr>
        <w:t>在“创新—创造—创业”大讲堂中，强化AI赋能相关内容，围绕OpenClaw等最新技术进行手把手培训。并新增“龙虾”专项赛道，</w:t>
      </w:r>
      <w:r>
        <w:rPr>
          <w:rFonts w:hint="eastAsia" w:ascii="宋体" w:hAnsi="宋体" w:eastAsia="宋体" w:cs="宋体"/>
          <w:sz w:val="24"/>
          <w:szCs w:val="24"/>
          <w:lang w:val="en-US" w:eastAsia="zh-CN"/>
        </w:rPr>
        <w:t>并新增"龙虾"专项赛道，鼓励学生用AI Agent重构创业项目与团队协作方式</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企业实践创新</w:t>
      </w:r>
      <w:r>
        <w:rPr>
          <w:rFonts w:hint="eastAsia" w:ascii="宋体" w:hAnsi="宋体" w:eastAsia="宋体" w:cs="宋体"/>
          <w:sz w:val="24"/>
          <w:szCs w:val="24"/>
          <w:lang w:eastAsia="zh-CN"/>
        </w:rPr>
        <w:t>：</w:t>
      </w:r>
      <w:r>
        <w:rPr>
          <w:rFonts w:hint="eastAsia" w:ascii="宋体" w:hAnsi="宋体" w:eastAsia="宋体" w:cs="宋体"/>
          <w:sz w:val="24"/>
          <w:szCs w:val="24"/>
        </w:rPr>
        <w:t>企业出题，学生团队答题。学校与京东集团</w:t>
      </w:r>
      <w:r>
        <w:rPr>
          <w:rFonts w:hint="eastAsia" w:ascii="宋体" w:hAnsi="宋体" w:eastAsia="宋体" w:cs="宋体"/>
          <w:sz w:val="24"/>
          <w:szCs w:val="24"/>
          <w:lang w:val="en-US" w:eastAsia="zh-CN"/>
        </w:rPr>
        <w:t>等企业</w:t>
      </w:r>
      <w:r>
        <w:rPr>
          <w:rFonts w:hint="eastAsia" w:ascii="宋体" w:hAnsi="宋体" w:eastAsia="宋体" w:cs="宋体"/>
          <w:sz w:val="24"/>
          <w:szCs w:val="24"/>
        </w:rPr>
        <w:t>共同设置引导性课题，学生可组队参赛，在充分了解企业需求以及痛点、问题的基础上提出创造性解决方案。学校将和</w:t>
      </w:r>
      <w:r>
        <w:rPr>
          <w:rFonts w:hint="eastAsia" w:ascii="宋体" w:hAnsi="宋体" w:eastAsia="宋体" w:cs="宋体"/>
          <w:sz w:val="24"/>
          <w:szCs w:val="24"/>
          <w:lang w:val="en-US" w:eastAsia="zh-CN"/>
        </w:rPr>
        <w:t>相关企业</w:t>
      </w:r>
      <w:r>
        <w:rPr>
          <w:rFonts w:hint="eastAsia" w:ascii="宋体" w:hAnsi="宋体" w:eastAsia="宋体" w:cs="宋体"/>
          <w:sz w:val="24"/>
          <w:szCs w:val="24"/>
        </w:rPr>
        <w:t>共同为相关项目团队提供双导师指导。相关项目奖金单设，总额不超过4.5万元。</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奖项设置创新</w:t>
      </w:r>
      <w:r>
        <w:rPr>
          <w:rFonts w:hint="eastAsia" w:ascii="宋体" w:hAnsi="宋体" w:eastAsia="宋体" w:cs="宋体"/>
          <w:sz w:val="24"/>
          <w:szCs w:val="24"/>
          <w:lang w:eastAsia="zh-CN"/>
        </w:rPr>
        <w:t>：</w:t>
      </w:r>
      <w:r>
        <w:rPr>
          <w:rFonts w:hint="eastAsia" w:ascii="宋体" w:hAnsi="宋体" w:eastAsia="宋体" w:cs="宋体"/>
          <w:sz w:val="24"/>
          <w:szCs w:val="24"/>
        </w:rPr>
        <w:t>本届大赛在延续高额奖金激励（最高奖10万元）的基础上，进一步优化奖项设置，降低参与门槛，扩大获奖覆盖面，达到总奖项数量20项的历史突破！体现“培优”、“培小”、“培早”的奖励原则，鼓励学生将创意想法落地，播撒“懂三创、愿三创、会三创、敢三创”的种子。</w:t>
      </w:r>
    </w:p>
    <w:p>
      <w:pPr>
        <w:spacing w:line="360" w:lineRule="auto"/>
        <w:rPr>
          <w:rFonts w:hint="eastAsia" w:ascii="宋体" w:hAnsi="宋体" w:eastAsia="宋体"/>
          <w:b/>
          <w:bCs/>
          <w:sz w:val="28"/>
          <w:szCs w:val="28"/>
        </w:rPr>
      </w:pPr>
      <w:r>
        <w:rPr>
          <w:rFonts w:hint="eastAsia" w:ascii="宋体" w:hAnsi="宋体" w:eastAsia="宋体"/>
          <w:b/>
          <w:bCs/>
          <w:sz w:val="28"/>
          <w:szCs w:val="28"/>
        </w:rPr>
        <w:t>三、赛事内容</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（一）赛事亮点</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（1）高额多项奖金：奖优奖新奖AI！</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大赛设置奖金总额33万元。决赛拟设：“创业之星”特等奖1项，奖金10万元；一等奖2项，奖金5万元；二等奖2项，奖金2万元；三等奖3项，奖金1万元；最佳创新奖6项，奖金5000元；智能创造奖6项，奖金5000元。</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赛事奖金主要用于推动参赛项目发展，企业命题项目奖金另行单设。</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（2）更高平台赛事机会：区赛市赛国赛等你来！</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由大赛选拔出的优秀创业项目，将由学校推荐参加中国国际大学生创新大赛（2026）市赛、第九届“创业北京”创业创新大赛东城区选拔赛（“创翼东城”创业大赛），并获得由资深创业导师团队提供的一对一咨询及专项指导机会。</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（3）全方位孵化支持：加速项目落地为企业！</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获奖团队将获得中国人民大学大学生创业园优先入驻权，并有机会对接学校相关孵化资源和合作平台。</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（二）参赛项目类型</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新文科类项目：文化教育、数字经济、金融科技、财经、法务、融媒体、翻译、旅游休闲、动漫、文创设计与开发、电子商务、物流、体育、非物质文化遗产保护、社会工作、家政服务、养老服务等领域，符合新文科建设理念和要求的项目；</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新工科类项目：大数据、云计算、区块链、虚拟现实、智能制造、网络空间安全、机器人工程、工业自动化等领域，符合新工科建设理念和要求的项目；</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新医科类项目：现代医疗技术、智能医疗设备、新药研发、健康康养、食药保健、智能医学、生物材料等领域，符合新医科建设理念和要求的项目；</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新农科类项目：现代种业、智慧农业、智能农机装备、农业大数据、食品营养、休闲农业、森林康养、生态修复、农业碳汇等领域，符合新农科建设理念和要求的项目；</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“人工智能+”项目：聚焦于人工智能深度融合经济社会各领域发展、赋能千行百业智能化转型升级，符合“人工智能+”发展理念和要求的项目；</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新公益类项目：运用新的平台、新的媒介、新的理念、新的方法或新的思维方式打造公益服务新模式，在公益服务领域具有较好的创意、产品或服务模式的创业计划和实践成果的项目；</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“生物技术”项目：聚焦基因编辑、合成生物学、细胞治疗等前沿领域，推动生物技术在医疗健康、农业育种、生态环保等场景的创新应用，符合国家生物经济战略及生命科学产业化发展要求的项目；</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低空经济”项目：聚焦无人机物流、低空交通服务、应急救援、智慧城市空中应用等场景，结合飞行器研发、空域管理技术或服务模式创新，推动低空资源高效开发与产业生态构建，符合国家低空经济发展战略导向的项目。</w:t>
      </w:r>
    </w:p>
    <w:p>
      <w:pPr>
        <w:numPr>
          <w:ilvl w:val="0"/>
          <w:numId w:val="1"/>
        </w:numPr>
        <w:spacing w:line="360" w:lineRule="auto"/>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赛道设置</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主赛道：要求选手紧密结合经济社会各领域现实需求进行项目设计，包含但不局限于上述大赛聚焦领域。参赛项目需能体现较强的创新性，具有可行的商业模式和较为广阔的市场前景。鼓励参赛团队进行跨学科项目设计。</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揭榜领题专项赛道：采用“揭榜领题”模式，企业出题，能者答题，推动产学研深度融合。所有选题均源自企业的真实技术瓶颈与创新发展需求，发榜单位为团队提供应用场景、技术指导等多项支持，优胜团队更有机会获得创业支持、人才计划直推等多项政策礼包。</w:t>
      </w:r>
    </w:p>
    <w:p>
      <w:pPr>
        <w:spacing w:line="360" w:lineRule="auto"/>
        <w:ind w:firstLine="480" w:firstLineChars="200"/>
        <w:rPr>
          <w:rFonts w:hint="default" w:ascii="宋体" w:hAnsi="宋体" w:eastAsia="宋体"/>
          <w:sz w:val="24"/>
          <w:szCs w:val="24"/>
          <w:lang w:val="en-US" w:eastAsia="zh-CN"/>
        </w:rPr>
      </w:pPr>
      <w:r>
        <w:rPr>
          <w:rFonts w:hint="eastAsia" w:ascii="宋体" w:hAnsi="宋体" w:eastAsia="宋体"/>
          <w:sz w:val="24"/>
          <w:szCs w:val="24"/>
        </w:rPr>
        <w:t>“龙虾”赛道：聚焦开源AI智能体OpenClaw（"龙虾"）及同类AI Agent框架，鼓励参赛团队基于真实需求，开发AI智能体技能（Skill）、构建自动化工作流、打造垂直场景解决方案。鼓励使用OpenClaw或同类开源AI Agent框架，具备可演示原型的项目将在评审中获得优先加分。</w:t>
      </w:r>
    </w:p>
    <w:p>
      <w:pPr>
        <w:spacing w:line="360" w:lineRule="auto"/>
        <w:ind w:firstLine="480" w:firstLineChars="200"/>
        <w:rPr>
          <w:rFonts w:hint="default" w:ascii="宋体" w:hAnsi="宋体" w:eastAsia="宋体"/>
          <w:sz w:val="24"/>
          <w:szCs w:val="24"/>
          <w:lang w:val="en-US" w:eastAsia="zh-CN"/>
        </w:rPr>
      </w:pPr>
      <w:r>
        <w:rPr>
          <w:rFonts w:hint="eastAsia" w:ascii="宋体" w:hAnsi="宋体" w:eastAsia="宋体"/>
          <w:sz w:val="24"/>
          <w:szCs w:val="24"/>
        </w:rPr>
        <w:t>（</w:t>
      </w:r>
      <w:r>
        <w:rPr>
          <w:rFonts w:hint="eastAsia" w:ascii="宋体" w:hAnsi="宋体" w:eastAsia="宋体"/>
          <w:sz w:val="24"/>
          <w:szCs w:val="24"/>
          <w:lang w:val="en-US" w:eastAsia="zh-CN"/>
        </w:rPr>
        <w:t>四</w:t>
      </w:r>
      <w:r>
        <w:rPr>
          <w:rFonts w:hint="eastAsia" w:ascii="宋体" w:hAnsi="宋体" w:eastAsia="宋体"/>
          <w:sz w:val="24"/>
          <w:szCs w:val="24"/>
        </w:rPr>
        <w:t>）</w:t>
      </w:r>
      <w:r>
        <w:rPr>
          <w:rFonts w:hint="eastAsia" w:ascii="宋体" w:hAnsi="宋体" w:eastAsia="宋体"/>
          <w:sz w:val="24"/>
          <w:szCs w:val="24"/>
          <w:lang w:val="en-US" w:eastAsia="zh-CN"/>
        </w:rPr>
        <w:t>参赛项目组别</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本次大赛每条赛道内均设创新创造组和创业组，具体要求如下：</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lang w:val="en-US" w:eastAsia="zh-CN"/>
        </w:rPr>
        <w:t>1.</w:t>
      </w:r>
      <w:r>
        <w:rPr>
          <w:rFonts w:hint="eastAsia" w:ascii="宋体" w:hAnsi="宋体" w:eastAsia="宋体"/>
          <w:sz w:val="24"/>
          <w:szCs w:val="24"/>
        </w:rPr>
        <w:t>创新创造组</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（1）参赛项目要求：</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①以团队为单位报名参赛。允许跨校组建团队，每个团队的参赛成员不少于3人，不多于15人（含团队负责人），须为项目的实际核心成员。参赛团队所报参赛创业项目，须为本团队策划或经营的项目，不得借用他人项目参赛。</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②在校生团队需具备至少一名校内指导老师，鼓励师生联动，对学校科研成果和课题项目进行创新创造性转化发展。</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（2）参赛团队和对象：</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①参赛项目具有较好的创意和较为成型的产品原型或服务模式，在大赛通知下发之日前尚未完成工商等各类登记注册。</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②参赛申报人须为项目核心成员，须为我校在校生，或毕业5年以内的学生（即2021年之后的毕业生）。</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③参赛的公益项目不以营利为目标，积极弘扬公益精神，参赛申报主体为独立的公益项目或社会组织，注册或未注册成立公益机构（或社会组织）的项目均可参赛。</w:t>
      </w:r>
    </w:p>
    <w:p>
      <w:pPr>
        <w:spacing w:line="360" w:lineRule="auto"/>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2.创业组</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（1）参赛项目要求：</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①以团队为单位报名参赛。允许跨校组建团队，每个团队的参赛成员不少于3人，不多于15人（含团队负责人），须为项目的实际核心成员。参赛团队所报参赛创业项目，须为本团队策划或经营的项目，不得借用他人项目参赛。</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②参赛申报人须为项目核心成员，且须为我校全日制在校生，或毕业5年以内的全日制学生（即2021年之后的毕业生）。</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③单个团队需具备至少一名指导老师，鼓励师生联动，对科研成果和课题项目进行创新创造性转化发展。</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（2）参赛项目条件：</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根据所处创业阶段，项目分为初创项目、成长项目。具体参赛条件如下：</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①初创项目：</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参赛项目工商等各类登记注册未满3年（2023年3月1日及以后注册）。</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项目的股权结构中，申报人的股权不得少于1/3，参赛团队成员股权合计不得少于51%。</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②成长项目</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参赛项目工商等各类登记注册3年以上（2023年3月1日前注册）。</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项目的股权结构中，申报人的股权不得少于10%，参赛团队成员股权合计不得少于1/3。</w:t>
      </w:r>
    </w:p>
    <w:p>
      <w:pPr>
        <w:spacing w:line="360" w:lineRule="auto"/>
        <w:rPr>
          <w:rFonts w:hint="eastAsia" w:ascii="宋体" w:hAnsi="宋体" w:eastAsia="宋体"/>
          <w:b/>
          <w:bCs/>
          <w:sz w:val="28"/>
          <w:szCs w:val="28"/>
          <w:lang w:val="en-US" w:eastAsia="zh-CN"/>
        </w:rPr>
      </w:pPr>
      <w:r>
        <w:rPr>
          <w:rFonts w:hint="eastAsia" w:ascii="宋体" w:hAnsi="宋体" w:eastAsia="宋体"/>
          <w:b/>
          <w:bCs/>
          <w:sz w:val="28"/>
          <w:szCs w:val="28"/>
        </w:rPr>
        <w:t>四、</w:t>
      </w:r>
      <w:r>
        <w:rPr>
          <w:rFonts w:hint="eastAsia" w:ascii="宋体" w:hAnsi="宋体" w:eastAsia="宋体"/>
          <w:b/>
          <w:bCs/>
          <w:sz w:val="28"/>
          <w:szCs w:val="28"/>
          <w:lang w:val="en-US" w:eastAsia="zh-CN"/>
        </w:rPr>
        <w:t>结项要求</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为确保奖金得到有效利用和落实，获奖团队后续需基于项目内容提交一份结项报告</w:t>
      </w:r>
      <w:r>
        <w:rPr>
          <w:rFonts w:hint="eastAsia" w:ascii="宋体" w:hAnsi="宋体" w:eastAsia="宋体"/>
          <w:sz w:val="24"/>
          <w:szCs w:val="24"/>
          <w:lang w:val="en-US" w:eastAsia="zh-CN"/>
        </w:rPr>
        <w:t>并进行汇报，</w:t>
      </w:r>
      <w:r>
        <w:rPr>
          <w:rFonts w:hint="eastAsia" w:ascii="宋体" w:hAnsi="宋体" w:eastAsia="宋体"/>
          <w:sz w:val="24"/>
          <w:szCs w:val="24"/>
        </w:rPr>
        <w:t>报告字数不少于3000字，查重率不高于20%，内容包含后续项目落实的进展和成果。上一届的优秀结项报告将作为参考学习材料提供给下一届参赛团队，并对</w:t>
      </w:r>
      <w:bookmarkStart w:id="0" w:name="_GoBack"/>
      <w:bookmarkEnd w:id="0"/>
      <w:r>
        <w:rPr>
          <w:rFonts w:hint="eastAsia" w:ascii="宋体" w:hAnsi="宋体" w:eastAsia="宋体"/>
          <w:sz w:val="24"/>
          <w:szCs w:val="24"/>
        </w:rPr>
        <w:t>优秀结项报告成果突出展现宣传。</w:t>
      </w:r>
    </w:p>
    <w:p>
      <w:pPr>
        <w:spacing w:line="360" w:lineRule="auto"/>
        <w:ind w:firstLine="480" w:firstLineChars="200"/>
        <w:rPr>
          <w:rFonts w:hint="eastAsia" w:ascii="宋体" w:hAnsi="宋体" w:eastAsia="宋体"/>
          <w:sz w:val="24"/>
          <w:szCs w:val="24"/>
        </w:rPr>
      </w:pPr>
    </w:p>
    <w:p>
      <w:pPr>
        <w:spacing w:line="360" w:lineRule="auto"/>
        <w:ind w:firstLine="480" w:firstLineChars="200"/>
        <w:rPr>
          <w:rFonts w:hint="eastAsia" w:ascii="宋体" w:hAnsi="宋体" w:eastAsia="宋体"/>
          <w:sz w:val="24"/>
          <w:szCs w:val="24"/>
        </w:rPr>
      </w:pPr>
    </w:p>
    <w:p>
      <w:pPr>
        <w:spacing w:line="360" w:lineRule="auto"/>
        <w:ind w:firstLine="480" w:firstLineChars="200"/>
        <w:rPr>
          <w:rFonts w:hint="eastAsia" w:ascii="宋体" w:hAnsi="宋体" w:eastAsia="宋体"/>
          <w:sz w:val="24"/>
          <w:szCs w:val="24"/>
        </w:rPr>
      </w:pPr>
    </w:p>
    <w:p>
      <w:pPr>
        <w:spacing w:line="360" w:lineRule="auto"/>
        <w:ind w:firstLine="480" w:firstLineChars="200"/>
        <w:jc w:val="right"/>
        <w:rPr>
          <w:rFonts w:hint="eastAsia" w:ascii="宋体" w:hAnsi="宋体" w:eastAsia="宋体"/>
          <w:sz w:val="24"/>
          <w:szCs w:val="24"/>
          <w:lang w:val="en-US" w:eastAsia="zh-CN"/>
        </w:rPr>
      </w:pPr>
      <w:r>
        <w:rPr>
          <w:rFonts w:hint="eastAsia" w:ascii="宋体" w:hAnsi="宋体" w:eastAsia="宋体"/>
          <w:sz w:val="24"/>
          <w:szCs w:val="24"/>
          <w:lang w:val="en-US" w:eastAsia="zh-CN"/>
        </w:rPr>
        <w:t>中国人民大学学生就业创业指导中心</w:t>
      </w:r>
    </w:p>
    <w:p>
      <w:pPr>
        <w:spacing w:line="360" w:lineRule="auto"/>
        <w:ind w:firstLine="480" w:firstLineChars="200"/>
        <w:jc w:val="right"/>
        <w:rPr>
          <w:rFonts w:hint="default" w:ascii="宋体" w:hAnsi="宋体" w:eastAsia="宋体"/>
          <w:sz w:val="24"/>
          <w:szCs w:val="24"/>
          <w:lang w:val="en-US" w:eastAsia="zh-CN"/>
        </w:rPr>
      </w:pPr>
      <w:r>
        <w:rPr>
          <w:rFonts w:hint="eastAsia" w:ascii="宋体" w:hAnsi="宋体" w:eastAsia="宋体"/>
          <w:sz w:val="24"/>
          <w:szCs w:val="24"/>
          <w:lang w:val="en-US" w:eastAsia="zh-CN"/>
        </w:rPr>
        <w:t>2026年3月30日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10D43"/>
    <w:multiLevelType w:val="singleLevel"/>
    <w:tmpl w:val="BEF10D43"/>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JlMWM4YWExZDExNTkzNDczNjQyNzNhNjlkNjVhZDUifQ=="/>
  </w:docVars>
  <w:rsids>
    <w:rsidRoot w:val="0086273B"/>
    <w:rsid w:val="00125699"/>
    <w:rsid w:val="00151950"/>
    <w:rsid w:val="002A7EB5"/>
    <w:rsid w:val="00467D68"/>
    <w:rsid w:val="00484AC8"/>
    <w:rsid w:val="00524107"/>
    <w:rsid w:val="00734119"/>
    <w:rsid w:val="007C5214"/>
    <w:rsid w:val="0086273B"/>
    <w:rsid w:val="009059F9"/>
    <w:rsid w:val="00905D5D"/>
    <w:rsid w:val="009177AE"/>
    <w:rsid w:val="009E440C"/>
    <w:rsid w:val="00BF5D3A"/>
    <w:rsid w:val="00EE1951"/>
    <w:rsid w:val="00F92A8C"/>
    <w:rsid w:val="06282E51"/>
    <w:rsid w:val="079A3C01"/>
    <w:rsid w:val="0F971D75"/>
    <w:rsid w:val="1A4E0461"/>
    <w:rsid w:val="234B2B56"/>
    <w:rsid w:val="28A4093D"/>
    <w:rsid w:val="35B55D91"/>
    <w:rsid w:val="36670A4A"/>
    <w:rsid w:val="48D847EC"/>
    <w:rsid w:val="49134BDB"/>
    <w:rsid w:val="4B4F4129"/>
    <w:rsid w:val="4D437C86"/>
    <w:rsid w:val="72B13E69"/>
    <w:rsid w:val="766636C5"/>
    <w:rsid w:val="771B0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autoRedefine/>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autoRedefine/>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3"/>
    <w:autoRedefine/>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autoRedefine/>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autoRedefine/>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autoRedefine/>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11">
    <w:name w:val="Subtitle"/>
    <w:basedOn w:val="1"/>
    <w:next w:val="1"/>
    <w:link w:val="28"/>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autoRedefine/>
    <w:semiHidden/>
    <w:unhideWhenUsed/>
    <w:qFormat/>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7"/>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6">
    <w:name w:val="Strong"/>
    <w:basedOn w:val="15"/>
    <w:autoRedefine/>
    <w:qFormat/>
    <w:uiPriority w:val="22"/>
    <w:rPr>
      <w:b/>
    </w:rPr>
  </w:style>
  <w:style w:type="paragraph" w:customStyle="1" w:styleId="17">
    <w:name w:val="标题1"/>
    <w:basedOn w:val="2"/>
    <w:autoRedefine/>
    <w:qFormat/>
    <w:uiPriority w:val="0"/>
    <w:pPr>
      <w:spacing w:before="0" w:after="0" w:line="360" w:lineRule="auto"/>
    </w:pPr>
    <w:rPr>
      <w:rFonts w:ascii="宋体" w:hAnsi="宋体" w:eastAsia="宋体"/>
      <w:bCs w:val="0"/>
      <w:sz w:val="28"/>
      <w:szCs w:val="28"/>
    </w:rPr>
  </w:style>
  <w:style w:type="character" w:customStyle="1" w:styleId="18">
    <w:name w:val="标题 1 字符"/>
    <w:basedOn w:val="15"/>
    <w:link w:val="2"/>
    <w:autoRedefine/>
    <w:qFormat/>
    <w:uiPriority w:val="9"/>
    <w:rPr>
      <w:b/>
      <w:bCs/>
      <w:kern w:val="44"/>
      <w:sz w:val="44"/>
      <w:szCs w:val="44"/>
    </w:rPr>
  </w:style>
  <w:style w:type="character" w:customStyle="1" w:styleId="19">
    <w:name w:val="标题 2 字符"/>
    <w:basedOn w:val="15"/>
    <w:link w:val="3"/>
    <w:autoRedefine/>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5"/>
    <w:link w:val="4"/>
    <w:autoRedefine/>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5"/>
    <w:link w:val="5"/>
    <w:autoRedefine/>
    <w:semiHidden/>
    <w:qFormat/>
    <w:uiPriority w:val="9"/>
    <w:rPr>
      <w:rFonts w:cstheme="majorBidi"/>
      <w:color w:val="2F5597" w:themeColor="accent1" w:themeShade="BF"/>
      <w:sz w:val="28"/>
      <w:szCs w:val="28"/>
    </w:rPr>
  </w:style>
  <w:style w:type="character" w:customStyle="1" w:styleId="22">
    <w:name w:val="标题 5 字符"/>
    <w:basedOn w:val="15"/>
    <w:link w:val="6"/>
    <w:autoRedefine/>
    <w:semiHidden/>
    <w:qFormat/>
    <w:uiPriority w:val="9"/>
    <w:rPr>
      <w:rFonts w:cstheme="majorBidi"/>
      <w:color w:val="2F5597" w:themeColor="accent1" w:themeShade="BF"/>
      <w:sz w:val="24"/>
      <w:szCs w:val="24"/>
    </w:rPr>
  </w:style>
  <w:style w:type="character" w:customStyle="1" w:styleId="23">
    <w:name w:val="标题 6 字符"/>
    <w:basedOn w:val="15"/>
    <w:link w:val="7"/>
    <w:autoRedefine/>
    <w:semiHidden/>
    <w:qFormat/>
    <w:uiPriority w:val="9"/>
    <w:rPr>
      <w:rFonts w:cstheme="majorBidi"/>
      <w:b/>
      <w:bCs/>
      <w:color w:val="2F5597" w:themeColor="accent1" w:themeShade="BF"/>
    </w:rPr>
  </w:style>
  <w:style w:type="character" w:customStyle="1" w:styleId="24">
    <w:name w:val="标题 7 字符"/>
    <w:basedOn w:val="15"/>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5"/>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5"/>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5"/>
    <w:link w:val="13"/>
    <w:autoRedefine/>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5"/>
    <w:link w:val="11"/>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5"/>
    <w:link w:val="29"/>
    <w:autoRedefine/>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autoRedefine/>
    <w:qFormat/>
    <w:uiPriority w:val="34"/>
    <w:pPr>
      <w:ind w:left="720"/>
      <w:contextualSpacing/>
    </w:pPr>
  </w:style>
  <w:style w:type="character" w:customStyle="1" w:styleId="32">
    <w:name w:val="Intense Emphasis"/>
    <w:basedOn w:val="15"/>
    <w:autoRedefine/>
    <w:qFormat/>
    <w:uiPriority w:val="21"/>
    <w:rPr>
      <w:i/>
      <w:iCs/>
      <w:color w:val="2F5597" w:themeColor="accent1" w:themeShade="BF"/>
    </w:rPr>
  </w:style>
  <w:style w:type="paragraph" w:styleId="33">
    <w:name w:val="Intense Quote"/>
    <w:basedOn w:val="1"/>
    <w:next w:val="1"/>
    <w:link w:val="34"/>
    <w:autoRedefine/>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5"/>
    <w:link w:val="33"/>
    <w:autoRedefine/>
    <w:qFormat/>
    <w:uiPriority w:val="30"/>
    <w:rPr>
      <w:i/>
      <w:iCs/>
      <w:color w:val="2F5597" w:themeColor="accent1" w:themeShade="BF"/>
    </w:rPr>
  </w:style>
  <w:style w:type="character" w:customStyle="1" w:styleId="35">
    <w:name w:val="Intense Reference"/>
    <w:basedOn w:val="15"/>
    <w:autoRedefine/>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2421</Words>
  <Characters>2475</Characters>
  <Lines>18</Lines>
  <Paragraphs>5</Paragraphs>
  <TotalTime>3</TotalTime>
  <ScaleCrop>false</ScaleCrop>
  <LinksUpToDate>false</LinksUpToDate>
  <CharactersWithSpaces>2475</CharactersWithSpaces>
  <Application>WPS Office_12.1.0.16412_F1E327BC-269C-435d-A152-05C5408002CA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2025-03-06T02:44:00Z</dcterms:created>
  <dc:creator>寒 知</dc:creator>
  <cp:lastModifiedBy>Administrator</cp:lastModifiedBy>
  <dcterms:modified xsi:type="dcterms:W3CDTF">2026-03-30T06:36:23Z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eyJoZGlkIjoiZDc2YjgwOWU2N2NmN2M1MDJmMjNiOTI0ZTJkMzlhNjQifQ==</vt:lpwstr>
  </property>
  <property fmtid="{D5CDD505-2E9C-101B-9397-08002B2CF9AE}" pid="3" name="KSOProductBuildVer">
    <vt:lpwstr>2052-12.1.0.16412</vt:lpwstr>
  </property>
  <property fmtid="{D5CDD505-2E9C-101B-9397-08002B2CF9AE}" pid="4" name="ICV">
    <vt:lpwstr>504501D1181742B186FE60ADF09A7997_13</vt:lpwstr>
  </property>
</Properties>
</file>