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drawings/drawing2.xml" ContentType="application/vnd.openxmlformats-officedocument.drawingml.chartshapes+xml"/>
  <Override PartName="/word/charts/chart6.xml" ContentType="application/vnd.openxmlformats-officedocument.drawingml.chart+xml"/>
  <Override PartName="/word/drawings/drawing3.xml" ContentType="application/vnd.openxmlformats-officedocument.drawingml.chartshapes+xml"/>
  <Override PartName="/word/charts/chart7.xml" ContentType="application/vnd.openxmlformats-officedocument.drawingml.chart+xml"/>
  <Override PartName="/word/drawings/drawing4.xml" ContentType="application/vnd.openxmlformats-officedocument.drawingml.chartshapes+xml"/>
  <Override PartName="/word/charts/chart8.xml" ContentType="application/vnd.openxmlformats-officedocument.drawingml.chart+xml"/>
  <Override PartName="/word/drawings/drawing5.xml" ContentType="application/vnd.openxmlformats-officedocument.drawingml.chartshapes+xml"/>
  <Override PartName="/word/charts/chart9.xml" ContentType="application/vnd.openxmlformats-officedocument.drawingml.chart+xml"/>
  <Override PartName="/word/drawings/drawing6.xml" ContentType="application/vnd.openxmlformats-officedocument.drawingml.chartshapes+xml"/>
  <Override PartName="/word/charts/chart10.xml" ContentType="application/vnd.openxmlformats-officedocument.drawingml.chart+xml"/>
  <Override PartName="/word/drawings/drawing7.xml" ContentType="application/vnd.openxmlformats-officedocument.drawingml.chartshapes+xml"/>
  <Override PartName="/word/charts/chart11.xml" ContentType="application/vnd.openxmlformats-officedocument.drawingml.chart+xml"/>
  <Override PartName="/word/drawings/drawing8.xml" ContentType="application/vnd.openxmlformats-officedocument.drawingml.chartshapes+xml"/>
  <Override PartName="/word/charts/chart12.xml" ContentType="application/vnd.openxmlformats-officedocument.drawingml.chart+xml"/>
  <Override PartName="/word/drawings/drawing9.xml" ContentType="application/vnd.openxmlformats-officedocument.drawingml.chartshapes+xml"/>
  <Override PartName="/word/charts/chart13.xml" ContentType="application/vnd.openxmlformats-officedocument.drawingml.chart+xml"/>
  <Override PartName="/word/drawings/drawing10.xml" ContentType="application/vnd.openxmlformats-officedocument.drawingml.chartshapes+xml"/>
  <Override PartName="/word/charts/chart14.xml" ContentType="application/vnd.openxmlformats-officedocument.drawingml.chart+xml"/>
  <Override PartName="/word/drawings/drawing11.xml" ContentType="application/vnd.openxmlformats-officedocument.drawingml.chartshapes+xml"/>
  <Override PartName="/word/charts/chart15.xml" ContentType="application/vnd.openxmlformats-officedocument.drawingml.chart+xml"/>
  <Override PartName="/word/drawings/drawing12.xml" ContentType="application/vnd.openxmlformats-officedocument.drawingml.chartshapes+xml"/>
  <Override PartName="/word/charts/chart16.xml" ContentType="application/vnd.openxmlformats-officedocument.drawingml.chart+xml"/>
  <Override PartName="/word/drawings/drawing13.xml" ContentType="application/vnd.openxmlformats-officedocument.drawingml.chartshapes+xml"/>
  <Override PartName="/word/charts/chart17.xml" ContentType="application/vnd.openxmlformats-officedocument.drawingml.chart+xml"/>
  <Override PartName="/word/drawings/drawing14.xml" ContentType="application/vnd.openxmlformats-officedocument.drawingml.chartshapes+xml"/>
  <Override PartName="/word/charts/chart18.xml" ContentType="application/vnd.openxmlformats-officedocument.drawingml.chart+xml"/>
  <Override PartName="/word/drawings/drawing15.xml" ContentType="application/vnd.openxmlformats-officedocument.drawingml.chartshapes+xml"/>
  <Override PartName="/word/charts/chart19.xml" ContentType="application/vnd.openxmlformats-officedocument.drawingml.chart+xml"/>
  <Override PartName="/word/drawings/drawing16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A40" w:rsidRDefault="0013613A" w:rsidP="00FF5A55">
      <w:pPr>
        <w:tabs>
          <w:tab w:val="left" w:pos="210"/>
        </w:tabs>
        <w:jc w:val="center"/>
        <w:rPr>
          <w:color w:val="FF0000"/>
          <w:sz w:val="24"/>
        </w:rPr>
      </w:pPr>
      <w:r>
        <w:rPr>
          <w:noProof/>
        </w:rPr>
        <w:drawing>
          <wp:anchor distT="0" distB="0" distL="114300" distR="114300" simplePos="0" relativeHeight="252013056" behindDoc="1" locked="0" layoutInCell="1" allowOverlap="1">
            <wp:simplePos x="0" y="0"/>
            <wp:positionH relativeFrom="column">
              <wp:posOffset>2662959</wp:posOffset>
            </wp:positionH>
            <wp:positionV relativeFrom="paragraph">
              <wp:posOffset>-314754</wp:posOffset>
            </wp:positionV>
            <wp:extent cx="1358488" cy="1294410"/>
            <wp:effectExtent l="19050" t="0" r="0" b="0"/>
            <wp:wrapNone/>
            <wp:docPr id="2020" name="Image 2020" descr="R:\Etudes et Conjonctures\Baromètres syndicats\SNPI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R:\Etudes et Conjonctures\Baromètres syndicats\SNPI\Logo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488" cy="129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1E67">
        <w:rPr>
          <w:noProof/>
        </w:rPr>
        <w:drawing>
          <wp:anchor distT="0" distB="0" distL="114300" distR="114300" simplePos="0" relativeHeight="251642366" behindDoc="1" locked="0" layoutInCell="1" allowOverlap="0">
            <wp:simplePos x="0" y="0"/>
            <wp:positionH relativeFrom="column">
              <wp:posOffset>-1066165</wp:posOffset>
            </wp:positionH>
            <wp:positionV relativeFrom="paragraph">
              <wp:posOffset>-766445</wp:posOffset>
            </wp:positionV>
            <wp:extent cx="5573395" cy="12345670"/>
            <wp:effectExtent l="457200" t="190500" r="446405" b="1701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49001">
                      <a:off x="0" y="0"/>
                      <a:ext cx="5573395" cy="1234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D01" w:rsidRDefault="00E93D01">
      <w:pPr>
        <w:jc w:val="center"/>
        <w:rPr>
          <w:rFonts w:ascii="Arial Narrow" w:hAnsi="Arial Narrow"/>
          <w:i/>
          <w:sz w:val="24"/>
        </w:rPr>
      </w:pPr>
    </w:p>
    <w:p w:rsidR="00E93D01" w:rsidRDefault="00E93D01">
      <w:pPr>
        <w:jc w:val="center"/>
        <w:rPr>
          <w:rFonts w:ascii="Arial Narrow" w:hAnsi="Arial Narrow"/>
          <w:i/>
          <w:sz w:val="24"/>
        </w:rPr>
      </w:pPr>
    </w:p>
    <w:p w:rsidR="00E93D01" w:rsidRDefault="00E93D01">
      <w:pPr>
        <w:jc w:val="center"/>
        <w:rPr>
          <w:rFonts w:ascii="Arial Narrow" w:hAnsi="Arial Narrow"/>
          <w:i/>
          <w:sz w:val="24"/>
        </w:rPr>
      </w:pPr>
    </w:p>
    <w:p w:rsidR="00E93D01" w:rsidRDefault="00E93D01">
      <w:pPr>
        <w:jc w:val="center"/>
        <w:rPr>
          <w:rFonts w:ascii="Arial Narrow" w:hAnsi="Arial Narrow"/>
          <w:i/>
          <w:sz w:val="24"/>
        </w:rPr>
      </w:pPr>
    </w:p>
    <w:p w:rsidR="00E93D01" w:rsidRDefault="00E93D01">
      <w:pPr>
        <w:jc w:val="center"/>
        <w:rPr>
          <w:rFonts w:ascii="Arial Narrow" w:hAnsi="Arial Narrow"/>
          <w:i/>
          <w:sz w:val="24"/>
        </w:rPr>
      </w:pPr>
    </w:p>
    <w:p w:rsidR="00D82A40" w:rsidRDefault="00D82A40">
      <w:pPr>
        <w:jc w:val="center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</w:rPr>
        <w:t>Syndicat National des Professionnels Immobiliers</w:t>
      </w:r>
    </w:p>
    <w:p w:rsidR="00D82A40" w:rsidRPr="00E84EDA" w:rsidRDefault="00D82A40">
      <w:pPr>
        <w:pStyle w:val="Titre1"/>
        <w:jc w:val="center"/>
        <w:rPr>
          <w:rFonts w:ascii="Arial Narrow" w:hAnsi="Arial Narrow"/>
          <w:b/>
          <w:color w:val="0000FF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84EDA">
        <w:rPr>
          <w:rFonts w:ascii="Arial Narrow" w:hAnsi="Arial Narrow"/>
          <w:b/>
          <w:color w:val="0000FF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OBSERVATOIRE DE CONJONCTURE</w:t>
      </w:r>
    </w:p>
    <w:p w:rsidR="00D82A40" w:rsidRPr="00E84EDA" w:rsidRDefault="00D82A40">
      <w:pPr>
        <w:pStyle w:val="Titre1"/>
        <w:spacing w:before="60"/>
        <w:jc w:val="center"/>
        <w:rPr>
          <w:rFonts w:ascii="Arial Narrow" w:hAnsi="Arial Narrow"/>
          <w:b/>
          <w:color w:val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84EDA">
        <w:rPr>
          <w:rFonts w:ascii="Arial Narrow" w:hAnsi="Arial Narrow"/>
          <w:b/>
          <w:color w:val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DES AGENTS IMMOBILIERS ET DES ADMINISTRATEURS DE BIENS </w:t>
      </w:r>
    </w:p>
    <w:p w:rsidR="002657A2" w:rsidRPr="002657A2" w:rsidRDefault="00D82A40" w:rsidP="00A064DA">
      <w:pPr>
        <w:pStyle w:val="Titre1"/>
        <w:spacing w:before="60"/>
        <w:jc w:val="center"/>
      </w:pPr>
      <w:r>
        <w:t>MEMBRES DU SYNDICAT NATIONAL DES PROFESSIONNELS IMMOBILIERS</w:t>
      </w:r>
    </w:p>
    <w:p w:rsidR="00D82A40" w:rsidRDefault="00D82A40">
      <w:pPr>
        <w:jc w:val="center"/>
      </w:pPr>
    </w:p>
    <w:p w:rsidR="00D82A40" w:rsidRPr="006D339B" w:rsidRDefault="00DE4FC6" w:rsidP="006D3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FFFFF"/>
        <w:tabs>
          <w:tab w:val="left" w:pos="7938"/>
        </w:tabs>
        <w:ind w:left="1531" w:right="1701"/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Janvier</w:t>
      </w:r>
      <w:r w:rsidR="00E06CB1">
        <w:rPr>
          <w:rFonts w:ascii="Arial Narrow" w:hAnsi="Arial Narrow"/>
          <w:b/>
          <w:sz w:val="36"/>
          <w:szCs w:val="36"/>
        </w:rPr>
        <w:t xml:space="preserve"> - </w:t>
      </w:r>
      <w:r>
        <w:rPr>
          <w:rFonts w:ascii="Arial Narrow" w:hAnsi="Arial Narrow"/>
          <w:b/>
          <w:sz w:val="36"/>
          <w:szCs w:val="36"/>
        </w:rPr>
        <w:t>Février</w:t>
      </w:r>
      <w:r w:rsidR="00E06CB1">
        <w:rPr>
          <w:rFonts w:ascii="Arial Narrow" w:hAnsi="Arial Narrow"/>
          <w:b/>
          <w:sz w:val="36"/>
          <w:szCs w:val="36"/>
        </w:rPr>
        <w:t xml:space="preserve"> - </w:t>
      </w:r>
      <w:r>
        <w:rPr>
          <w:rFonts w:ascii="Arial Narrow" w:hAnsi="Arial Narrow"/>
          <w:b/>
          <w:sz w:val="36"/>
          <w:szCs w:val="36"/>
        </w:rPr>
        <w:t>Mars</w:t>
      </w:r>
      <w:r w:rsidR="00C8653A">
        <w:rPr>
          <w:rFonts w:ascii="Arial Narrow" w:hAnsi="Arial Narrow"/>
          <w:b/>
          <w:sz w:val="36"/>
          <w:szCs w:val="36"/>
        </w:rPr>
        <w:t xml:space="preserve"> 201</w:t>
      </w:r>
      <w:r>
        <w:rPr>
          <w:rFonts w:ascii="Arial Narrow" w:hAnsi="Arial Narrow"/>
          <w:b/>
          <w:sz w:val="36"/>
          <w:szCs w:val="36"/>
        </w:rPr>
        <w:t>3</w:t>
      </w:r>
    </w:p>
    <w:p w:rsidR="00D82A40" w:rsidRPr="006D339B" w:rsidRDefault="00D82A40" w:rsidP="006D339B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FFFFF"/>
        <w:tabs>
          <w:tab w:val="left" w:pos="7938"/>
        </w:tabs>
        <w:ind w:left="1531" w:right="1701"/>
        <w:rPr>
          <w:rFonts w:ascii="Arial Narrow" w:hAnsi="Arial Narrow"/>
          <w:b/>
          <w:sz w:val="36"/>
          <w:szCs w:val="36"/>
        </w:rPr>
      </w:pPr>
      <w:r w:rsidRPr="006D339B">
        <w:rPr>
          <w:rFonts w:ascii="Arial Narrow" w:hAnsi="Arial Narrow"/>
          <w:b/>
          <w:sz w:val="36"/>
          <w:szCs w:val="36"/>
        </w:rPr>
        <w:t xml:space="preserve">NOTE N° </w:t>
      </w:r>
      <w:r w:rsidR="008B6E21">
        <w:rPr>
          <w:rFonts w:ascii="Arial Narrow" w:hAnsi="Arial Narrow"/>
          <w:b/>
          <w:sz w:val="36"/>
          <w:szCs w:val="36"/>
        </w:rPr>
        <w:t>48</w:t>
      </w:r>
    </w:p>
    <w:p w:rsidR="00D86B4A" w:rsidRDefault="00D86B4A">
      <w:pPr>
        <w:rPr>
          <w:sz w:val="16"/>
          <w:szCs w:val="16"/>
        </w:rPr>
      </w:pPr>
    </w:p>
    <w:p w:rsidR="00D82A40" w:rsidRPr="00857984" w:rsidRDefault="009209BD" w:rsidP="00F45E24">
      <w:pPr>
        <w:pBdr>
          <w:top w:val="single" w:sz="4" w:space="13" w:color="auto"/>
          <w:left w:val="single" w:sz="4" w:space="4" w:color="auto"/>
          <w:bottom w:val="single" w:sz="4" w:space="11" w:color="auto"/>
          <w:right w:val="single" w:sz="4" w:space="0" w:color="auto"/>
        </w:pBdr>
        <w:shd w:val="clear" w:color="auto" w:fill="FFFFFF"/>
        <w:tabs>
          <w:tab w:val="left" w:pos="10065"/>
        </w:tabs>
        <w:ind w:left="284" w:right="56"/>
        <w:jc w:val="center"/>
        <w:rPr>
          <w:rFonts w:ascii="Arial Narrow" w:hAnsi="Arial Narrow"/>
          <w:b/>
          <w:color w:val="C00000"/>
          <w:sz w:val="28"/>
        </w:rPr>
      </w:pPr>
      <w:r>
        <w:rPr>
          <w:rFonts w:ascii="Arial Narrow" w:hAnsi="Arial Narrow"/>
          <w:b/>
          <w:color w:val="C00000"/>
          <w:sz w:val="28"/>
        </w:rPr>
        <w:t>Un recul du volume des transactions moins marqué.</w:t>
      </w:r>
    </w:p>
    <w:p w:rsidR="00EB2AA1" w:rsidRPr="00CA03A7" w:rsidRDefault="00EB2AA1" w:rsidP="00F45E24">
      <w:pPr>
        <w:pBdr>
          <w:top w:val="single" w:sz="4" w:space="13" w:color="auto"/>
          <w:left w:val="single" w:sz="4" w:space="4" w:color="auto"/>
          <w:bottom w:val="single" w:sz="4" w:space="11" w:color="auto"/>
          <w:right w:val="single" w:sz="4" w:space="0" w:color="auto"/>
        </w:pBdr>
        <w:shd w:val="clear" w:color="auto" w:fill="FFFFFF"/>
        <w:tabs>
          <w:tab w:val="left" w:pos="10065"/>
        </w:tabs>
        <w:ind w:left="284" w:right="56"/>
        <w:jc w:val="center"/>
        <w:rPr>
          <w:rFonts w:ascii="Arial Narrow" w:hAnsi="Arial Narrow"/>
          <w:b/>
          <w:color w:val="FF0000"/>
          <w:sz w:val="10"/>
          <w:szCs w:val="10"/>
          <w:highlight w:val="yellow"/>
        </w:rPr>
      </w:pPr>
    </w:p>
    <w:p w:rsidR="00D54BA3" w:rsidRPr="00CA03A7" w:rsidRDefault="00052773" w:rsidP="002D4113">
      <w:pPr>
        <w:pBdr>
          <w:top w:val="single" w:sz="4" w:space="13" w:color="auto"/>
          <w:left w:val="single" w:sz="4" w:space="4" w:color="auto"/>
          <w:bottom w:val="single" w:sz="4" w:space="11" w:color="auto"/>
          <w:right w:val="single" w:sz="4" w:space="0" w:color="auto"/>
        </w:pBdr>
        <w:shd w:val="clear" w:color="auto" w:fill="FFFFFF"/>
        <w:tabs>
          <w:tab w:val="left" w:pos="10065"/>
        </w:tabs>
        <w:ind w:left="284" w:right="56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Après une année 2012 peu favorable, l</w:t>
      </w:r>
      <w:r w:rsidRPr="00052773">
        <w:rPr>
          <w:rFonts w:ascii="Arial Narrow" w:hAnsi="Arial Narrow"/>
          <w:sz w:val="24"/>
          <w:szCs w:val="24"/>
        </w:rPr>
        <w:t xml:space="preserve">’économie française reste à l’arrêt </w:t>
      </w:r>
      <w:r>
        <w:rPr>
          <w:rFonts w:ascii="Arial Narrow" w:hAnsi="Arial Narrow"/>
          <w:sz w:val="24"/>
          <w:szCs w:val="24"/>
        </w:rPr>
        <w:t>début 2013</w:t>
      </w:r>
      <w:r w:rsidR="006C3E41" w:rsidRPr="006C3E41">
        <w:rPr>
          <w:rFonts w:ascii="Arial Narrow" w:hAnsi="Arial Narrow"/>
          <w:sz w:val="24"/>
          <w:szCs w:val="24"/>
        </w:rPr>
        <w:t xml:space="preserve">. </w:t>
      </w:r>
      <w:r w:rsidR="006C3E41">
        <w:rPr>
          <w:rFonts w:ascii="Arial Narrow" w:hAnsi="Arial Narrow"/>
          <w:sz w:val="24"/>
          <w:szCs w:val="24"/>
        </w:rPr>
        <w:t>En réaction à</w:t>
      </w:r>
      <w:r w:rsidR="006C3E41" w:rsidRPr="006C3E41">
        <w:rPr>
          <w:rFonts w:ascii="Arial Narrow" w:hAnsi="Arial Narrow"/>
          <w:sz w:val="24"/>
          <w:szCs w:val="24"/>
        </w:rPr>
        <w:t xml:space="preserve"> la montée du chômage et à l’augmentation des prélèvements obligatoires</w:t>
      </w:r>
      <w:r w:rsidR="006C3E41">
        <w:rPr>
          <w:rFonts w:ascii="Arial Narrow" w:hAnsi="Arial Narrow"/>
          <w:sz w:val="24"/>
          <w:szCs w:val="24"/>
        </w:rPr>
        <w:t>,</w:t>
      </w:r>
      <w:r w:rsidR="006C3E41" w:rsidRPr="006C3E41">
        <w:rPr>
          <w:rFonts w:ascii="Arial Narrow" w:hAnsi="Arial Narrow"/>
          <w:sz w:val="24"/>
          <w:szCs w:val="24"/>
        </w:rPr>
        <w:t xml:space="preserve"> la confiance des ménages s’érode </w:t>
      </w:r>
      <w:r w:rsidR="006C3E41">
        <w:rPr>
          <w:rFonts w:ascii="Arial Narrow" w:hAnsi="Arial Narrow"/>
          <w:sz w:val="24"/>
          <w:szCs w:val="24"/>
        </w:rPr>
        <w:t xml:space="preserve">au cours du </w:t>
      </w:r>
      <w:r w:rsidR="00E92B75">
        <w:rPr>
          <w:rFonts w:ascii="Arial Narrow" w:hAnsi="Arial Narrow"/>
          <w:sz w:val="24"/>
          <w:szCs w:val="24"/>
        </w:rPr>
        <w:br/>
        <w:t>1</w:t>
      </w:r>
      <w:r w:rsidR="00E92B75" w:rsidRPr="00E92B75">
        <w:rPr>
          <w:rFonts w:ascii="Arial Narrow" w:hAnsi="Arial Narrow"/>
          <w:sz w:val="24"/>
          <w:szCs w:val="24"/>
          <w:vertAlign w:val="superscript"/>
        </w:rPr>
        <w:t>er</w:t>
      </w:r>
      <w:r w:rsidR="00E92B75">
        <w:rPr>
          <w:rFonts w:ascii="Arial Narrow" w:hAnsi="Arial Narrow"/>
          <w:sz w:val="24"/>
          <w:szCs w:val="24"/>
        </w:rPr>
        <w:t xml:space="preserve"> </w:t>
      </w:r>
      <w:r w:rsidR="006C3E41">
        <w:rPr>
          <w:rFonts w:ascii="Arial Narrow" w:hAnsi="Arial Narrow"/>
          <w:sz w:val="24"/>
          <w:szCs w:val="24"/>
        </w:rPr>
        <w:t xml:space="preserve"> trimestre 2013. Dans ce contexte de crise, le marché immobilier est également affecté par une </w:t>
      </w:r>
      <w:r w:rsidR="00E0299F" w:rsidRPr="00052773">
        <w:rPr>
          <w:rFonts w:ascii="Arial Narrow" w:hAnsi="Arial Narrow"/>
          <w:sz w:val="24"/>
          <w:szCs w:val="24"/>
        </w:rPr>
        <w:t>fiscal</w:t>
      </w:r>
      <w:r w:rsidR="0094784B">
        <w:rPr>
          <w:rFonts w:ascii="Arial Narrow" w:hAnsi="Arial Narrow"/>
          <w:sz w:val="24"/>
          <w:szCs w:val="24"/>
        </w:rPr>
        <w:t>ité</w:t>
      </w:r>
      <w:r w:rsidR="00E0299F" w:rsidRPr="00052773">
        <w:rPr>
          <w:rFonts w:ascii="Arial Narrow" w:hAnsi="Arial Narrow"/>
          <w:sz w:val="24"/>
          <w:szCs w:val="24"/>
        </w:rPr>
        <w:t xml:space="preserve"> moins favorable </w:t>
      </w:r>
      <w:r w:rsidR="006C3E41">
        <w:rPr>
          <w:rFonts w:ascii="Arial Narrow" w:hAnsi="Arial Narrow"/>
          <w:sz w:val="24"/>
          <w:szCs w:val="24"/>
        </w:rPr>
        <w:t>et par la frilosité des banque à accorder des crédits</w:t>
      </w:r>
      <w:r w:rsidR="00221F33">
        <w:rPr>
          <w:rFonts w:ascii="Arial Narrow" w:hAnsi="Arial Narrow"/>
          <w:sz w:val="24"/>
          <w:szCs w:val="24"/>
        </w:rPr>
        <w:t xml:space="preserve"> aux</w:t>
      </w:r>
      <w:r w:rsidR="006C3E41">
        <w:rPr>
          <w:rFonts w:ascii="Arial Narrow" w:hAnsi="Arial Narrow"/>
          <w:sz w:val="24"/>
          <w:szCs w:val="24"/>
        </w:rPr>
        <w:t xml:space="preserve"> acquéreurs potentiels</w:t>
      </w:r>
      <w:r w:rsidR="00221F33">
        <w:rPr>
          <w:rFonts w:ascii="Arial Narrow" w:hAnsi="Arial Narrow"/>
          <w:sz w:val="24"/>
          <w:szCs w:val="24"/>
        </w:rPr>
        <w:t xml:space="preserve">, les exigences d’apports </w:t>
      </w:r>
      <w:r w:rsidR="006C3E41">
        <w:rPr>
          <w:rFonts w:ascii="Arial Narrow" w:hAnsi="Arial Narrow"/>
          <w:sz w:val="24"/>
          <w:szCs w:val="24"/>
        </w:rPr>
        <w:t>pe</w:t>
      </w:r>
      <w:r w:rsidR="00221F33">
        <w:rPr>
          <w:rFonts w:ascii="Arial Narrow" w:hAnsi="Arial Narrow"/>
          <w:sz w:val="24"/>
          <w:szCs w:val="24"/>
        </w:rPr>
        <w:t>rsonnels continuant de se renforcer.</w:t>
      </w:r>
    </w:p>
    <w:p w:rsidR="00CB4E1E" w:rsidRPr="00CA03A7" w:rsidRDefault="00CB4E1E" w:rsidP="002D4113">
      <w:pPr>
        <w:pBdr>
          <w:top w:val="single" w:sz="4" w:space="13" w:color="auto"/>
          <w:left w:val="single" w:sz="4" w:space="4" w:color="auto"/>
          <w:bottom w:val="single" w:sz="4" w:space="11" w:color="auto"/>
          <w:right w:val="single" w:sz="4" w:space="0" w:color="auto"/>
        </w:pBdr>
        <w:shd w:val="clear" w:color="auto" w:fill="FFFFFF"/>
        <w:tabs>
          <w:tab w:val="left" w:pos="10065"/>
        </w:tabs>
        <w:ind w:left="284" w:right="56"/>
        <w:jc w:val="both"/>
        <w:rPr>
          <w:rFonts w:ascii="Arial Narrow" w:hAnsi="Arial Narrow"/>
          <w:sz w:val="10"/>
          <w:szCs w:val="10"/>
        </w:rPr>
      </w:pPr>
    </w:p>
    <w:p w:rsidR="00124CC3" w:rsidRPr="00CA03A7" w:rsidRDefault="00E92B75" w:rsidP="00124CC3">
      <w:pPr>
        <w:pBdr>
          <w:top w:val="single" w:sz="4" w:space="13" w:color="auto"/>
          <w:left w:val="single" w:sz="4" w:space="4" w:color="auto"/>
          <w:bottom w:val="single" w:sz="4" w:space="11" w:color="auto"/>
          <w:right w:val="single" w:sz="4" w:space="0" w:color="auto"/>
        </w:pBdr>
        <w:shd w:val="clear" w:color="auto" w:fill="FFFFFF"/>
        <w:tabs>
          <w:tab w:val="left" w:pos="10065"/>
        </w:tabs>
        <w:ind w:left="284" w:right="56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 crise que connaît</w:t>
      </w:r>
      <w:r w:rsidR="00F53FD3">
        <w:rPr>
          <w:rFonts w:ascii="Arial Narrow" w:hAnsi="Arial Narrow"/>
          <w:sz w:val="24"/>
          <w:szCs w:val="24"/>
        </w:rPr>
        <w:t xml:space="preserve"> le</w:t>
      </w:r>
      <w:r w:rsidR="00BA540B" w:rsidRPr="00CA03A7">
        <w:rPr>
          <w:rFonts w:ascii="Arial Narrow" w:hAnsi="Arial Narrow"/>
          <w:sz w:val="24"/>
          <w:szCs w:val="24"/>
        </w:rPr>
        <w:t xml:space="preserve"> marché de l’immobilier en </w:t>
      </w:r>
      <w:r w:rsidR="00601B05" w:rsidRPr="00CA03A7">
        <w:rPr>
          <w:rFonts w:ascii="Arial Narrow" w:hAnsi="Arial Narrow"/>
          <w:sz w:val="24"/>
          <w:szCs w:val="24"/>
        </w:rPr>
        <w:t>France</w:t>
      </w:r>
      <w:r w:rsidR="00BA540B" w:rsidRPr="00CA03A7">
        <w:rPr>
          <w:rFonts w:ascii="Arial Narrow" w:hAnsi="Arial Narrow"/>
          <w:sz w:val="24"/>
          <w:szCs w:val="24"/>
        </w:rPr>
        <w:t xml:space="preserve"> depuis le début de l’année 2012</w:t>
      </w:r>
      <w:r>
        <w:rPr>
          <w:rFonts w:ascii="Arial Narrow" w:hAnsi="Arial Narrow"/>
          <w:sz w:val="24"/>
          <w:szCs w:val="24"/>
        </w:rPr>
        <w:t xml:space="preserve"> s’intensifie : le recul du chiffre d’affaires global des agents immobiliers et admini</w:t>
      </w:r>
      <w:r w:rsidR="00FB0C60">
        <w:rPr>
          <w:rFonts w:ascii="Arial Narrow" w:hAnsi="Arial Narrow"/>
          <w:sz w:val="24"/>
          <w:szCs w:val="24"/>
        </w:rPr>
        <w:t>strateurs de biens s’établit à -</w:t>
      </w:r>
      <w:r>
        <w:rPr>
          <w:rFonts w:ascii="Arial Narrow" w:hAnsi="Arial Narrow"/>
          <w:sz w:val="24"/>
          <w:szCs w:val="24"/>
        </w:rPr>
        <w:t xml:space="preserve"> 18 % au 1</w:t>
      </w:r>
      <w:r w:rsidRPr="00E92B75">
        <w:rPr>
          <w:rFonts w:ascii="Arial Narrow" w:hAnsi="Arial Narrow"/>
          <w:sz w:val="24"/>
          <w:szCs w:val="24"/>
          <w:vertAlign w:val="superscript"/>
        </w:rPr>
        <w:t>er</w:t>
      </w:r>
      <w:r>
        <w:rPr>
          <w:rFonts w:ascii="Arial Narrow" w:hAnsi="Arial Narrow"/>
          <w:sz w:val="24"/>
          <w:szCs w:val="24"/>
        </w:rPr>
        <w:t xml:space="preserve"> trimestre 2013 par rapport à la même période de l’année précédente. Le rythme annuel d’évolution continue sa chute et frôle </w:t>
      </w:r>
      <w:r>
        <w:rPr>
          <w:rFonts w:ascii="Arial Narrow" w:hAnsi="Arial Narrow"/>
          <w:sz w:val="24"/>
          <w:szCs w:val="24"/>
        </w:rPr>
        <w:br/>
      </w:r>
      <w:r w:rsidR="00FB0C60">
        <w:rPr>
          <w:rFonts w:ascii="Arial Narrow" w:hAnsi="Arial Narrow"/>
          <w:sz w:val="24"/>
          <w:szCs w:val="24"/>
        </w:rPr>
        <w:t>-</w:t>
      </w:r>
      <w:r>
        <w:rPr>
          <w:rFonts w:ascii="Arial Narrow" w:hAnsi="Arial Narrow"/>
          <w:sz w:val="24"/>
          <w:szCs w:val="24"/>
        </w:rPr>
        <w:t xml:space="preserve"> 15 % à l’issue de la saison hivernale.</w:t>
      </w:r>
      <w:r w:rsidR="009209BD">
        <w:rPr>
          <w:rFonts w:ascii="Arial Narrow" w:hAnsi="Arial Narrow"/>
          <w:sz w:val="24"/>
          <w:szCs w:val="24"/>
        </w:rPr>
        <w:t xml:space="preserve"> Le 1</w:t>
      </w:r>
      <w:r w:rsidR="009209BD" w:rsidRPr="009209BD">
        <w:rPr>
          <w:rFonts w:ascii="Arial Narrow" w:hAnsi="Arial Narrow"/>
          <w:sz w:val="24"/>
          <w:szCs w:val="24"/>
          <w:vertAlign w:val="superscript"/>
        </w:rPr>
        <w:t>er</w:t>
      </w:r>
      <w:r w:rsidR="009209BD">
        <w:rPr>
          <w:rFonts w:ascii="Arial Narrow" w:hAnsi="Arial Narrow"/>
          <w:sz w:val="24"/>
          <w:szCs w:val="24"/>
        </w:rPr>
        <w:t xml:space="preserve"> trimestre 2012 avait été artificiellement boosté par le changement du régime des plus values</w:t>
      </w:r>
      <w:r w:rsidR="003064A0">
        <w:rPr>
          <w:rFonts w:ascii="Arial Narrow" w:hAnsi="Arial Narrow"/>
          <w:sz w:val="24"/>
          <w:szCs w:val="24"/>
        </w:rPr>
        <w:t xml:space="preserve"> qui pre</w:t>
      </w:r>
      <w:r w:rsidR="009209BD">
        <w:rPr>
          <w:rFonts w:ascii="Arial Narrow" w:hAnsi="Arial Narrow"/>
          <w:sz w:val="24"/>
          <w:szCs w:val="24"/>
        </w:rPr>
        <w:t>nait fin le 1</w:t>
      </w:r>
      <w:r w:rsidR="009209BD" w:rsidRPr="009209BD">
        <w:rPr>
          <w:rFonts w:ascii="Arial Narrow" w:hAnsi="Arial Narrow"/>
          <w:sz w:val="24"/>
          <w:szCs w:val="24"/>
          <w:vertAlign w:val="superscript"/>
        </w:rPr>
        <w:t>er</w:t>
      </w:r>
      <w:r w:rsidR="009209BD">
        <w:rPr>
          <w:rFonts w:ascii="Arial Narrow" w:hAnsi="Arial Narrow"/>
          <w:sz w:val="24"/>
          <w:szCs w:val="24"/>
        </w:rPr>
        <w:t xml:space="preserve"> février.</w:t>
      </w:r>
    </w:p>
    <w:p w:rsidR="002A5877" w:rsidRPr="00CA03A7" w:rsidRDefault="002A5877" w:rsidP="00EB2AA1">
      <w:pPr>
        <w:pBdr>
          <w:top w:val="single" w:sz="4" w:space="13" w:color="auto"/>
          <w:left w:val="single" w:sz="4" w:space="4" w:color="auto"/>
          <w:bottom w:val="single" w:sz="4" w:space="11" w:color="auto"/>
          <w:right w:val="single" w:sz="4" w:space="0" w:color="auto"/>
        </w:pBdr>
        <w:shd w:val="clear" w:color="auto" w:fill="FFFFFF"/>
        <w:tabs>
          <w:tab w:val="left" w:pos="10065"/>
        </w:tabs>
        <w:ind w:left="284" w:right="56"/>
        <w:jc w:val="both"/>
        <w:rPr>
          <w:rFonts w:ascii="Arial Narrow" w:hAnsi="Arial Narrow"/>
          <w:sz w:val="10"/>
          <w:szCs w:val="10"/>
        </w:rPr>
      </w:pPr>
    </w:p>
    <w:p w:rsidR="00CA03A7" w:rsidRPr="003064A0" w:rsidRDefault="00124CC3" w:rsidP="003064A0">
      <w:pPr>
        <w:pBdr>
          <w:top w:val="single" w:sz="4" w:space="13" w:color="auto"/>
          <w:left w:val="single" w:sz="4" w:space="4" w:color="auto"/>
          <w:bottom w:val="single" w:sz="4" w:space="11" w:color="auto"/>
          <w:right w:val="single" w:sz="4" w:space="0" w:color="auto"/>
        </w:pBdr>
        <w:shd w:val="clear" w:color="auto" w:fill="FFFFFF"/>
        <w:tabs>
          <w:tab w:val="left" w:pos="10065"/>
        </w:tabs>
        <w:ind w:left="284" w:right="56"/>
        <w:jc w:val="both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24"/>
          <w:szCs w:val="24"/>
        </w:rPr>
        <w:t xml:space="preserve">En dépit de taux de crédit toujours de plus en plus bas, </w:t>
      </w:r>
      <w:r w:rsidR="002A5877" w:rsidRPr="00CA03A7">
        <w:rPr>
          <w:rFonts w:ascii="Arial Narrow" w:hAnsi="Arial Narrow"/>
          <w:sz w:val="24"/>
          <w:szCs w:val="24"/>
        </w:rPr>
        <w:t xml:space="preserve">les ventes </w:t>
      </w:r>
      <w:r>
        <w:rPr>
          <w:rFonts w:ascii="Arial Narrow" w:hAnsi="Arial Narrow"/>
          <w:sz w:val="24"/>
          <w:szCs w:val="24"/>
        </w:rPr>
        <w:t xml:space="preserve">en valeur </w:t>
      </w:r>
      <w:r w:rsidR="002A5877" w:rsidRPr="00CA03A7">
        <w:rPr>
          <w:rFonts w:ascii="Arial Narrow" w:hAnsi="Arial Narrow"/>
          <w:sz w:val="24"/>
          <w:szCs w:val="24"/>
        </w:rPr>
        <w:t xml:space="preserve">de logements neufs ou anciens  </w:t>
      </w:r>
      <w:r w:rsidR="009209BD">
        <w:rPr>
          <w:rFonts w:ascii="Arial Narrow" w:hAnsi="Arial Narrow"/>
          <w:sz w:val="24"/>
          <w:szCs w:val="24"/>
        </w:rPr>
        <w:t>marque</w:t>
      </w:r>
      <w:r w:rsidR="00DC1278">
        <w:rPr>
          <w:rFonts w:ascii="Arial Narrow" w:hAnsi="Arial Narrow"/>
          <w:sz w:val="24"/>
          <w:szCs w:val="24"/>
        </w:rPr>
        <w:t>nt</w:t>
      </w:r>
      <w:r w:rsidR="009209BD">
        <w:rPr>
          <w:rFonts w:ascii="Arial Narrow" w:hAnsi="Arial Narrow"/>
          <w:sz w:val="24"/>
          <w:szCs w:val="24"/>
        </w:rPr>
        <w:t xml:space="preserve"> une stabilisation de la baisse</w:t>
      </w:r>
      <w:r>
        <w:rPr>
          <w:rFonts w:ascii="Arial Narrow" w:hAnsi="Arial Narrow"/>
          <w:sz w:val="24"/>
          <w:szCs w:val="24"/>
        </w:rPr>
        <w:t xml:space="preserve"> </w:t>
      </w:r>
      <w:r w:rsidR="002A5877" w:rsidRPr="00CA03A7">
        <w:rPr>
          <w:rFonts w:ascii="Arial Narrow" w:hAnsi="Arial Narrow"/>
          <w:sz w:val="24"/>
          <w:szCs w:val="24"/>
        </w:rPr>
        <w:t xml:space="preserve">au </w:t>
      </w:r>
      <w:r>
        <w:rPr>
          <w:rFonts w:ascii="Arial Narrow" w:hAnsi="Arial Narrow"/>
          <w:sz w:val="24"/>
          <w:szCs w:val="24"/>
        </w:rPr>
        <w:t>1</w:t>
      </w:r>
      <w:r w:rsidRPr="00124CC3">
        <w:rPr>
          <w:rFonts w:ascii="Arial Narrow" w:hAnsi="Arial Narrow"/>
          <w:sz w:val="24"/>
          <w:szCs w:val="24"/>
          <w:vertAlign w:val="superscript"/>
        </w:rPr>
        <w:t>er</w:t>
      </w:r>
      <w:r>
        <w:rPr>
          <w:rFonts w:ascii="Arial Narrow" w:hAnsi="Arial Narrow"/>
          <w:sz w:val="24"/>
          <w:szCs w:val="24"/>
        </w:rPr>
        <w:t xml:space="preserve"> tr</w:t>
      </w:r>
      <w:r w:rsidR="009209BD">
        <w:rPr>
          <w:rFonts w:ascii="Arial Narrow" w:hAnsi="Arial Narrow"/>
          <w:sz w:val="24"/>
          <w:szCs w:val="24"/>
        </w:rPr>
        <w:t>imestre 2013</w:t>
      </w:r>
      <w:r w:rsidR="003064A0">
        <w:rPr>
          <w:rFonts w:ascii="Arial Narrow" w:hAnsi="Arial Narrow"/>
          <w:sz w:val="24"/>
          <w:szCs w:val="24"/>
        </w:rPr>
        <w:t>.</w:t>
      </w:r>
      <w:r w:rsidR="003064A0">
        <w:rPr>
          <w:rFonts w:ascii="Arial Narrow" w:hAnsi="Arial Narrow"/>
          <w:sz w:val="10"/>
          <w:szCs w:val="10"/>
        </w:rPr>
        <w:t xml:space="preserve"> </w:t>
      </w:r>
      <w:r w:rsidR="00E77269" w:rsidRPr="00CA03A7">
        <w:rPr>
          <w:rFonts w:ascii="Arial Narrow" w:hAnsi="Arial Narrow"/>
          <w:sz w:val="24"/>
          <w:szCs w:val="24"/>
        </w:rPr>
        <w:t>Le</w:t>
      </w:r>
      <w:r w:rsidR="004E7AF6" w:rsidRPr="00CA03A7">
        <w:rPr>
          <w:rFonts w:ascii="Arial Narrow" w:hAnsi="Arial Narrow"/>
          <w:sz w:val="24"/>
          <w:szCs w:val="24"/>
        </w:rPr>
        <w:t xml:space="preserve"> </w:t>
      </w:r>
      <w:r w:rsidR="003A70B2">
        <w:rPr>
          <w:rFonts w:ascii="Arial Narrow" w:hAnsi="Arial Narrow"/>
          <w:sz w:val="24"/>
          <w:szCs w:val="24"/>
        </w:rPr>
        <w:t xml:space="preserve">recul du </w:t>
      </w:r>
      <w:r w:rsidR="004E7AF6" w:rsidRPr="00CA03A7">
        <w:rPr>
          <w:rFonts w:ascii="Arial Narrow" w:hAnsi="Arial Narrow"/>
          <w:sz w:val="24"/>
          <w:szCs w:val="24"/>
        </w:rPr>
        <w:t>volume de</w:t>
      </w:r>
      <w:r w:rsidR="003A3BCF" w:rsidRPr="00CA03A7">
        <w:rPr>
          <w:rFonts w:ascii="Arial Narrow" w:hAnsi="Arial Narrow"/>
          <w:sz w:val="24"/>
          <w:szCs w:val="24"/>
        </w:rPr>
        <w:t>s</w:t>
      </w:r>
      <w:r w:rsidR="004E7AF6" w:rsidRPr="00CA03A7">
        <w:rPr>
          <w:rFonts w:ascii="Arial Narrow" w:hAnsi="Arial Narrow"/>
          <w:sz w:val="24"/>
          <w:szCs w:val="24"/>
        </w:rPr>
        <w:t xml:space="preserve"> transaction</w:t>
      </w:r>
      <w:r w:rsidR="00100BD5" w:rsidRPr="00CA03A7">
        <w:rPr>
          <w:rFonts w:ascii="Arial Narrow" w:hAnsi="Arial Narrow"/>
          <w:sz w:val="24"/>
          <w:szCs w:val="24"/>
        </w:rPr>
        <w:t>s</w:t>
      </w:r>
      <w:r w:rsidR="00F45DA7">
        <w:rPr>
          <w:rFonts w:ascii="Arial Narrow" w:hAnsi="Arial Narrow"/>
          <w:sz w:val="24"/>
          <w:szCs w:val="24"/>
        </w:rPr>
        <w:t xml:space="preserve"> </w:t>
      </w:r>
      <w:r w:rsidR="003A70B2">
        <w:rPr>
          <w:rFonts w:ascii="Arial Narrow" w:hAnsi="Arial Narrow"/>
          <w:sz w:val="24"/>
          <w:szCs w:val="24"/>
        </w:rPr>
        <w:t>apparai</w:t>
      </w:r>
      <w:r w:rsidR="00F3316A">
        <w:rPr>
          <w:rFonts w:ascii="Arial Narrow" w:hAnsi="Arial Narrow"/>
          <w:sz w:val="24"/>
          <w:szCs w:val="24"/>
        </w:rPr>
        <w:t xml:space="preserve">t désormais moins marqué que la </w:t>
      </w:r>
      <w:r w:rsidR="003A70B2">
        <w:rPr>
          <w:rFonts w:ascii="Arial Narrow" w:hAnsi="Arial Narrow"/>
          <w:sz w:val="24"/>
          <w:szCs w:val="24"/>
        </w:rPr>
        <w:t>baisse du chiffre d’affaire</w:t>
      </w:r>
      <w:r w:rsidR="003064A0">
        <w:rPr>
          <w:rFonts w:ascii="Arial Narrow" w:hAnsi="Arial Narrow"/>
          <w:sz w:val="24"/>
          <w:szCs w:val="24"/>
        </w:rPr>
        <w:t>s</w:t>
      </w:r>
      <w:r w:rsidR="003A70B2">
        <w:rPr>
          <w:rFonts w:ascii="Arial Narrow" w:hAnsi="Arial Narrow"/>
          <w:sz w:val="24"/>
          <w:szCs w:val="24"/>
        </w:rPr>
        <w:t>, et ce tant pour la vente que pour la location</w:t>
      </w:r>
      <w:r w:rsidR="0052142B" w:rsidRPr="00CA03A7">
        <w:rPr>
          <w:rFonts w:ascii="Arial Narrow" w:hAnsi="Arial Narrow"/>
          <w:sz w:val="24"/>
          <w:szCs w:val="24"/>
        </w:rPr>
        <w:t>.</w:t>
      </w:r>
      <w:r w:rsidR="005B560E">
        <w:rPr>
          <w:rFonts w:ascii="Arial Narrow" w:hAnsi="Arial Narrow"/>
          <w:sz w:val="24"/>
          <w:szCs w:val="24"/>
        </w:rPr>
        <w:t xml:space="preserve"> Le nombre de tra</w:t>
      </w:r>
      <w:r w:rsidR="002F2877">
        <w:rPr>
          <w:rFonts w:ascii="Arial Narrow" w:hAnsi="Arial Narrow"/>
          <w:sz w:val="24"/>
          <w:szCs w:val="24"/>
        </w:rPr>
        <w:t>n</w:t>
      </w:r>
      <w:r w:rsidR="005B560E">
        <w:rPr>
          <w:rFonts w:ascii="Arial Narrow" w:hAnsi="Arial Narrow"/>
          <w:sz w:val="24"/>
          <w:szCs w:val="24"/>
        </w:rPr>
        <w:t>sactions conclues</w:t>
      </w:r>
      <w:r w:rsidR="003A70B2">
        <w:rPr>
          <w:rFonts w:ascii="Arial Narrow" w:hAnsi="Arial Narrow"/>
          <w:sz w:val="24"/>
          <w:szCs w:val="24"/>
        </w:rPr>
        <w:t xml:space="preserve"> par les agents immobiliers baisse </w:t>
      </w:r>
      <w:r w:rsidR="00F3316A">
        <w:rPr>
          <w:rFonts w:ascii="Arial Narrow" w:hAnsi="Arial Narrow"/>
          <w:sz w:val="24"/>
          <w:szCs w:val="24"/>
        </w:rPr>
        <w:t xml:space="preserve">néanmoins très sensiblement en ce qui concerne les ventes, à hauteur </w:t>
      </w:r>
      <w:r w:rsidR="003A70B2">
        <w:rPr>
          <w:rFonts w:ascii="Arial Narrow" w:hAnsi="Arial Narrow"/>
          <w:sz w:val="24"/>
          <w:szCs w:val="24"/>
        </w:rPr>
        <w:t xml:space="preserve">de </w:t>
      </w:r>
      <w:r w:rsidR="005B560E">
        <w:rPr>
          <w:rFonts w:ascii="Arial Narrow" w:hAnsi="Arial Narrow"/>
          <w:sz w:val="24"/>
          <w:szCs w:val="24"/>
        </w:rPr>
        <w:t xml:space="preserve">- </w:t>
      </w:r>
      <w:r w:rsidR="003A70B2">
        <w:rPr>
          <w:rFonts w:ascii="Arial Narrow" w:hAnsi="Arial Narrow"/>
          <w:sz w:val="24"/>
          <w:szCs w:val="24"/>
        </w:rPr>
        <w:t>16 %</w:t>
      </w:r>
      <w:r w:rsidR="00F3316A">
        <w:rPr>
          <w:rFonts w:ascii="Arial Narrow" w:hAnsi="Arial Narrow"/>
          <w:sz w:val="24"/>
          <w:szCs w:val="24"/>
        </w:rPr>
        <w:t>. Le fléchissement s’avère limité pour les locations : - 2 % sur la période</w:t>
      </w:r>
      <w:r w:rsidR="00E06947" w:rsidRPr="00CA03A7">
        <w:rPr>
          <w:rFonts w:ascii="Arial Narrow" w:hAnsi="Arial Narrow"/>
          <w:sz w:val="24"/>
          <w:szCs w:val="24"/>
        </w:rPr>
        <w:t>.</w:t>
      </w:r>
      <w:r w:rsidR="005B560E">
        <w:rPr>
          <w:rFonts w:ascii="Arial Narrow" w:hAnsi="Arial Narrow"/>
          <w:sz w:val="24"/>
          <w:szCs w:val="24"/>
        </w:rPr>
        <w:t xml:space="preserve"> Le différentiel valeur-volume se révèle négatif pour ces deux segments, ce qui c</w:t>
      </w:r>
      <w:r w:rsidR="00DE480A">
        <w:rPr>
          <w:rFonts w:ascii="Arial Narrow" w:hAnsi="Arial Narrow"/>
          <w:sz w:val="24"/>
          <w:szCs w:val="24"/>
        </w:rPr>
        <w:t xml:space="preserve">onfirme la baisse des prix annoncée </w:t>
      </w:r>
      <w:r w:rsidR="00F3316A">
        <w:rPr>
          <w:rFonts w:ascii="Arial Narrow" w:hAnsi="Arial Narrow"/>
          <w:sz w:val="24"/>
          <w:szCs w:val="24"/>
        </w:rPr>
        <w:t xml:space="preserve">par </w:t>
      </w:r>
      <w:r w:rsidR="00DE480A">
        <w:rPr>
          <w:rFonts w:ascii="Arial Narrow" w:hAnsi="Arial Narrow"/>
          <w:sz w:val="24"/>
          <w:szCs w:val="24"/>
        </w:rPr>
        <w:t>les intervenants de la profession et relayée par les médias fin 2012</w:t>
      </w:r>
      <w:r w:rsidR="005B560E">
        <w:rPr>
          <w:rFonts w:ascii="Arial Narrow" w:hAnsi="Arial Narrow"/>
          <w:sz w:val="24"/>
          <w:szCs w:val="24"/>
        </w:rPr>
        <w:t xml:space="preserve">. </w:t>
      </w:r>
    </w:p>
    <w:p w:rsidR="00A13A01" w:rsidRPr="00A13A01" w:rsidRDefault="00A13A01" w:rsidP="00A13A01">
      <w:pPr>
        <w:pBdr>
          <w:top w:val="single" w:sz="4" w:space="13" w:color="auto"/>
          <w:left w:val="single" w:sz="4" w:space="4" w:color="auto"/>
          <w:bottom w:val="single" w:sz="4" w:space="11" w:color="auto"/>
          <w:right w:val="single" w:sz="4" w:space="0" w:color="auto"/>
        </w:pBdr>
        <w:shd w:val="clear" w:color="auto" w:fill="FFFFFF"/>
        <w:tabs>
          <w:tab w:val="left" w:pos="10065"/>
        </w:tabs>
        <w:ind w:left="284" w:right="56"/>
        <w:jc w:val="both"/>
        <w:rPr>
          <w:rFonts w:ascii="Arial Narrow" w:hAnsi="Arial Narrow"/>
          <w:sz w:val="10"/>
          <w:szCs w:val="10"/>
        </w:rPr>
      </w:pPr>
    </w:p>
    <w:p w:rsidR="00AD534D" w:rsidRDefault="00DE480A" w:rsidP="00CA03A7">
      <w:pPr>
        <w:pBdr>
          <w:top w:val="single" w:sz="4" w:space="13" w:color="auto"/>
          <w:left w:val="single" w:sz="4" w:space="4" w:color="auto"/>
          <w:bottom w:val="single" w:sz="4" w:space="11" w:color="auto"/>
          <w:right w:val="single" w:sz="4" w:space="0" w:color="auto"/>
        </w:pBdr>
        <w:shd w:val="clear" w:color="auto" w:fill="FFFFFF"/>
        <w:tabs>
          <w:tab w:val="left" w:pos="10065"/>
        </w:tabs>
        <w:ind w:left="284" w:right="56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Cette diminuti</w:t>
      </w:r>
      <w:r w:rsidR="00AD534D">
        <w:rPr>
          <w:rFonts w:ascii="Arial Narrow" w:hAnsi="Arial Narrow"/>
          <w:sz w:val="24"/>
          <w:szCs w:val="24"/>
        </w:rPr>
        <w:t xml:space="preserve">on observée des prix de vente a pour </w:t>
      </w:r>
      <w:r>
        <w:rPr>
          <w:rFonts w:ascii="Arial Narrow" w:hAnsi="Arial Narrow"/>
          <w:sz w:val="24"/>
          <w:szCs w:val="24"/>
        </w:rPr>
        <w:t xml:space="preserve">effet </w:t>
      </w:r>
      <w:r w:rsidR="00AD534D">
        <w:rPr>
          <w:rFonts w:ascii="Arial Narrow" w:hAnsi="Arial Narrow"/>
          <w:sz w:val="24"/>
          <w:szCs w:val="24"/>
        </w:rPr>
        <w:t>d’impacter les chiffres d’affaires et de créer de l’attentisme chez les acquéreurs potentiels.</w:t>
      </w:r>
    </w:p>
    <w:p w:rsidR="00A13A01" w:rsidRPr="00A13A01" w:rsidRDefault="00AD534D" w:rsidP="00CA03A7">
      <w:pPr>
        <w:pBdr>
          <w:top w:val="single" w:sz="4" w:space="13" w:color="auto"/>
          <w:left w:val="single" w:sz="4" w:space="4" w:color="auto"/>
          <w:bottom w:val="single" w:sz="4" w:space="11" w:color="auto"/>
          <w:right w:val="single" w:sz="4" w:space="0" w:color="auto"/>
        </w:pBdr>
        <w:shd w:val="clear" w:color="auto" w:fill="FFFFFF"/>
        <w:tabs>
          <w:tab w:val="left" w:pos="10065"/>
        </w:tabs>
        <w:ind w:left="284" w:right="56"/>
        <w:jc w:val="both"/>
        <w:rPr>
          <w:rFonts w:ascii="Arial Narrow" w:hAnsi="Arial Narrow"/>
          <w:sz w:val="10"/>
          <w:szCs w:val="10"/>
        </w:rPr>
      </w:pPr>
      <w:r w:rsidRPr="00A13A01">
        <w:rPr>
          <w:rFonts w:ascii="Arial Narrow" w:hAnsi="Arial Narrow"/>
          <w:sz w:val="10"/>
          <w:szCs w:val="10"/>
        </w:rPr>
        <w:t xml:space="preserve"> </w:t>
      </w:r>
    </w:p>
    <w:p w:rsidR="003A0730" w:rsidRDefault="003A0730" w:rsidP="00154E20">
      <w:pPr>
        <w:tabs>
          <w:tab w:val="left" w:pos="10065"/>
        </w:tabs>
        <w:ind w:right="198"/>
        <w:rPr>
          <w:sz w:val="8"/>
          <w:szCs w:val="8"/>
        </w:rPr>
      </w:pPr>
    </w:p>
    <w:p w:rsidR="00D82A40" w:rsidRPr="00C17C4B" w:rsidRDefault="00E84EDA" w:rsidP="00A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276"/>
          <w:tab w:val="left" w:pos="3828"/>
          <w:tab w:val="left" w:pos="5954"/>
        </w:tabs>
        <w:ind w:left="284" w:right="57"/>
        <w:jc w:val="both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519430</wp:posOffset>
                </wp:positionV>
                <wp:extent cx="4907280" cy="246380"/>
                <wp:effectExtent l="8255" t="5080" r="8890" b="5715"/>
                <wp:wrapNone/>
                <wp:docPr id="2019" name="Rectangle 2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728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70B" w:rsidRDefault="0080270B" w:rsidP="00E31A9E">
                            <w:pPr>
                              <w:pStyle w:val="Pieddepage"/>
                              <w:ind w:right="57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Observatoire de conjoncture SNPI / Institut  I + C - Activité de Janvier-Février-Mars  2013    1/7</w:t>
                            </w:r>
                          </w:p>
                          <w:p w:rsidR="0080270B" w:rsidRDefault="0080270B" w:rsidP="00E31A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19" o:spid="_x0000_s1026" style="position:absolute;left:0;text-align:left;margin-left:133.4pt;margin-top:40.9pt;width:386.4pt;height:19.4pt;z-index:2521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">
                <v:textbox>
                  <w:txbxContent>
                    <w:p w:rsidR="0080270B" w:rsidRDefault="0080270B" w:rsidP="00E31A9E">
                      <w:pPr>
                        <w:pStyle w:val="Pieddepage"/>
                        <w:ind w:right="57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Observatoire de conjoncture SNPI / Institut  I + C - Activité de Janvier-Février-Mars  2013    1/7</w:t>
                      </w:r>
                    </w:p>
                    <w:p w:rsidR="0080270B" w:rsidRDefault="0080270B" w:rsidP="00E31A9E"/>
                  </w:txbxContent>
                </v:textbox>
              </v:rect>
            </w:pict>
          </mc:Fallback>
        </mc:AlternateContent>
      </w:r>
      <w:r w:rsidR="00D82A40" w:rsidRPr="00C17C4B">
        <w:rPr>
          <w:rFonts w:ascii="Arial Narrow" w:hAnsi="Arial Narrow"/>
          <w:i/>
          <w:sz w:val="24"/>
        </w:rPr>
        <w:t xml:space="preserve">Réalisé par l’Institut I + C </w:t>
      </w:r>
      <w:r w:rsidR="00C8653A">
        <w:rPr>
          <w:rFonts w:ascii="Arial Narrow" w:hAnsi="Arial Narrow"/>
          <w:i/>
          <w:sz w:val="24"/>
        </w:rPr>
        <w:t xml:space="preserve">en </w:t>
      </w:r>
      <w:r w:rsidR="00D468C2">
        <w:rPr>
          <w:rFonts w:ascii="Arial Narrow" w:hAnsi="Arial Narrow"/>
          <w:i/>
          <w:sz w:val="24"/>
        </w:rPr>
        <w:t>a</w:t>
      </w:r>
      <w:r w:rsidR="00583A5C">
        <w:rPr>
          <w:rFonts w:ascii="Arial Narrow" w:hAnsi="Arial Narrow"/>
          <w:i/>
          <w:sz w:val="24"/>
        </w:rPr>
        <w:t>vril</w:t>
      </w:r>
      <w:r w:rsidR="006534BD">
        <w:rPr>
          <w:rFonts w:ascii="Arial Narrow" w:hAnsi="Arial Narrow"/>
          <w:i/>
          <w:sz w:val="24"/>
        </w:rPr>
        <w:t xml:space="preserve"> 201</w:t>
      </w:r>
      <w:r w:rsidR="003D451F">
        <w:rPr>
          <w:rFonts w:ascii="Arial Narrow" w:hAnsi="Arial Narrow"/>
          <w:i/>
          <w:sz w:val="24"/>
        </w:rPr>
        <w:t>3</w:t>
      </w:r>
      <w:r w:rsidR="00D82A40" w:rsidRPr="00C17C4B">
        <w:rPr>
          <w:rFonts w:ascii="Arial Narrow" w:hAnsi="Arial Narrow"/>
          <w:i/>
          <w:sz w:val="24"/>
        </w:rPr>
        <w:t xml:space="preserve"> pour le compte du SNPI sur la base des informations collecté</w:t>
      </w:r>
      <w:r w:rsidR="00244C99">
        <w:rPr>
          <w:rFonts w:ascii="Arial Narrow" w:hAnsi="Arial Narrow"/>
          <w:i/>
          <w:sz w:val="24"/>
        </w:rPr>
        <w:t xml:space="preserve">es auprès d’un échantillon </w:t>
      </w:r>
      <w:r w:rsidR="00244C99" w:rsidRPr="0076061F">
        <w:rPr>
          <w:rFonts w:ascii="Arial Narrow" w:hAnsi="Arial Narrow"/>
          <w:i/>
          <w:sz w:val="24"/>
        </w:rPr>
        <w:t>de 55</w:t>
      </w:r>
      <w:r w:rsidR="00D82A40" w:rsidRPr="0076061F">
        <w:rPr>
          <w:rFonts w:ascii="Arial Narrow" w:hAnsi="Arial Narrow"/>
          <w:i/>
          <w:sz w:val="24"/>
        </w:rPr>
        <w:t>0 agents</w:t>
      </w:r>
      <w:r w:rsidR="00D82A40" w:rsidRPr="00C17C4B">
        <w:rPr>
          <w:rFonts w:ascii="Arial Narrow" w:hAnsi="Arial Narrow"/>
          <w:i/>
          <w:sz w:val="24"/>
        </w:rPr>
        <w:t xml:space="preserve"> immobiliers et administrateurs de biens.</w:t>
      </w:r>
    </w:p>
    <w:p w:rsidR="008E3CB6" w:rsidRDefault="008E3CB6" w:rsidP="00494F2D">
      <w:pPr>
        <w:ind w:left="1701" w:right="1701"/>
        <w:jc w:val="center"/>
        <w:rPr>
          <w:rFonts w:ascii="Arial Narrow" w:hAnsi="Arial Narrow"/>
          <w:b/>
          <w:color w:val="0000FF"/>
          <w:sz w:val="40"/>
        </w:rPr>
      </w:pPr>
    </w:p>
    <w:p w:rsidR="00F45DA7" w:rsidRDefault="00F45DA7" w:rsidP="00494F2D">
      <w:pPr>
        <w:ind w:left="1701" w:right="1701"/>
        <w:jc w:val="center"/>
        <w:rPr>
          <w:rFonts w:ascii="Arial Narrow" w:hAnsi="Arial Narrow"/>
          <w:b/>
          <w:color w:val="0000FF"/>
          <w:sz w:val="40"/>
        </w:rPr>
      </w:pPr>
    </w:p>
    <w:p w:rsidR="00B85B9A" w:rsidRDefault="00B85B9A" w:rsidP="00494F2D">
      <w:pPr>
        <w:ind w:left="1701" w:right="1701"/>
        <w:jc w:val="center"/>
        <w:rPr>
          <w:rFonts w:ascii="Arial Narrow" w:hAnsi="Arial Narrow"/>
          <w:b/>
          <w:color w:val="0000FF"/>
          <w:sz w:val="40"/>
        </w:rPr>
      </w:pPr>
    </w:p>
    <w:p w:rsidR="00B85B9A" w:rsidRDefault="00B85B9A" w:rsidP="00494F2D">
      <w:pPr>
        <w:ind w:left="1701" w:right="1701"/>
        <w:jc w:val="center"/>
        <w:rPr>
          <w:rFonts w:ascii="Arial Narrow" w:hAnsi="Arial Narrow"/>
          <w:b/>
          <w:color w:val="0000FF"/>
          <w:sz w:val="40"/>
        </w:rPr>
      </w:pPr>
    </w:p>
    <w:p w:rsidR="00B85B9A" w:rsidRDefault="00B85B9A" w:rsidP="00494F2D">
      <w:pPr>
        <w:ind w:left="1701" w:right="1701"/>
        <w:jc w:val="center"/>
        <w:rPr>
          <w:rFonts w:ascii="Arial Narrow" w:hAnsi="Arial Narrow"/>
          <w:b/>
          <w:color w:val="0000FF"/>
          <w:sz w:val="40"/>
        </w:rPr>
      </w:pPr>
    </w:p>
    <w:p w:rsidR="00B85B9A" w:rsidRDefault="00B85B9A" w:rsidP="00494F2D">
      <w:pPr>
        <w:ind w:left="1701" w:right="1701"/>
        <w:jc w:val="center"/>
        <w:rPr>
          <w:rFonts w:ascii="Arial Narrow" w:hAnsi="Arial Narrow"/>
          <w:b/>
          <w:color w:val="0000FF"/>
          <w:sz w:val="40"/>
        </w:rPr>
      </w:pPr>
    </w:p>
    <w:p w:rsidR="00B85B9A" w:rsidRDefault="00B85B9A" w:rsidP="00494F2D">
      <w:pPr>
        <w:ind w:left="1701" w:right="1701"/>
        <w:jc w:val="center"/>
        <w:rPr>
          <w:rFonts w:ascii="Arial Narrow" w:hAnsi="Arial Narrow"/>
          <w:b/>
          <w:color w:val="0000FF"/>
          <w:sz w:val="40"/>
        </w:rPr>
      </w:pPr>
    </w:p>
    <w:p w:rsidR="00494F2D" w:rsidRPr="00494F2D" w:rsidRDefault="00494F2D" w:rsidP="00494F2D">
      <w:pPr>
        <w:ind w:left="1701" w:right="1701"/>
        <w:jc w:val="center"/>
        <w:rPr>
          <w:rFonts w:ascii="Arial Narrow" w:hAnsi="Arial Narrow"/>
          <w:b/>
          <w:color w:val="0000FF"/>
          <w:sz w:val="12"/>
          <w:szCs w:val="12"/>
        </w:rPr>
      </w:pPr>
    </w:p>
    <w:p w:rsidR="00D82A40" w:rsidRDefault="009A392A" w:rsidP="00494F2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701" w:right="1701"/>
        <w:jc w:val="center"/>
        <w:rPr>
          <w:rFonts w:ascii="Arial Narrow" w:hAnsi="Arial Narrow"/>
          <w:b/>
          <w:color w:val="0000FF"/>
          <w:sz w:val="40"/>
        </w:rPr>
      </w:pPr>
      <w:r>
        <w:rPr>
          <w:rFonts w:ascii="Arial Narrow" w:hAnsi="Arial Narrow"/>
          <w:b/>
          <w:color w:val="0000FF"/>
          <w:sz w:val="40"/>
        </w:rPr>
        <w:lastRenderedPageBreak/>
        <w:t xml:space="preserve">I. </w:t>
      </w:r>
      <w:r w:rsidR="00D82A40">
        <w:rPr>
          <w:rFonts w:ascii="Arial Narrow" w:hAnsi="Arial Narrow"/>
          <w:b/>
          <w:color w:val="0000FF"/>
          <w:sz w:val="40"/>
        </w:rPr>
        <w:t>CLIMAT ECONOMIQUE</w:t>
      </w:r>
    </w:p>
    <w:p w:rsidR="00D82A40" w:rsidRDefault="00D82A40">
      <w:pPr>
        <w:jc w:val="center"/>
        <w:rPr>
          <w:rFonts w:ascii="Times" w:hAnsi="Times"/>
          <w:sz w:val="16"/>
        </w:rPr>
      </w:pPr>
    </w:p>
    <w:p w:rsidR="00D82A40" w:rsidRDefault="00D82A40">
      <w:pPr>
        <w:pStyle w:val="Titre5"/>
        <w:rPr>
          <w:color w:val="FF0000"/>
          <w:sz w:val="16"/>
        </w:rPr>
      </w:pPr>
    </w:p>
    <w:p w:rsidR="00E67DF2" w:rsidRDefault="00E67DF2" w:rsidP="00E67DF2"/>
    <w:p w:rsidR="00AE695C" w:rsidRPr="00E67DF2" w:rsidRDefault="00AE695C" w:rsidP="00E67DF2"/>
    <w:p w:rsidR="00D82A40" w:rsidRDefault="00D82A40" w:rsidP="001355CC">
      <w:pPr>
        <w:pStyle w:val="Titre6"/>
        <w:tabs>
          <w:tab w:val="clear" w:pos="851"/>
          <w:tab w:val="left" w:pos="1134"/>
          <w:tab w:val="left" w:pos="5670"/>
        </w:tabs>
        <w:ind w:left="1134" w:hanging="1134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Confiance des </w:t>
      </w:r>
      <w:r w:rsidR="004D0C3C">
        <w:rPr>
          <w:rFonts w:ascii="Arial Narrow" w:hAnsi="Arial Narrow"/>
        </w:rPr>
        <w:t>ménages</w:t>
      </w:r>
      <w:r w:rsidR="004D0C3C">
        <w:rPr>
          <w:rFonts w:ascii="Arial Narrow" w:hAnsi="Arial Narrow"/>
          <w:vertAlign w:val="superscript"/>
        </w:rPr>
        <w:t xml:space="preserve"> (</w:t>
      </w:r>
      <w:r>
        <w:rPr>
          <w:rFonts w:ascii="Arial Narrow" w:hAnsi="Arial Narrow"/>
          <w:vertAlign w:val="superscript"/>
        </w:rPr>
        <w:t>1)</w:t>
      </w:r>
      <w:r>
        <w:rPr>
          <w:rFonts w:ascii="Arial Narrow" w:hAnsi="Arial Narrow"/>
        </w:rPr>
        <w:tab/>
      </w:r>
      <w:r w:rsidR="00BF47CF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Nombre de </w:t>
      </w:r>
      <w:r w:rsidR="00BF47CF">
        <w:rPr>
          <w:rFonts w:ascii="Arial Narrow" w:hAnsi="Arial Narrow"/>
        </w:rPr>
        <w:t>chômeurs</w:t>
      </w:r>
      <w:r w:rsidR="004D0C3C">
        <w:rPr>
          <w:rFonts w:ascii="Arial Narrow" w:hAnsi="Arial Narrow"/>
          <w:vertAlign w:val="superscript"/>
        </w:rPr>
        <w:t xml:space="preserve"> (</w:t>
      </w:r>
      <w:r w:rsidR="00D95280">
        <w:rPr>
          <w:rFonts w:ascii="Arial Narrow" w:hAnsi="Arial Narrow"/>
          <w:vertAlign w:val="superscript"/>
        </w:rPr>
        <w:t>2</w:t>
      </w:r>
      <w:r>
        <w:rPr>
          <w:rFonts w:ascii="Arial Narrow" w:hAnsi="Arial Narrow"/>
          <w:vertAlign w:val="superscript"/>
        </w:rPr>
        <w:t>)</w:t>
      </w:r>
      <w:r>
        <w:rPr>
          <w:rFonts w:ascii="Arial Narrow" w:hAnsi="Arial Narrow"/>
        </w:rPr>
        <w:t xml:space="preserve"> (en milliers)</w:t>
      </w:r>
    </w:p>
    <w:p w:rsidR="00D82A40" w:rsidRDefault="002F2877" w:rsidP="0004326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145152" behindDoc="0" locked="0" layoutInCell="1" allowOverlap="1" wp14:anchorId="7E2D80B0" wp14:editId="32AED859">
            <wp:simplePos x="0" y="0"/>
            <wp:positionH relativeFrom="column">
              <wp:posOffset>3435350</wp:posOffset>
            </wp:positionH>
            <wp:positionV relativeFrom="paragraph">
              <wp:posOffset>109220</wp:posOffset>
            </wp:positionV>
            <wp:extent cx="3420000" cy="2419350"/>
            <wp:effectExtent l="0" t="0" r="0" b="0"/>
            <wp:wrapNone/>
            <wp:docPr id="1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2143104" behindDoc="0" locked="0" layoutInCell="1" allowOverlap="1" wp14:anchorId="107B8AE1" wp14:editId="6E8BA45D">
            <wp:simplePos x="0" y="0"/>
            <wp:positionH relativeFrom="column">
              <wp:posOffset>-99060</wp:posOffset>
            </wp:positionH>
            <wp:positionV relativeFrom="paragraph">
              <wp:posOffset>109220</wp:posOffset>
            </wp:positionV>
            <wp:extent cx="3419475" cy="2419350"/>
            <wp:effectExtent l="0" t="0" r="0" b="0"/>
            <wp:wrapNone/>
            <wp:docPr id="10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  <w:r w:rsidR="00173795" w:rsidRPr="00173795">
        <w:rPr>
          <w:noProof/>
        </w:rPr>
        <w:t xml:space="preserve">  </w:t>
      </w:r>
    </w:p>
    <w:p w:rsidR="005174DA" w:rsidRDefault="005174DA" w:rsidP="0004326E">
      <w:pPr>
        <w:rPr>
          <w:noProof/>
        </w:rPr>
      </w:pPr>
    </w:p>
    <w:p w:rsidR="005174DA" w:rsidRDefault="005174DA" w:rsidP="0004326E">
      <w:pPr>
        <w:rPr>
          <w:noProof/>
        </w:rPr>
      </w:pPr>
    </w:p>
    <w:p w:rsidR="005174DA" w:rsidRDefault="005174DA" w:rsidP="0004326E">
      <w:pPr>
        <w:rPr>
          <w:noProof/>
        </w:rPr>
      </w:pPr>
    </w:p>
    <w:p w:rsidR="005174DA" w:rsidRDefault="005174DA" w:rsidP="0004326E">
      <w:pPr>
        <w:rPr>
          <w:noProof/>
        </w:rPr>
      </w:pPr>
    </w:p>
    <w:p w:rsidR="005174DA" w:rsidRDefault="005174DA" w:rsidP="0004326E">
      <w:pPr>
        <w:rPr>
          <w:noProof/>
        </w:rPr>
      </w:pPr>
    </w:p>
    <w:p w:rsidR="005174DA" w:rsidRDefault="005174DA" w:rsidP="0004326E">
      <w:pPr>
        <w:rPr>
          <w:noProof/>
        </w:rPr>
      </w:pPr>
    </w:p>
    <w:p w:rsidR="005174DA" w:rsidRDefault="005174DA" w:rsidP="0004326E">
      <w:pPr>
        <w:rPr>
          <w:noProof/>
        </w:rPr>
      </w:pPr>
    </w:p>
    <w:p w:rsidR="005174DA" w:rsidRDefault="005174DA" w:rsidP="0004326E">
      <w:pPr>
        <w:rPr>
          <w:noProof/>
        </w:rPr>
      </w:pPr>
    </w:p>
    <w:p w:rsidR="005174DA" w:rsidRDefault="005174DA" w:rsidP="0004326E">
      <w:pPr>
        <w:rPr>
          <w:noProof/>
        </w:rPr>
      </w:pPr>
    </w:p>
    <w:p w:rsidR="005174DA" w:rsidRDefault="005174DA" w:rsidP="0004326E">
      <w:pPr>
        <w:rPr>
          <w:noProof/>
        </w:rPr>
      </w:pPr>
    </w:p>
    <w:p w:rsidR="005174DA" w:rsidRDefault="005174DA" w:rsidP="0004326E">
      <w:pPr>
        <w:rPr>
          <w:noProof/>
        </w:rPr>
      </w:pPr>
    </w:p>
    <w:p w:rsidR="005174DA" w:rsidRDefault="005174DA" w:rsidP="0004326E">
      <w:pPr>
        <w:rPr>
          <w:noProof/>
        </w:rPr>
      </w:pPr>
    </w:p>
    <w:p w:rsidR="005174DA" w:rsidRDefault="005174DA" w:rsidP="0004326E">
      <w:pPr>
        <w:rPr>
          <w:noProof/>
        </w:rPr>
      </w:pPr>
    </w:p>
    <w:p w:rsidR="005174DA" w:rsidRDefault="005174DA" w:rsidP="0004326E">
      <w:pPr>
        <w:rPr>
          <w:noProof/>
        </w:rPr>
      </w:pPr>
    </w:p>
    <w:p w:rsidR="005174DA" w:rsidRPr="0004326E" w:rsidRDefault="005174DA" w:rsidP="0004326E"/>
    <w:p w:rsidR="00D82A40" w:rsidRDefault="00D82A40">
      <w:pPr>
        <w:jc w:val="center"/>
        <w:rPr>
          <w:sz w:val="16"/>
          <w:szCs w:val="16"/>
        </w:rPr>
      </w:pPr>
    </w:p>
    <w:p w:rsidR="00AE695C" w:rsidRDefault="00AE695C">
      <w:pPr>
        <w:jc w:val="center"/>
        <w:rPr>
          <w:sz w:val="16"/>
          <w:szCs w:val="16"/>
        </w:rPr>
      </w:pPr>
    </w:p>
    <w:p w:rsidR="00685E6D" w:rsidRDefault="00685E6D" w:rsidP="000F0E54">
      <w:pPr>
        <w:rPr>
          <w:sz w:val="16"/>
          <w:szCs w:val="16"/>
        </w:rPr>
      </w:pPr>
    </w:p>
    <w:p w:rsidR="00685E6D" w:rsidRPr="00763BCE" w:rsidRDefault="00685E6D">
      <w:pPr>
        <w:jc w:val="center"/>
        <w:rPr>
          <w:sz w:val="16"/>
          <w:szCs w:val="16"/>
        </w:rPr>
      </w:pPr>
    </w:p>
    <w:p w:rsidR="003E63BE" w:rsidRDefault="00564AE1" w:rsidP="003E63BE">
      <w:pPr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color w:val="0000FF"/>
          <w:sz w:val="24"/>
        </w:rPr>
      </w:pPr>
      <w:r>
        <w:rPr>
          <w:rFonts w:ascii="Arial Narrow" w:hAnsi="Arial Narrow"/>
          <w:b/>
          <w:color w:val="0000FF"/>
          <w:sz w:val="24"/>
        </w:rPr>
        <w:t>Contexte conjonctururel tendu</w:t>
      </w:r>
    </w:p>
    <w:p w:rsidR="000F0E54" w:rsidRDefault="00564AE1" w:rsidP="000F0E54">
      <w:pPr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Dans le prolongement du second semestre 2012, la</w:t>
      </w:r>
      <w:r w:rsidR="003E63BE" w:rsidRPr="003E63BE">
        <w:rPr>
          <w:rFonts w:ascii="Arial Narrow" w:hAnsi="Arial Narrow"/>
          <w:sz w:val="24"/>
          <w:szCs w:val="24"/>
        </w:rPr>
        <w:t xml:space="preserve"> situation économique </w:t>
      </w:r>
      <w:r>
        <w:rPr>
          <w:rFonts w:ascii="Arial Narrow" w:hAnsi="Arial Narrow"/>
          <w:sz w:val="24"/>
          <w:szCs w:val="24"/>
        </w:rPr>
        <w:t>française demeure stagnante début 2013</w:t>
      </w:r>
      <w:r w:rsidR="003E63BE">
        <w:rPr>
          <w:rFonts w:ascii="Arial Narrow" w:hAnsi="Arial Narrow"/>
          <w:sz w:val="24"/>
          <w:szCs w:val="24"/>
        </w:rPr>
        <w:t>. La</w:t>
      </w:r>
      <w:r w:rsidR="003E63BE" w:rsidRPr="003E63BE">
        <w:rPr>
          <w:rFonts w:ascii="Arial Narrow" w:hAnsi="Arial Narrow"/>
          <w:sz w:val="24"/>
          <w:szCs w:val="24"/>
        </w:rPr>
        <w:t xml:space="preserve"> confiance des ménages</w:t>
      </w:r>
      <w:r w:rsidR="0007524C">
        <w:rPr>
          <w:rFonts w:ascii="Arial Narrow" w:hAnsi="Arial Narrow"/>
          <w:sz w:val="24"/>
          <w:szCs w:val="24"/>
        </w:rPr>
        <w:t xml:space="preserve"> reste à un niveau bas face à un marché de l’emploi très détérioré : </w:t>
      </w:r>
      <w:r w:rsidR="003E63BE" w:rsidRPr="003E63BE">
        <w:rPr>
          <w:rFonts w:ascii="Arial Narrow" w:hAnsi="Arial Narrow"/>
          <w:sz w:val="24"/>
          <w:szCs w:val="24"/>
        </w:rPr>
        <w:t>le n</w:t>
      </w:r>
      <w:r w:rsidR="003E63BE">
        <w:rPr>
          <w:rFonts w:ascii="Arial Narrow" w:hAnsi="Arial Narrow"/>
          <w:sz w:val="24"/>
          <w:szCs w:val="24"/>
        </w:rPr>
        <w:t xml:space="preserve">ombre de chômeurs </w:t>
      </w:r>
      <w:r w:rsidR="0007524C">
        <w:rPr>
          <w:rFonts w:ascii="Arial Narrow" w:hAnsi="Arial Narrow"/>
          <w:sz w:val="24"/>
          <w:szCs w:val="24"/>
        </w:rPr>
        <w:t>s’établissant au-delà de</w:t>
      </w:r>
      <w:r w:rsidR="003E63BE" w:rsidRPr="003E63BE">
        <w:rPr>
          <w:rFonts w:ascii="Arial Narrow" w:hAnsi="Arial Narrow"/>
          <w:sz w:val="24"/>
          <w:szCs w:val="24"/>
        </w:rPr>
        <w:t xml:space="preserve"> 3</w:t>
      </w:r>
      <w:r w:rsidR="0007524C">
        <w:rPr>
          <w:rFonts w:ascii="Arial Narrow" w:hAnsi="Arial Narrow"/>
          <w:sz w:val="24"/>
          <w:szCs w:val="24"/>
        </w:rPr>
        <w:t>,3</w:t>
      </w:r>
      <w:r w:rsidR="003E63BE" w:rsidRPr="003E63BE">
        <w:rPr>
          <w:rFonts w:ascii="Arial Narrow" w:hAnsi="Arial Narrow"/>
          <w:sz w:val="24"/>
          <w:szCs w:val="24"/>
        </w:rPr>
        <w:t xml:space="preserve"> millions.</w:t>
      </w:r>
      <w:r w:rsidR="00CD7CAF">
        <w:rPr>
          <w:rFonts w:ascii="Arial Narrow" w:hAnsi="Arial Narrow"/>
          <w:sz w:val="24"/>
          <w:szCs w:val="24"/>
        </w:rPr>
        <w:t xml:space="preserve"> </w:t>
      </w:r>
      <w:r w:rsidR="0007524C">
        <w:rPr>
          <w:rFonts w:ascii="Arial Narrow" w:hAnsi="Arial Narrow"/>
          <w:sz w:val="24"/>
          <w:szCs w:val="24"/>
        </w:rPr>
        <w:t>Dans ce contexte, la baisse du</w:t>
      </w:r>
      <w:r w:rsidR="0094107C">
        <w:rPr>
          <w:rFonts w:ascii="Arial Narrow" w:hAnsi="Arial Narrow"/>
          <w:sz w:val="24"/>
          <w:szCs w:val="24"/>
        </w:rPr>
        <w:t xml:space="preserve"> coût du crédit immobilier à taux fixe </w:t>
      </w:r>
      <w:r w:rsidR="0007524C">
        <w:rPr>
          <w:rFonts w:ascii="Arial Narrow" w:hAnsi="Arial Narrow"/>
          <w:sz w:val="24"/>
          <w:szCs w:val="24"/>
        </w:rPr>
        <w:t>amorcé au</w:t>
      </w:r>
      <w:r w:rsidR="006D11EB">
        <w:rPr>
          <w:rFonts w:ascii="Arial Narrow" w:hAnsi="Arial Narrow"/>
          <w:sz w:val="24"/>
          <w:szCs w:val="24"/>
        </w:rPr>
        <w:t xml:space="preserve"> 3</w:t>
      </w:r>
      <w:r w:rsidR="006D11EB" w:rsidRPr="006D11EB">
        <w:rPr>
          <w:rFonts w:ascii="Arial Narrow" w:hAnsi="Arial Narrow"/>
          <w:sz w:val="24"/>
          <w:szCs w:val="24"/>
          <w:vertAlign w:val="superscript"/>
        </w:rPr>
        <w:t>ème</w:t>
      </w:r>
      <w:r w:rsidR="0007524C">
        <w:rPr>
          <w:rFonts w:ascii="Arial Narrow" w:hAnsi="Arial Narrow"/>
          <w:sz w:val="24"/>
          <w:szCs w:val="24"/>
        </w:rPr>
        <w:t xml:space="preserve"> trimestre 2012 perdure lors de la saison hivernale</w:t>
      </w:r>
      <w:r w:rsidR="006D11EB">
        <w:rPr>
          <w:rFonts w:ascii="Arial Narrow" w:hAnsi="Arial Narrow"/>
          <w:sz w:val="24"/>
          <w:szCs w:val="24"/>
        </w:rPr>
        <w:t>.</w:t>
      </w:r>
      <w:r w:rsidR="0007524C">
        <w:rPr>
          <w:rFonts w:ascii="Arial Narrow" w:hAnsi="Arial Narrow"/>
          <w:sz w:val="24"/>
          <w:szCs w:val="24"/>
        </w:rPr>
        <w:t xml:space="preserve"> En ce qui concerne les</w:t>
      </w:r>
      <w:r w:rsidR="000F0E54" w:rsidRPr="000F0E54">
        <w:rPr>
          <w:rFonts w:ascii="Arial Narrow" w:hAnsi="Arial Narrow"/>
          <w:sz w:val="24"/>
          <w:szCs w:val="24"/>
        </w:rPr>
        <w:t xml:space="preserve"> encours de crédits aux ménages concernant l’habitat</w:t>
      </w:r>
      <w:r w:rsidR="0007524C">
        <w:rPr>
          <w:rFonts w:ascii="Arial Narrow" w:hAnsi="Arial Narrow"/>
          <w:sz w:val="24"/>
          <w:szCs w:val="24"/>
        </w:rPr>
        <w:t>, ils diminue</w:t>
      </w:r>
      <w:r w:rsidR="00DC1278">
        <w:rPr>
          <w:rFonts w:ascii="Arial Narrow" w:hAnsi="Arial Narrow"/>
          <w:sz w:val="24"/>
          <w:szCs w:val="24"/>
        </w:rPr>
        <w:t>nt</w:t>
      </w:r>
      <w:r w:rsidR="0007524C">
        <w:rPr>
          <w:rFonts w:ascii="Arial Narrow" w:hAnsi="Arial Narrow"/>
          <w:sz w:val="24"/>
          <w:szCs w:val="24"/>
        </w:rPr>
        <w:t xml:space="preserve"> également lors du trimestre sous revu, s’établissant </w:t>
      </w:r>
      <w:r w:rsidR="002F2877">
        <w:rPr>
          <w:rFonts w:ascii="Arial Narrow" w:hAnsi="Arial Narrow"/>
          <w:sz w:val="24"/>
          <w:szCs w:val="24"/>
        </w:rPr>
        <w:t xml:space="preserve">à </w:t>
      </w:r>
      <w:r w:rsidR="0007524C">
        <w:rPr>
          <w:rFonts w:ascii="Arial Narrow" w:hAnsi="Arial Narrow"/>
          <w:sz w:val="24"/>
          <w:szCs w:val="24"/>
        </w:rPr>
        <w:t>2,5 % contre</w:t>
      </w:r>
      <w:r w:rsidR="000F0E54" w:rsidRPr="000F0E54">
        <w:rPr>
          <w:rFonts w:ascii="Arial Narrow" w:hAnsi="Arial Narrow"/>
          <w:sz w:val="24"/>
          <w:szCs w:val="24"/>
        </w:rPr>
        <w:t xml:space="preserve"> </w:t>
      </w:r>
      <w:r w:rsidR="0007524C">
        <w:rPr>
          <w:rFonts w:ascii="Arial Narrow" w:hAnsi="Arial Narrow"/>
          <w:sz w:val="24"/>
          <w:szCs w:val="24"/>
        </w:rPr>
        <w:t>4 % au second semestre 2012 et 6 % un an auparavant.</w:t>
      </w:r>
    </w:p>
    <w:p w:rsidR="005B091B" w:rsidRDefault="005B091B">
      <w:pPr>
        <w:rPr>
          <w:sz w:val="16"/>
          <w:szCs w:val="16"/>
        </w:rPr>
      </w:pPr>
    </w:p>
    <w:p w:rsidR="005B091B" w:rsidRPr="00685E6D" w:rsidRDefault="005B091B">
      <w:pPr>
        <w:rPr>
          <w:sz w:val="16"/>
          <w:szCs w:val="16"/>
        </w:rPr>
      </w:pPr>
    </w:p>
    <w:p w:rsidR="00D82A40" w:rsidRDefault="00567B2B" w:rsidP="00567B2B">
      <w:pPr>
        <w:pStyle w:val="Titre6"/>
        <w:tabs>
          <w:tab w:val="clear" w:pos="851"/>
          <w:tab w:val="left" w:pos="426"/>
          <w:tab w:val="left" w:pos="6663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AB47C1">
        <w:rPr>
          <w:rFonts w:ascii="Arial Narrow" w:hAnsi="Arial Narrow"/>
        </w:rPr>
        <w:t xml:space="preserve">Encours </w:t>
      </w:r>
      <w:r w:rsidR="00EB4A5A">
        <w:rPr>
          <w:rFonts w:ascii="Arial Narrow" w:hAnsi="Arial Narrow"/>
        </w:rPr>
        <w:t>des c</w:t>
      </w:r>
      <w:r w:rsidR="00253FCD">
        <w:rPr>
          <w:rFonts w:ascii="Arial Narrow" w:hAnsi="Arial Narrow"/>
        </w:rPr>
        <w:t xml:space="preserve">rédits aux ménages pour </w:t>
      </w:r>
      <w:r w:rsidR="004D0C3C">
        <w:rPr>
          <w:rFonts w:ascii="Arial Narrow" w:hAnsi="Arial Narrow"/>
        </w:rPr>
        <w:t>l’habitat</w:t>
      </w:r>
      <w:r w:rsidR="004D0C3C">
        <w:rPr>
          <w:rFonts w:ascii="Arial Narrow" w:hAnsi="Arial Narrow"/>
          <w:vertAlign w:val="superscript"/>
        </w:rPr>
        <w:t xml:space="preserve"> (</w:t>
      </w:r>
      <w:r w:rsidR="00D95280">
        <w:rPr>
          <w:rFonts w:ascii="Arial Narrow" w:hAnsi="Arial Narrow"/>
          <w:vertAlign w:val="superscript"/>
        </w:rPr>
        <w:t>3</w:t>
      </w:r>
      <w:r w:rsidR="00D82A40">
        <w:rPr>
          <w:rFonts w:ascii="Arial Narrow" w:hAnsi="Arial Narrow"/>
          <w:vertAlign w:val="superscript"/>
        </w:rPr>
        <w:t>)</w:t>
      </w:r>
      <w:r w:rsidR="00D82A40">
        <w:rPr>
          <w:rFonts w:ascii="Arial Narrow" w:hAnsi="Arial Narrow"/>
        </w:rPr>
        <w:tab/>
      </w:r>
      <w:r w:rsidR="00A57D6A">
        <w:rPr>
          <w:rFonts w:ascii="Arial Narrow" w:hAnsi="Arial Narrow"/>
        </w:rPr>
        <w:t xml:space="preserve"> </w:t>
      </w:r>
      <w:r w:rsidR="00D82A40">
        <w:rPr>
          <w:rFonts w:ascii="Arial Narrow" w:hAnsi="Arial Narrow"/>
        </w:rPr>
        <w:t xml:space="preserve">Coût du crédit </w:t>
      </w:r>
      <w:r w:rsidR="004D0C3C">
        <w:rPr>
          <w:rFonts w:ascii="Arial Narrow" w:hAnsi="Arial Narrow"/>
        </w:rPr>
        <w:t>immobilier</w:t>
      </w:r>
      <w:r w:rsidR="004D0C3C">
        <w:rPr>
          <w:rFonts w:ascii="Arial Narrow" w:hAnsi="Arial Narrow"/>
          <w:vertAlign w:val="superscript"/>
        </w:rPr>
        <w:t xml:space="preserve"> (</w:t>
      </w:r>
      <w:r w:rsidR="00D95280">
        <w:rPr>
          <w:rFonts w:ascii="Arial Narrow" w:hAnsi="Arial Narrow"/>
          <w:vertAlign w:val="superscript"/>
        </w:rPr>
        <w:t>3</w:t>
      </w:r>
      <w:r w:rsidR="00D82A40">
        <w:rPr>
          <w:rFonts w:ascii="Arial Narrow" w:hAnsi="Arial Narrow"/>
          <w:vertAlign w:val="superscript"/>
        </w:rPr>
        <w:t>)</w:t>
      </w:r>
    </w:p>
    <w:p w:rsidR="00D82A40" w:rsidRPr="00253FCD" w:rsidRDefault="004C79A7" w:rsidP="00333FB1">
      <w:pPr>
        <w:tabs>
          <w:tab w:val="left" w:pos="7655"/>
        </w:tabs>
        <w:rPr>
          <w:rFonts w:ascii="Arial Narrow" w:hAnsi="Arial Narrow"/>
          <w:b/>
          <w:bCs/>
          <w:sz w:val="24"/>
        </w:rPr>
      </w:pPr>
      <w:r>
        <w:rPr>
          <w:noProof/>
        </w:rPr>
        <w:t xml:space="preserve"> </w:t>
      </w:r>
      <w:r w:rsidR="00671028" w:rsidRPr="00671028">
        <w:rPr>
          <w:noProof/>
        </w:rPr>
        <w:t xml:space="preserve"> </w:t>
      </w:r>
      <w:r w:rsidR="00567B2B">
        <w:rPr>
          <w:noProof/>
        </w:rPr>
        <w:t xml:space="preserve">    </w:t>
      </w:r>
      <w:r w:rsidR="00EB4A5A">
        <w:rPr>
          <w:rFonts w:ascii="Arial Narrow" w:hAnsi="Arial Narrow"/>
          <w:b/>
          <w:bCs/>
          <w:sz w:val="24"/>
        </w:rPr>
        <w:t xml:space="preserve"> (taux d’évolution</w:t>
      </w:r>
      <w:r w:rsidR="00253FCD" w:rsidRPr="00253FCD">
        <w:rPr>
          <w:rFonts w:ascii="Arial Narrow" w:hAnsi="Arial Narrow"/>
          <w:b/>
          <w:bCs/>
          <w:sz w:val="24"/>
        </w:rPr>
        <w:t xml:space="preserve"> annuel en pourcentage)</w:t>
      </w:r>
      <w:r w:rsidR="00D82A40" w:rsidRPr="00253FCD">
        <w:rPr>
          <w:rFonts w:ascii="Arial Narrow" w:hAnsi="Arial Narrow"/>
          <w:b/>
          <w:bCs/>
          <w:sz w:val="24"/>
        </w:rPr>
        <w:tab/>
      </w:r>
      <w:r w:rsidR="00333FB1" w:rsidRPr="00333FB1">
        <w:t xml:space="preserve"> </w:t>
      </w:r>
      <w:r w:rsidR="00D82A40" w:rsidRPr="00253FCD">
        <w:rPr>
          <w:rFonts w:ascii="Arial Narrow" w:hAnsi="Arial Narrow"/>
          <w:b/>
          <w:bCs/>
          <w:sz w:val="24"/>
        </w:rPr>
        <w:t>(taux fixe)</w:t>
      </w:r>
    </w:p>
    <w:p w:rsidR="00D82A40" w:rsidRPr="002508BC" w:rsidRDefault="00890AE0">
      <w:pPr>
        <w:tabs>
          <w:tab w:val="left" w:pos="6379"/>
        </w:tabs>
        <w:rPr>
          <w:b/>
          <w:sz w:val="16"/>
        </w:rPr>
      </w:pPr>
      <w:r w:rsidRPr="00890AE0">
        <w:rPr>
          <w:noProof/>
        </w:rPr>
        <w:t xml:space="preserve"> </w:t>
      </w:r>
      <w:r w:rsidR="002508BC" w:rsidRPr="002508BC">
        <w:rPr>
          <w:noProof/>
        </w:rPr>
        <w:t xml:space="preserve"> </w:t>
      </w:r>
    </w:p>
    <w:p w:rsidR="00D82A40" w:rsidRDefault="00D82A40" w:rsidP="00290841">
      <w:pPr>
        <w:tabs>
          <w:tab w:val="left" w:pos="6379"/>
        </w:tabs>
        <w:rPr>
          <w:noProof/>
        </w:rPr>
      </w:pPr>
    </w:p>
    <w:p w:rsidR="00D11271" w:rsidRDefault="00512FAA">
      <w:pPr>
        <w:tabs>
          <w:tab w:val="left" w:pos="6379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2179968" behindDoc="0" locked="0" layoutInCell="1" allowOverlap="1">
            <wp:simplePos x="0" y="0"/>
            <wp:positionH relativeFrom="column">
              <wp:posOffset>3434036</wp:posOffset>
            </wp:positionH>
            <wp:positionV relativeFrom="paragraph">
              <wp:posOffset>106395</wp:posOffset>
            </wp:positionV>
            <wp:extent cx="3575488" cy="2412124"/>
            <wp:effectExtent l="19050" t="0" r="0" b="0"/>
            <wp:wrapNone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173795">
        <w:rPr>
          <w:noProof/>
        </w:rPr>
        <w:drawing>
          <wp:anchor distT="0" distB="0" distL="114300" distR="114300" simplePos="0" relativeHeight="252147200" behindDoc="0" locked="0" layoutInCell="1" allowOverlap="1">
            <wp:simplePos x="0" y="0"/>
            <wp:positionH relativeFrom="column">
              <wp:posOffset>-248920</wp:posOffset>
            </wp:positionH>
            <wp:positionV relativeFrom="paragraph">
              <wp:posOffset>101600</wp:posOffset>
            </wp:positionV>
            <wp:extent cx="3569335" cy="2414905"/>
            <wp:effectExtent l="19050" t="0" r="0" b="0"/>
            <wp:wrapNone/>
            <wp:docPr id="1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173795" w:rsidRPr="00173795">
        <w:rPr>
          <w:noProof/>
        </w:rPr>
        <w:t xml:space="preserve"> </w:t>
      </w: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3D451F" w:rsidRDefault="003D451F">
      <w:pPr>
        <w:tabs>
          <w:tab w:val="left" w:pos="6379"/>
        </w:tabs>
        <w:rPr>
          <w:noProof/>
        </w:rPr>
      </w:pPr>
    </w:p>
    <w:p w:rsidR="00D11271" w:rsidRDefault="00D11271">
      <w:pPr>
        <w:tabs>
          <w:tab w:val="left" w:pos="6379"/>
        </w:tabs>
        <w:rPr>
          <w:noProof/>
        </w:rPr>
      </w:pPr>
    </w:p>
    <w:p w:rsidR="00D95280" w:rsidRDefault="00D95280" w:rsidP="00D95280">
      <w:pPr>
        <w:tabs>
          <w:tab w:val="left" w:pos="7020"/>
        </w:tabs>
        <w:jc w:val="both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  <w:vertAlign w:val="superscript"/>
        </w:rPr>
        <w:t>(1)</w:t>
      </w:r>
      <w:r>
        <w:rPr>
          <w:rFonts w:ascii="Arial Narrow" w:hAnsi="Arial Narrow"/>
          <w:i/>
          <w:sz w:val="24"/>
        </w:rPr>
        <w:t xml:space="preserve"> Source INSEE</w:t>
      </w:r>
    </w:p>
    <w:p w:rsidR="00D82A40" w:rsidRDefault="00D82A40">
      <w:pPr>
        <w:tabs>
          <w:tab w:val="left" w:pos="7020"/>
        </w:tabs>
        <w:jc w:val="both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  <w:vertAlign w:val="superscript"/>
        </w:rPr>
        <w:t>(</w:t>
      </w:r>
      <w:r w:rsidR="00D95280">
        <w:rPr>
          <w:rFonts w:ascii="Arial Narrow" w:hAnsi="Arial Narrow"/>
          <w:i/>
          <w:sz w:val="24"/>
          <w:vertAlign w:val="superscript"/>
        </w:rPr>
        <w:t>2</w:t>
      </w:r>
      <w:r>
        <w:rPr>
          <w:rFonts w:ascii="Arial Narrow" w:hAnsi="Arial Narrow"/>
          <w:i/>
          <w:sz w:val="24"/>
          <w:vertAlign w:val="superscript"/>
        </w:rPr>
        <w:t>)</w:t>
      </w:r>
      <w:r w:rsidR="001355CC">
        <w:rPr>
          <w:rFonts w:ascii="Arial Narrow" w:hAnsi="Arial Narrow"/>
          <w:i/>
          <w:sz w:val="24"/>
        </w:rPr>
        <w:t xml:space="preserve"> </w:t>
      </w:r>
      <w:r w:rsidR="00FF16CC">
        <w:rPr>
          <w:rFonts w:ascii="Arial Narrow" w:hAnsi="Arial Narrow"/>
          <w:i/>
          <w:sz w:val="24"/>
        </w:rPr>
        <w:t xml:space="preserve">Chômeurs DEFM catégories </w:t>
      </w:r>
      <w:r w:rsidR="00AB47C1">
        <w:rPr>
          <w:rFonts w:ascii="Arial Narrow" w:hAnsi="Arial Narrow"/>
          <w:i/>
          <w:sz w:val="24"/>
        </w:rPr>
        <w:t>A</w:t>
      </w:r>
      <w:r w:rsidR="00FF16CC">
        <w:rPr>
          <w:rFonts w:ascii="Arial Narrow" w:hAnsi="Arial Narrow"/>
          <w:i/>
          <w:sz w:val="24"/>
        </w:rPr>
        <w:t xml:space="preserve"> / </w:t>
      </w:r>
      <w:r w:rsidR="001355CC">
        <w:rPr>
          <w:rFonts w:ascii="Arial Narrow" w:hAnsi="Arial Narrow"/>
          <w:i/>
          <w:sz w:val="24"/>
        </w:rPr>
        <w:t xml:space="preserve"> </w:t>
      </w:r>
      <w:r w:rsidR="001A7166">
        <w:rPr>
          <w:rFonts w:ascii="Arial Narrow" w:hAnsi="Arial Narrow"/>
          <w:i/>
          <w:sz w:val="24"/>
        </w:rPr>
        <w:t>Source DEFM</w:t>
      </w:r>
      <w:r w:rsidR="00FF16CC">
        <w:rPr>
          <w:rFonts w:ascii="Arial Narrow" w:hAnsi="Arial Narrow"/>
          <w:i/>
          <w:sz w:val="24"/>
        </w:rPr>
        <w:t xml:space="preserve"> ANPE</w:t>
      </w:r>
      <w:r w:rsidR="001A7166">
        <w:rPr>
          <w:rFonts w:ascii="Arial Narrow" w:hAnsi="Arial Narrow"/>
          <w:i/>
          <w:sz w:val="24"/>
        </w:rPr>
        <w:t>, Dares</w:t>
      </w:r>
      <w:r w:rsidR="00AB47C1">
        <w:rPr>
          <w:rFonts w:ascii="Arial Narrow" w:hAnsi="Arial Narrow"/>
          <w:i/>
          <w:sz w:val="24"/>
        </w:rPr>
        <w:t xml:space="preserve"> (Nouvelle série)</w:t>
      </w:r>
    </w:p>
    <w:p w:rsidR="00D82A40" w:rsidRDefault="00D82A40">
      <w:pPr>
        <w:tabs>
          <w:tab w:val="left" w:pos="7020"/>
        </w:tabs>
        <w:jc w:val="both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  <w:vertAlign w:val="superscript"/>
        </w:rPr>
        <w:t>(</w:t>
      </w:r>
      <w:r w:rsidR="00D95280">
        <w:rPr>
          <w:rFonts w:ascii="Arial Narrow" w:hAnsi="Arial Narrow"/>
          <w:i/>
          <w:sz w:val="24"/>
          <w:vertAlign w:val="superscript"/>
        </w:rPr>
        <w:t>3</w:t>
      </w:r>
      <w:r>
        <w:rPr>
          <w:rFonts w:ascii="Arial Narrow" w:hAnsi="Arial Narrow"/>
          <w:i/>
          <w:sz w:val="24"/>
          <w:vertAlign w:val="superscript"/>
        </w:rPr>
        <w:t>)</w:t>
      </w:r>
      <w:r>
        <w:rPr>
          <w:rFonts w:ascii="Arial Narrow" w:hAnsi="Arial Narrow"/>
          <w:i/>
          <w:sz w:val="24"/>
        </w:rPr>
        <w:t xml:space="preserve"> Source Banque de France</w:t>
      </w:r>
    </w:p>
    <w:p w:rsidR="00D82A40" w:rsidRDefault="00D82A40">
      <w:pPr>
        <w:tabs>
          <w:tab w:val="left" w:pos="1134"/>
        </w:tabs>
        <w:jc w:val="both"/>
        <w:rPr>
          <w:i/>
          <w:sz w:val="4"/>
        </w:rPr>
      </w:pPr>
      <w:r>
        <w:rPr>
          <w:i/>
          <w:sz w:val="4"/>
        </w:rPr>
        <w:br w:type="page"/>
      </w:r>
    </w:p>
    <w:p w:rsidR="00D82A40" w:rsidRDefault="00D82A40">
      <w:pPr>
        <w:pStyle w:val="Titre8"/>
        <w:ind w:left="1134" w:right="1134"/>
        <w:rPr>
          <w:b w:val="0"/>
          <w:sz w:val="4"/>
          <w:szCs w:val="4"/>
        </w:rPr>
      </w:pPr>
    </w:p>
    <w:p w:rsidR="00D82A40" w:rsidRDefault="00D82A40">
      <w:pPr>
        <w:pStyle w:val="Titre8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 Narrow" w:hAnsi="Arial Narrow"/>
          <w:color w:val="0000FF"/>
        </w:rPr>
      </w:pPr>
      <w:r>
        <w:rPr>
          <w:rFonts w:ascii="Arial Narrow" w:hAnsi="Arial Narrow"/>
          <w:color w:val="0000FF"/>
        </w:rPr>
        <w:t>II. ACTIVITE RECENTE DES AGENTS IMMOBILIERS ET DES ADMINISTRATEURS DE BIENS</w:t>
      </w:r>
    </w:p>
    <w:p w:rsidR="00D82A40" w:rsidRDefault="00D82A40">
      <w:pPr>
        <w:pStyle w:val="Titre9"/>
        <w:rPr>
          <w:sz w:val="16"/>
          <w:szCs w:val="16"/>
        </w:rPr>
      </w:pPr>
    </w:p>
    <w:p w:rsidR="00D82A40" w:rsidRDefault="00D82A40">
      <w:pPr>
        <w:pStyle w:val="Titre1"/>
        <w:tabs>
          <w:tab w:val="left" w:pos="142"/>
          <w:tab w:val="left" w:pos="851"/>
          <w:tab w:val="left" w:pos="6804"/>
        </w:tabs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Evolution d</w:t>
      </w:r>
      <w:r w:rsidR="001C7F70">
        <w:rPr>
          <w:rFonts w:ascii="Arial Narrow" w:hAnsi="Arial Narrow"/>
          <w:b/>
        </w:rPr>
        <w:t>u</w:t>
      </w:r>
      <w:r>
        <w:rPr>
          <w:rFonts w:ascii="Arial Narrow" w:hAnsi="Arial Narrow"/>
          <w:b/>
        </w:rPr>
        <w:t xml:space="preserve"> chiffre d’affaires</w:t>
      </w:r>
      <w:r w:rsidR="001C7F70">
        <w:rPr>
          <w:rFonts w:ascii="Arial Narrow" w:hAnsi="Arial Narrow"/>
          <w:b/>
        </w:rPr>
        <w:t xml:space="preserve"> de la profession</w:t>
      </w:r>
    </w:p>
    <w:p w:rsidR="00D82A40" w:rsidRDefault="00015230" w:rsidP="00786795">
      <w:pPr>
        <w:rPr>
          <w:noProof/>
        </w:rPr>
      </w:pPr>
      <w:r w:rsidRPr="00015230">
        <w:rPr>
          <w:noProof/>
        </w:rPr>
        <w:drawing>
          <wp:anchor distT="0" distB="0" distL="114300" distR="114300" simplePos="0" relativeHeight="252182016" behindDoc="0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130810</wp:posOffset>
            </wp:positionV>
            <wp:extent cx="5915025" cy="2790825"/>
            <wp:effectExtent l="0" t="0" r="0" b="0"/>
            <wp:wrapNone/>
            <wp:docPr id="3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BE62A6" w:rsidRDefault="00BE62A6" w:rsidP="00786795">
      <w:pPr>
        <w:rPr>
          <w:noProof/>
        </w:rPr>
      </w:pPr>
    </w:p>
    <w:p w:rsidR="00F30D9A" w:rsidRDefault="00E84EDA" w:rsidP="00A00813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241935</wp:posOffset>
                </wp:positionV>
                <wp:extent cx="4527550" cy="1263650"/>
                <wp:effectExtent l="0" t="3810" r="1270" b="0"/>
                <wp:wrapTopAndBottom/>
                <wp:docPr id="20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Ind w:w="-21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37"/>
                              <w:gridCol w:w="1021"/>
                              <w:gridCol w:w="1021"/>
                              <w:gridCol w:w="1021"/>
                              <w:gridCol w:w="1021"/>
                              <w:gridCol w:w="1021"/>
                            </w:tblGrid>
                            <w:tr w:rsidR="0080270B">
                              <w:trPr>
                                <w:jc w:val="center"/>
                              </w:trPr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Périodes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AMJ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JAS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OND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090F96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13</w:t>
                                  </w:r>
                                </w:p>
                              </w:tc>
                            </w:tr>
                            <w:tr w:rsidR="0080270B">
                              <w:trPr>
                                <w:trHeight w:val="375"/>
                                <w:jc w:val="center"/>
                              </w:trPr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Tx évol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  <w:vertAlign w:val="superscript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- 3,5 %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- 15 %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090F96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090F96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-10 %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4425C5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4425C5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- 15 %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134941" w:rsidRDefault="0080270B" w:rsidP="009E19B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</w:rPr>
                                    <w:t>- 18 %</w:t>
                                  </w:r>
                                </w:p>
                              </w:tc>
                            </w:tr>
                            <w:tr w:rsidR="0080270B">
                              <w:trPr>
                                <w:jc w:val="center"/>
                              </w:trPr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Tendance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  <w:vertAlign w:val="superscript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+ 4 %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- 1,5 %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090F96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090F96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- 5,5 %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4425C5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4425C5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- 11 %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134941" w:rsidRDefault="0080270B" w:rsidP="005E362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0000FF"/>
                                      <w:sz w:val="24"/>
                                    </w:rPr>
                                    <w:t>- 14,5 %</w:t>
                                  </w:r>
                                </w:p>
                              </w:tc>
                            </w:tr>
                          </w:tbl>
                          <w:p w:rsidR="0080270B" w:rsidRDefault="0080270B" w:rsidP="0059249C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76.15pt;margin-top:19.05pt;width:356.5pt;height:99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mruQ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Ind w:w="-21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37"/>
                        <w:gridCol w:w="1021"/>
                        <w:gridCol w:w="1021"/>
                        <w:gridCol w:w="1021"/>
                        <w:gridCol w:w="1021"/>
                        <w:gridCol w:w="1021"/>
                      </w:tblGrid>
                      <w:tr w:rsidR="0080270B">
                        <w:trPr>
                          <w:jc w:val="center"/>
                        </w:trPr>
                        <w:tc>
                          <w:tcPr>
                            <w:tcW w:w="12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Périodes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AMJ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JAS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OND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090F96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13</w:t>
                            </w:r>
                          </w:p>
                        </w:tc>
                      </w:tr>
                      <w:tr w:rsidR="0080270B">
                        <w:trPr>
                          <w:trHeight w:val="375"/>
                          <w:jc w:val="center"/>
                        </w:trPr>
                        <w:tc>
                          <w:tcPr>
                            <w:tcW w:w="12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Tx évol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vertAlign w:val="superscript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z w:val="24"/>
                              </w:rPr>
                              <w:t>- 3,5 %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z w:val="24"/>
                              </w:rPr>
                              <w:t>- 15 %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090F96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090F96">
                              <w:rPr>
                                <w:rFonts w:ascii="Arial Narrow" w:hAnsi="Arial Narrow"/>
                                <w:sz w:val="24"/>
                              </w:rPr>
                              <w:t>-10 %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4425C5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4425C5">
                              <w:rPr>
                                <w:rFonts w:ascii="Arial Narrow" w:hAnsi="Arial Narrow"/>
                                <w:sz w:val="24"/>
                              </w:rPr>
                              <w:t>- 15 %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134941" w:rsidRDefault="0080270B" w:rsidP="009E19BE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</w:rPr>
                              <w:t>- 18 %</w:t>
                            </w:r>
                          </w:p>
                        </w:tc>
                      </w:tr>
                      <w:tr w:rsidR="0080270B">
                        <w:trPr>
                          <w:jc w:val="center"/>
                        </w:trPr>
                        <w:tc>
                          <w:tcPr>
                            <w:tcW w:w="12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Tendance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vertAlign w:val="superscript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z w:val="24"/>
                              </w:rPr>
                              <w:t>+ 4 %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z w:val="24"/>
                              </w:rPr>
                              <w:t>- 1,5 %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090F96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090F96">
                              <w:rPr>
                                <w:rFonts w:ascii="Arial Narrow" w:hAnsi="Arial Narrow"/>
                                <w:sz w:val="24"/>
                              </w:rPr>
                              <w:t>- 5,5 %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4425C5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4425C5">
                              <w:rPr>
                                <w:rFonts w:ascii="Arial Narrow" w:hAnsi="Arial Narrow"/>
                                <w:sz w:val="24"/>
                              </w:rPr>
                              <w:t>- 11 %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134941" w:rsidRDefault="0080270B" w:rsidP="005E3622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FF"/>
                                <w:sz w:val="24"/>
                              </w:rPr>
                              <w:t>- 14,5 %</w:t>
                            </w:r>
                          </w:p>
                        </w:tc>
                      </w:tr>
                    </w:tbl>
                    <w:p w:rsidR="0080270B" w:rsidRDefault="0080270B" w:rsidP="0059249C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82A40" w:rsidRDefault="005C165C" w:rsidP="008E4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color w:val="0000FF"/>
          <w:sz w:val="24"/>
        </w:rPr>
      </w:pPr>
      <w:r>
        <w:rPr>
          <w:rFonts w:ascii="Arial Narrow" w:hAnsi="Arial Narrow"/>
          <w:b/>
          <w:color w:val="0000FF"/>
          <w:sz w:val="24"/>
        </w:rPr>
        <w:t>Crise du marché immobilier</w:t>
      </w:r>
    </w:p>
    <w:p w:rsidR="00172CFC" w:rsidRDefault="00172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b/>
          <w:color w:val="0000FF"/>
          <w:sz w:val="16"/>
          <w:szCs w:val="16"/>
        </w:rPr>
      </w:pPr>
    </w:p>
    <w:p w:rsidR="00C46906" w:rsidRDefault="005C1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Suite à une année 2012 déjà morose, </w:t>
      </w:r>
      <w:r w:rsidR="008F077D">
        <w:rPr>
          <w:rFonts w:ascii="Arial Narrow" w:hAnsi="Arial Narrow"/>
          <w:sz w:val="24"/>
        </w:rPr>
        <w:t xml:space="preserve">la situation du </w:t>
      </w:r>
      <w:r w:rsidR="00492C03">
        <w:rPr>
          <w:rFonts w:ascii="Arial Narrow" w:hAnsi="Arial Narrow"/>
          <w:sz w:val="24"/>
        </w:rPr>
        <w:t xml:space="preserve">marché immobilier </w:t>
      </w:r>
      <w:r w:rsidR="0080270B">
        <w:rPr>
          <w:rFonts w:ascii="Arial Narrow" w:hAnsi="Arial Narrow"/>
          <w:sz w:val="24"/>
        </w:rPr>
        <w:t xml:space="preserve">apparaît </w:t>
      </w:r>
      <w:r w:rsidR="00AD534D">
        <w:rPr>
          <w:rFonts w:ascii="Arial Narrow" w:hAnsi="Arial Narrow"/>
          <w:sz w:val="24"/>
        </w:rPr>
        <w:t>toujours difficile</w:t>
      </w:r>
      <w:r>
        <w:rPr>
          <w:rFonts w:ascii="Arial Narrow" w:hAnsi="Arial Narrow"/>
          <w:sz w:val="24"/>
        </w:rPr>
        <w:t xml:space="preserve"> début 2013</w:t>
      </w:r>
      <w:r w:rsidR="0080270B">
        <w:rPr>
          <w:rFonts w:ascii="Arial Narrow" w:hAnsi="Arial Narrow"/>
          <w:sz w:val="24"/>
        </w:rPr>
        <w:t>, comme cela avait été anticipé lors du précédent baromètre</w:t>
      </w:r>
      <w:r>
        <w:rPr>
          <w:rFonts w:ascii="Arial Narrow" w:hAnsi="Arial Narrow"/>
          <w:sz w:val="24"/>
        </w:rPr>
        <w:t>. L</w:t>
      </w:r>
      <w:r w:rsidR="00492C03">
        <w:rPr>
          <w:rFonts w:ascii="Arial Narrow" w:hAnsi="Arial Narrow"/>
          <w:sz w:val="24"/>
        </w:rPr>
        <w:t xml:space="preserve">e chiffre d’affaires </w:t>
      </w:r>
      <w:r>
        <w:rPr>
          <w:rFonts w:ascii="Arial Narrow" w:hAnsi="Arial Narrow"/>
          <w:sz w:val="24"/>
        </w:rPr>
        <w:t>se dégrade très sensible</w:t>
      </w:r>
      <w:r w:rsidR="003967AE">
        <w:rPr>
          <w:rFonts w:ascii="Arial Narrow" w:hAnsi="Arial Narrow"/>
          <w:sz w:val="24"/>
        </w:rPr>
        <w:t>ment</w:t>
      </w:r>
      <w:r>
        <w:rPr>
          <w:rFonts w:ascii="Arial Narrow" w:hAnsi="Arial Narrow"/>
          <w:sz w:val="24"/>
        </w:rPr>
        <w:t xml:space="preserve"> au cours du </w:t>
      </w:r>
      <w:r w:rsidR="0080270B">
        <w:rPr>
          <w:rFonts w:ascii="Arial Narrow" w:hAnsi="Arial Narrow"/>
          <w:sz w:val="24"/>
        </w:rPr>
        <w:br/>
      </w:r>
      <w:r>
        <w:rPr>
          <w:rFonts w:ascii="Arial Narrow" w:hAnsi="Arial Narrow"/>
          <w:sz w:val="24"/>
        </w:rPr>
        <w:t>1</w:t>
      </w:r>
      <w:r w:rsidRPr="005C165C">
        <w:rPr>
          <w:rFonts w:ascii="Arial Narrow" w:hAnsi="Arial Narrow"/>
          <w:sz w:val="24"/>
          <w:vertAlign w:val="superscript"/>
        </w:rPr>
        <w:t>er</w:t>
      </w:r>
      <w:r>
        <w:rPr>
          <w:rFonts w:ascii="Arial Narrow" w:hAnsi="Arial Narrow"/>
          <w:sz w:val="24"/>
        </w:rPr>
        <w:t xml:space="preserve"> trimestre 2013</w:t>
      </w:r>
      <w:r w:rsidR="00AD534D">
        <w:rPr>
          <w:rFonts w:ascii="Arial Narrow" w:hAnsi="Arial Narrow"/>
          <w:sz w:val="24"/>
        </w:rPr>
        <w:t xml:space="preserve"> (effet baisse des prix)</w:t>
      </w:r>
      <w:r>
        <w:rPr>
          <w:rFonts w:ascii="Arial Narrow" w:hAnsi="Arial Narrow"/>
          <w:sz w:val="24"/>
        </w:rPr>
        <w:t>, à hauteur de -</w:t>
      </w:r>
      <w:r w:rsidR="00015230">
        <w:rPr>
          <w:rFonts w:ascii="Arial Narrow" w:hAnsi="Arial Narrow"/>
          <w:sz w:val="24"/>
        </w:rPr>
        <w:t xml:space="preserve"> 18</w:t>
      </w:r>
      <w:r>
        <w:rPr>
          <w:rFonts w:ascii="Arial Narrow" w:hAnsi="Arial Narrow"/>
          <w:sz w:val="24"/>
        </w:rPr>
        <w:t xml:space="preserve"> % par rapport à la même période de l’année précédente</w:t>
      </w:r>
      <w:r w:rsidR="00492C03">
        <w:rPr>
          <w:rFonts w:ascii="Arial Narrow" w:hAnsi="Arial Narrow"/>
          <w:sz w:val="24"/>
        </w:rPr>
        <w:t xml:space="preserve">. </w:t>
      </w:r>
      <w:r>
        <w:rPr>
          <w:rFonts w:ascii="Arial Narrow" w:hAnsi="Arial Narrow"/>
          <w:sz w:val="24"/>
        </w:rPr>
        <w:t>Le rythme annuel d’évolution se détériore f</w:t>
      </w:r>
      <w:r w:rsidR="002F2877">
        <w:rPr>
          <w:rFonts w:ascii="Arial Narrow" w:hAnsi="Arial Narrow"/>
          <w:sz w:val="24"/>
        </w:rPr>
        <w:t>ortement puisqu’il avoisine -</w:t>
      </w:r>
      <w:r w:rsidR="003967AE">
        <w:rPr>
          <w:rFonts w:ascii="Arial Narrow" w:hAnsi="Arial Narrow"/>
          <w:sz w:val="24"/>
        </w:rPr>
        <w:t xml:space="preserve"> 14</w:t>
      </w:r>
      <w:r>
        <w:rPr>
          <w:rFonts w:ascii="Arial Narrow" w:hAnsi="Arial Narrow"/>
          <w:sz w:val="24"/>
        </w:rPr>
        <w:t>,5 % à l’issue de la saison hivernale, soit une chute de</w:t>
      </w:r>
      <w:r w:rsidR="003967AE">
        <w:rPr>
          <w:rFonts w:ascii="Arial Narrow" w:hAnsi="Arial Narrow"/>
          <w:sz w:val="24"/>
        </w:rPr>
        <w:t xml:space="preserve"> près de</w:t>
      </w:r>
      <w:r>
        <w:rPr>
          <w:rFonts w:ascii="Arial Narrow" w:hAnsi="Arial Narrow"/>
          <w:sz w:val="24"/>
        </w:rPr>
        <w:t xml:space="preserve"> 20 points en un an.</w:t>
      </w:r>
    </w:p>
    <w:p w:rsidR="00F43C11" w:rsidRDefault="00F43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4"/>
        </w:rPr>
      </w:pPr>
    </w:p>
    <w:p w:rsidR="007A5ECC" w:rsidRDefault="00396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</w:t>
      </w:r>
      <w:r w:rsidR="003C5CB3">
        <w:rPr>
          <w:rFonts w:ascii="Arial Narrow" w:hAnsi="Arial Narrow"/>
          <w:sz w:val="24"/>
        </w:rPr>
        <w:t>’en</w:t>
      </w:r>
      <w:r w:rsidR="00DC1278">
        <w:rPr>
          <w:rFonts w:ascii="Arial Narrow" w:hAnsi="Arial Narrow"/>
          <w:sz w:val="24"/>
        </w:rPr>
        <w:t>semble des entreprises traverse</w:t>
      </w:r>
      <w:r w:rsidR="003C5CB3">
        <w:rPr>
          <w:rFonts w:ascii="Arial Narrow" w:hAnsi="Arial Narrow"/>
          <w:sz w:val="24"/>
        </w:rPr>
        <w:t xml:space="preserve"> une pé</w:t>
      </w:r>
      <w:r>
        <w:rPr>
          <w:rFonts w:ascii="Arial Narrow" w:hAnsi="Arial Narrow"/>
          <w:sz w:val="24"/>
        </w:rPr>
        <w:t>riode très difficile, indépendamment de leur taille.</w:t>
      </w:r>
      <w:r w:rsidR="003C5CB3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Les structures de moins de 10 salariés accusent des baisses particu</w:t>
      </w:r>
      <w:r w:rsidR="002F2877">
        <w:rPr>
          <w:rFonts w:ascii="Arial Narrow" w:hAnsi="Arial Narrow"/>
          <w:sz w:val="24"/>
        </w:rPr>
        <w:t>lièrement marquées, au-delà de -</w:t>
      </w:r>
      <w:r>
        <w:rPr>
          <w:rFonts w:ascii="Arial Narrow" w:hAnsi="Arial Narrow"/>
          <w:sz w:val="24"/>
        </w:rPr>
        <w:t xml:space="preserve"> 20 % ce trimestre</w:t>
      </w:r>
      <w:r w:rsidR="00D1519E">
        <w:rPr>
          <w:rFonts w:ascii="Arial Narrow" w:hAnsi="Arial Narrow"/>
          <w:sz w:val="24"/>
        </w:rPr>
        <w:t xml:space="preserve">. </w:t>
      </w:r>
    </w:p>
    <w:p w:rsidR="00AA3B12" w:rsidRDefault="00AA3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4"/>
        </w:rPr>
      </w:pPr>
    </w:p>
    <w:p w:rsidR="00F30D9A" w:rsidRPr="002E3E0F" w:rsidRDefault="00F30D9A">
      <w:pPr>
        <w:rPr>
          <w:sz w:val="16"/>
          <w:szCs w:val="16"/>
        </w:rPr>
      </w:pPr>
    </w:p>
    <w:p w:rsidR="00D82A40" w:rsidRDefault="00D82A40">
      <w:pPr>
        <w:pStyle w:val="Titre1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Evoluti</w:t>
      </w:r>
      <w:r w:rsidR="00BC17AD">
        <w:rPr>
          <w:rFonts w:ascii="Arial Narrow" w:hAnsi="Arial Narrow"/>
          <w:b/>
        </w:rPr>
        <w:t>on du chiffre d’affaires global</w:t>
      </w:r>
      <w:r>
        <w:rPr>
          <w:rFonts w:ascii="Arial Narrow" w:hAnsi="Arial Narrow"/>
          <w:b/>
        </w:rPr>
        <w:t xml:space="preserve"> selon la taille des entreprises</w:t>
      </w:r>
    </w:p>
    <w:p w:rsidR="00D82A40" w:rsidRDefault="00D82A40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1"/>
        <w:gridCol w:w="1814"/>
        <w:gridCol w:w="1814"/>
        <w:gridCol w:w="1814"/>
        <w:gridCol w:w="1814"/>
      </w:tblGrid>
      <w:tr w:rsidR="00D82A40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D82A40" w:rsidRDefault="00D82A40">
            <w:pPr>
              <w:spacing w:before="200" w:after="200"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Périodes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D82A40" w:rsidRDefault="00D82A40">
            <w:pPr>
              <w:spacing w:before="200" w:after="200"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0 à 4 salariés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D82A40" w:rsidRDefault="00D82A40">
            <w:pPr>
              <w:spacing w:before="200" w:after="200"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5 à 9 salariés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CC"/>
            <w:vAlign w:val="center"/>
          </w:tcPr>
          <w:p w:rsidR="00D82A40" w:rsidRDefault="00D82A40">
            <w:pPr>
              <w:spacing w:before="200" w:after="200"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10 salariés et plus</w:t>
            </w:r>
          </w:p>
        </w:tc>
        <w:tc>
          <w:tcPr>
            <w:tcW w:w="18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D82A40" w:rsidRDefault="00D82A40">
            <w:pPr>
              <w:spacing w:before="200" w:after="200"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Ensemble</w:t>
            </w:r>
          </w:p>
        </w:tc>
      </w:tr>
      <w:tr w:rsidR="004425C5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5C5" w:rsidRDefault="004425C5" w:rsidP="0080270B">
            <w:pPr>
              <w:tabs>
                <w:tab w:val="left" w:pos="1340"/>
              </w:tabs>
              <w:spacing w:before="200" w:after="200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OND12 / OND11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5C5" w:rsidRDefault="004425C5" w:rsidP="0080270B">
            <w:pPr>
              <w:spacing w:before="200" w:after="200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- 20 à - 25 %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5C5" w:rsidRDefault="004425C5" w:rsidP="0080270B">
            <w:pPr>
              <w:spacing w:before="200" w:after="200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- 10 à -15 %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25C5" w:rsidRDefault="004425C5" w:rsidP="0080270B">
            <w:pPr>
              <w:spacing w:before="200" w:after="200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- 5 à - 10 %</w:t>
            </w:r>
          </w:p>
        </w:tc>
        <w:tc>
          <w:tcPr>
            <w:tcW w:w="18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425C5" w:rsidRDefault="004425C5" w:rsidP="0080270B">
            <w:pPr>
              <w:spacing w:before="200" w:after="200"/>
              <w:jc w:val="center"/>
              <w:rPr>
                <w:rFonts w:ascii="Arial Narrow" w:hAnsi="Arial Narrow"/>
                <w:b/>
                <w:color w:val="FF0000"/>
                <w:sz w:val="24"/>
              </w:rPr>
            </w:pPr>
            <w:r>
              <w:rPr>
                <w:rFonts w:ascii="Arial Narrow" w:hAnsi="Arial Narrow"/>
                <w:b/>
                <w:color w:val="FF0000"/>
                <w:sz w:val="24"/>
              </w:rPr>
              <w:t>- 15 %</w:t>
            </w:r>
          </w:p>
        </w:tc>
      </w:tr>
      <w:tr w:rsidR="005B091B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91B" w:rsidRDefault="004425C5" w:rsidP="002F2877">
            <w:pPr>
              <w:tabs>
                <w:tab w:val="left" w:pos="1340"/>
              </w:tabs>
              <w:spacing w:before="200" w:after="200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JFM</w:t>
            </w:r>
            <w:r w:rsidR="005B091B">
              <w:rPr>
                <w:rFonts w:ascii="Arial Narrow" w:hAnsi="Arial Narrow"/>
                <w:b/>
                <w:sz w:val="24"/>
              </w:rPr>
              <w:t>1</w:t>
            </w:r>
            <w:r w:rsidR="002F2877">
              <w:rPr>
                <w:rFonts w:ascii="Arial Narrow" w:hAnsi="Arial Narrow"/>
                <w:b/>
                <w:sz w:val="24"/>
              </w:rPr>
              <w:t>3</w:t>
            </w:r>
            <w:r w:rsidR="005B091B">
              <w:rPr>
                <w:rFonts w:ascii="Arial Narrow" w:hAnsi="Arial Narrow"/>
                <w:b/>
                <w:sz w:val="24"/>
              </w:rPr>
              <w:t xml:space="preserve"> / </w:t>
            </w:r>
            <w:r>
              <w:rPr>
                <w:rFonts w:ascii="Arial Narrow" w:hAnsi="Arial Narrow"/>
                <w:b/>
                <w:sz w:val="24"/>
              </w:rPr>
              <w:t>JFM</w:t>
            </w:r>
            <w:r w:rsidR="005B091B">
              <w:rPr>
                <w:rFonts w:ascii="Arial Narrow" w:hAnsi="Arial Narrow"/>
                <w:b/>
                <w:sz w:val="24"/>
              </w:rPr>
              <w:t>1</w:t>
            </w:r>
            <w:r w:rsidR="002F2877">
              <w:rPr>
                <w:rFonts w:ascii="Arial Narrow" w:hAnsi="Arial Narrow"/>
                <w:b/>
                <w:sz w:val="24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91B" w:rsidRDefault="00015230" w:rsidP="004B08C6">
            <w:pPr>
              <w:spacing w:before="200" w:after="200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- 20 à - 25 %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91B" w:rsidRDefault="00015230" w:rsidP="005B091B">
            <w:pPr>
              <w:spacing w:before="200" w:after="200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- 20 à - 25 %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091B" w:rsidRDefault="00015230" w:rsidP="004B08C6">
            <w:pPr>
              <w:spacing w:before="200" w:after="200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- 15 à - 20 %</w:t>
            </w:r>
          </w:p>
        </w:tc>
        <w:tc>
          <w:tcPr>
            <w:tcW w:w="18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B091B" w:rsidRDefault="00015230" w:rsidP="005B091B">
            <w:pPr>
              <w:spacing w:before="200" w:after="200"/>
              <w:jc w:val="center"/>
              <w:rPr>
                <w:rFonts w:ascii="Arial Narrow" w:hAnsi="Arial Narrow"/>
                <w:b/>
                <w:color w:val="FF0000"/>
                <w:sz w:val="24"/>
              </w:rPr>
            </w:pPr>
            <w:r>
              <w:rPr>
                <w:rFonts w:ascii="Arial Narrow" w:hAnsi="Arial Narrow"/>
                <w:b/>
                <w:color w:val="FF0000"/>
                <w:sz w:val="24"/>
              </w:rPr>
              <w:t>- 1</w:t>
            </w:r>
            <w:r w:rsidR="004425C5">
              <w:rPr>
                <w:rFonts w:ascii="Arial Narrow" w:hAnsi="Arial Narrow"/>
                <w:b/>
                <w:color w:val="FF0000"/>
                <w:sz w:val="24"/>
              </w:rPr>
              <w:t>8</w:t>
            </w:r>
            <w:r w:rsidR="00202A36">
              <w:rPr>
                <w:rFonts w:ascii="Arial Narrow" w:hAnsi="Arial Narrow"/>
                <w:b/>
                <w:color w:val="FF0000"/>
                <w:sz w:val="24"/>
              </w:rPr>
              <w:t xml:space="preserve"> %</w:t>
            </w:r>
          </w:p>
        </w:tc>
      </w:tr>
    </w:tbl>
    <w:p w:rsidR="00D82A40" w:rsidRPr="000F6161" w:rsidRDefault="00D82A40">
      <w:pPr>
        <w:rPr>
          <w:sz w:val="10"/>
          <w:szCs w:val="10"/>
        </w:rPr>
      </w:pPr>
    </w:p>
    <w:p w:rsidR="00D82A40" w:rsidRPr="000F6161" w:rsidRDefault="00D82A40">
      <w:pPr>
        <w:rPr>
          <w:sz w:val="10"/>
          <w:szCs w:val="10"/>
        </w:rPr>
      </w:pPr>
    </w:p>
    <w:p w:rsidR="00D82A40" w:rsidRDefault="00D82A40">
      <w:pPr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  <w:vertAlign w:val="superscript"/>
        </w:rPr>
        <w:t>(1)</w:t>
      </w:r>
      <w:r>
        <w:rPr>
          <w:rFonts w:ascii="Arial Narrow" w:hAnsi="Arial Narrow"/>
          <w:i/>
          <w:sz w:val="24"/>
        </w:rPr>
        <w:t xml:space="preserve"> Tx évol. : Taux d’évolution du trimestre par rapport à la même période de l’année précédente</w:t>
      </w:r>
    </w:p>
    <w:p w:rsidR="00D82A40" w:rsidRDefault="00D82A40">
      <w:pPr>
        <w:rPr>
          <w:sz w:val="24"/>
        </w:rPr>
      </w:pPr>
      <w:r>
        <w:rPr>
          <w:rFonts w:ascii="Arial Narrow" w:hAnsi="Arial Narrow"/>
          <w:i/>
          <w:sz w:val="24"/>
          <w:vertAlign w:val="superscript"/>
        </w:rPr>
        <w:t>(2)</w:t>
      </w:r>
      <w:r>
        <w:rPr>
          <w:rFonts w:ascii="Arial Narrow" w:hAnsi="Arial Narrow"/>
          <w:i/>
          <w:sz w:val="24"/>
        </w:rPr>
        <w:t xml:space="preserve"> Tendance : Moyenne mobile 4 trimestres</w:t>
      </w:r>
    </w:p>
    <w:p w:rsidR="00D82A40" w:rsidRDefault="00D82A40" w:rsidP="005004FA">
      <w:pPr>
        <w:pStyle w:val="Titre5"/>
        <w:rPr>
          <w:rFonts w:ascii="Arial Narrow" w:hAnsi="Arial Narrow"/>
        </w:rPr>
      </w:pPr>
      <w:r>
        <w:rPr>
          <w:sz w:val="28"/>
        </w:rPr>
        <w:br w:type="page"/>
      </w:r>
      <w:r>
        <w:rPr>
          <w:rFonts w:ascii="Arial Narrow" w:hAnsi="Arial Narrow"/>
        </w:rPr>
        <w:lastRenderedPageBreak/>
        <w:t xml:space="preserve">Détail de l’évolution du chiffre d’affaires </w:t>
      </w:r>
    </w:p>
    <w:p w:rsidR="00D82A40" w:rsidRDefault="00D82A40">
      <w:pPr>
        <w:pStyle w:val="Titre5"/>
        <w:rPr>
          <w:rFonts w:ascii="Arial Narrow" w:hAnsi="Arial Narrow"/>
        </w:rPr>
      </w:pPr>
      <w:r>
        <w:rPr>
          <w:rFonts w:ascii="Arial Narrow" w:hAnsi="Arial Narrow"/>
        </w:rPr>
        <w:t>selon les principales activités</w:t>
      </w:r>
    </w:p>
    <w:p w:rsidR="00D82A40" w:rsidRDefault="00D82A40">
      <w:pPr>
        <w:pStyle w:val="Titre6"/>
        <w:tabs>
          <w:tab w:val="clear" w:pos="851"/>
          <w:tab w:val="left" w:pos="1134"/>
          <w:tab w:val="left" w:pos="6379"/>
        </w:tabs>
        <w:rPr>
          <w:b w:val="0"/>
        </w:rPr>
      </w:pPr>
    </w:p>
    <w:p w:rsidR="00D82A40" w:rsidRPr="003F36DD" w:rsidRDefault="00D82A40" w:rsidP="0043093F">
      <w:pPr>
        <w:pStyle w:val="Titre6"/>
        <w:tabs>
          <w:tab w:val="clear" w:pos="851"/>
          <w:tab w:val="left" w:pos="1134"/>
          <w:tab w:val="left" w:pos="6521"/>
        </w:tabs>
        <w:rPr>
          <w:rFonts w:ascii="Arial Narrow" w:hAnsi="Arial Narrow"/>
          <w:color w:val="FF0000"/>
        </w:rPr>
      </w:pPr>
      <w:r>
        <w:rPr>
          <w:rFonts w:ascii="Arial Narrow" w:hAnsi="Arial Narrow"/>
        </w:rPr>
        <w:tab/>
        <w:t>Vente :</w:t>
      </w:r>
      <w:r w:rsidR="007B41E8">
        <w:rPr>
          <w:rFonts w:ascii="Arial Narrow" w:hAnsi="Arial Narrow"/>
        </w:rPr>
        <w:t xml:space="preserve"> </w:t>
      </w:r>
      <w:r w:rsidR="0043093F">
        <w:rPr>
          <w:rFonts w:ascii="Arial Narrow" w:hAnsi="Arial Narrow"/>
          <w:color w:val="FF0000"/>
        </w:rPr>
        <w:t xml:space="preserve">Impact de la baisse des prix </w:t>
      </w:r>
      <w:r>
        <w:rPr>
          <w:rFonts w:ascii="Arial Narrow" w:hAnsi="Arial Narrow"/>
        </w:rPr>
        <w:tab/>
        <w:t>Location :</w:t>
      </w:r>
      <w:r w:rsidR="004C5EF9">
        <w:rPr>
          <w:rFonts w:ascii="Arial Narrow" w:hAnsi="Arial Narrow"/>
        </w:rPr>
        <w:t> </w:t>
      </w:r>
      <w:r w:rsidR="0043093F">
        <w:rPr>
          <w:rFonts w:ascii="Arial Narrow" w:hAnsi="Arial Narrow"/>
          <w:color w:val="FF0000"/>
        </w:rPr>
        <w:t xml:space="preserve">Impact de la baisse des prix </w:t>
      </w:r>
    </w:p>
    <w:p w:rsidR="00D82A40" w:rsidRDefault="00F26BCC">
      <w:pPr>
        <w:rPr>
          <w:sz w:val="10"/>
        </w:rPr>
      </w:pPr>
      <w:r w:rsidRPr="00F26BCC">
        <w:t xml:space="preserve">  </w:t>
      </w:r>
    </w:p>
    <w:p w:rsidR="00D82A40" w:rsidRPr="00460F18" w:rsidRDefault="00015230">
      <w:r>
        <w:rPr>
          <w:noProof/>
        </w:rPr>
        <w:drawing>
          <wp:anchor distT="0" distB="0" distL="114300" distR="114300" simplePos="0" relativeHeight="252186112" behindDoc="0" locked="0" layoutInCell="1" allowOverlap="1">
            <wp:simplePos x="0" y="0"/>
            <wp:positionH relativeFrom="column">
              <wp:posOffset>-117475</wp:posOffset>
            </wp:positionH>
            <wp:positionV relativeFrom="paragraph">
              <wp:posOffset>39370</wp:posOffset>
            </wp:positionV>
            <wp:extent cx="3486150" cy="2552700"/>
            <wp:effectExtent l="0" t="0" r="0" b="0"/>
            <wp:wrapNone/>
            <wp:docPr id="5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Pr="00015230">
        <w:rPr>
          <w:noProof/>
        </w:rPr>
        <w:drawing>
          <wp:anchor distT="0" distB="0" distL="114300" distR="114300" simplePos="0" relativeHeight="252184064" behindDoc="0" locked="0" layoutInCell="1" allowOverlap="1">
            <wp:simplePos x="0" y="0"/>
            <wp:positionH relativeFrom="column">
              <wp:posOffset>3368675</wp:posOffset>
            </wp:positionH>
            <wp:positionV relativeFrom="paragraph">
              <wp:posOffset>39370</wp:posOffset>
            </wp:positionV>
            <wp:extent cx="3486150" cy="2552700"/>
            <wp:effectExtent l="0" t="0" r="0" b="0"/>
            <wp:wrapNone/>
            <wp:docPr id="4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 w:rsidR="00173795" w:rsidRPr="00173795">
        <w:rPr>
          <w:noProof/>
        </w:rPr>
        <w:t xml:space="preserve"> </w:t>
      </w:r>
    </w:p>
    <w:p w:rsidR="00D82A40" w:rsidRDefault="00D82A40">
      <w:pPr>
        <w:rPr>
          <w:sz w:val="24"/>
        </w:rPr>
      </w:pPr>
    </w:p>
    <w:p w:rsidR="00D82A40" w:rsidRDefault="00D82A40">
      <w:pPr>
        <w:rPr>
          <w:sz w:val="24"/>
        </w:rPr>
      </w:pPr>
    </w:p>
    <w:p w:rsidR="00BB2D60" w:rsidRDefault="00BB2D60">
      <w:pPr>
        <w:rPr>
          <w:sz w:val="24"/>
        </w:rPr>
      </w:pPr>
    </w:p>
    <w:p w:rsidR="00D82A40" w:rsidRPr="005159A2" w:rsidRDefault="00D82A40">
      <w:pPr>
        <w:rPr>
          <w:sz w:val="24"/>
        </w:rPr>
      </w:pPr>
    </w:p>
    <w:p w:rsidR="00D82A40" w:rsidRDefault="00D82A40" w:rsidP="00F30D9A">
      <w:pPr>
        <w:tabs>
          <w:tab w:val="left" w:pos="6120"/>
        </w:tabs>
        <w:rPr>
          <w:sz w:val="24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E84EDA">
      <w:pPr>
        <w:rPr>
          <w:rFonts w:ascii="Arial Narrow" w:hAnsi="Arial Narrow"/>
          <w:i/>
          <w:sz w:val="24"/>
          <w:vertAlign w:val="superscript"/>
        </w:rPr>
      </w:pPr>
      <w:r>
        <w:rPr>
          <w:rFonts w:ascii="Arial Narrow" w:hAnsi="Arial Narrow"/>
          <w:i/>
          <w:noProof/>
          <w:sz w:val="24"/>
          <w:vertAlign w:val="superscri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207645</wp:posOffset>
                </wp:positionV>
                <wp:extent cx="3747135" cy="1178560"/>
                <wp:effectExtent l="0" t="0" r="0" b="4445"/>
                <wp:wrapTopAndBottom/>
                <wp:docPr id="2017" name="Text Box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7135" cy="1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577" w:type="dxa"/>
                              <w:jc w:val="center"/>
                              <w:tblInd w:w="10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353"/>
                              <w:gridCol w:w="756"/>
                              <w:gridCol w:w="850"/>
                              <w:gridCol w:w="851"/>
                              <w:gridCol w:w="850"/>
                              <w:gridCol w:w="917"/>
                            </w:tblGrid>
                            <w:tr w:rsidR="0080270B" w:rsidTr="00890B65">
                              <w:trPr>
                                <w:jc w:val="center"/>
                              </w:trPr>
                              <w:tc>
                                <w:tcPr>
                                  <w:tcW w:w="13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VENTE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AMJ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JAS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OND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703746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13</w:t>
                                  </w:r>
                                </w:p>
                              </w:tc>
                            </w:tr>
                            <w:tr w:rsidR="0080270B" w:rsidTr="00890B65">
                              <w:trPr>
                                <w:trHeight w:val="375"/>
                                <w:jc w:val="center"/>
                              </w:trPr>
                              <w:tc>
                                <w:tcPr>
                                  <w:tcW w:w="13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Tx évol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  <w:vertAlign w:val="superscript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- 5 %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90B6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1</w:t>
                                  </w:r>
                                  <w:r w:rsidRPr="00E06CB1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9,5%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CC3D6C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CC3D6C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- 13 %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90B65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890B65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- 19 %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9E19BE" w:rsidRDefault="0080270B" w:rsidP="00512FAA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</w:rPr>
                                    <w:t>- 22 %</w:t>
                                  </w:r>
                                </w:p>
                              </w:tc>
                            </w:tr>
                            <w:tr w:rsidR="0080270B" w:rsidTr="00890B65">
                              <w:trPr>
                                <w:jc w:val="center"/>
                              </w:trPr>
                              <w:tc>
                                <w:tcPr>
                                  <w:tcW w:w="13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Tendance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  <w:vertAlign w:val="superscript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ind w:left="-3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+ 4 %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0270B">
                                  <w:pPr>
                                    <w:spacing w:before="60" w:after="60"/>
                                    <w:ind w:left="-3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- 3 %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CC3D6C" w:rsidRDefault="0080270B" w:rsidP="0080270B">
                                  <w:pPr>
                                    <w:spacing w:before="60" w:after="60"/>
                                    <w:ind w:left="-3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CC3D6C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- 7,5 %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90B65" w:rsidRDefault="0080270B" w:rsidP="0080270B">
                                  <w:pPr>
                                    <w:spacing w:before="60" w:after="60"/>
                                    <w:ind w:left="-3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890B65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- 14,5 %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9E19BE" w:rsidRDefault="0080270B" w:rsidP="005E3622">
                                  <w:pPr>
                                    <w:spacing w:before="60" w:after="60"/>
                                    <w:ind w:left="-3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0000FF"/>
                                      <w:sz w:val="24"/>
                                    </w:rPr>
                                    <w:t>- 18 %</w:t>
                                  </w:r>
                                </w:p>
                              </w:tc>
                            </w:tr>
                          </w:tbl>
                          <w:p w:rsidR="0080270B" w:rsidRDefault="0080270B" w:rsidP="00BF20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0" o:spid="_x0000_s1028" type="#_x0000_t202" style="position:absolute;margin-left:-25pt;margin-top:16.35pt;width:295.05pt;height:9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" filled="f" stroked="f">
                <v:textbox>
                  <w:txbxContent>
                    <w:tbl>
                      <w:tblPr>
                        <w:tblW w:w="5577" w:type="dxa"/>
                        <w:jc w:val="center"/>
                        <w:tblInd w:w="10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353"/>
                        <w:gridCol w:w="756"/>
                        <w:gridCol w:w="850"/>
                        <w:gridCol w:w="851"/>
                        <w:gridCol w:w="850"/>
                        <w:gridCol w:w="917"/>
                      </w:tblGrid>
                      <w:tr w:rsidR="0080270B" w:rsidTr="00890B65">
                        <w:trPr>
                          <w:jc w:val="center"/>
                        </w:trPr>
                        <w:tc>
                          <w:tcPr>
                            <w:tcW w:w="13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VENTE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AMJ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JAS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OND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9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703746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13</w:t>
                            </w:r>
                          </w:p>
                        </w:tc>
                      </w:tr>
                      <w:tr w:rsidR="0080270B" w:rsidTr="00890B65">
                        <w:trPr>
                          <w:trHeight w:val="375"/>
                          <w:jc w:val="center"/>
                        </w:trPr>
                        <w:tc>
                          <w:tcPr>
                            <w:tcW w:w="13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Tx évol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vertAlign w:val="superscript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z w:val="24"/>
                              </w:rPr>
                              <w:t>- 5 %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90B65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1</w:t>
                            </w:r>
                            <w:r w:rsidRPr="00E06CB1">
                              <w:rPr>
                                <w:rFonts w:ascii="Arial Narrow" w:hAnsi="Arial Narrow"/>
                                <w:sz w:val="24"/>
                              </w:rPr>
                              <w:t>9,5%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CC3D6C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CC3D6C">
                              <w:rPr>
                                <w:rFonts w:ascii="Arial Narrow" w:hAnsi="Arial Narrow"/>
                                <w:sz w:val="24"/>
                              </w:rPr>
                              <w:t>- 13 %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90B65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890B65">
                              <w:rPr>
                                <w:rFonts w:ascii="Arial Narrow" w:hAnsi="Arial Narrow"/>
                                <w:sz w:val="24"/>
                              </w:rPr>
                              <w:t>- 19 %</w:t>
                            </w:r>
                          </w:p>
                        </w:tc>
                        <w:tc>
                          <w:tcPr>
                            <w:tcW w:w="9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9E19BE" w:rsidRDefault="0080270B" w:rsidP="00512FAA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</w:rPr>
                              <w:t>- 22 %</w:t>
                            </w:r>
                          </w:p>
                        </w:tc>
                      </w:tr>
                      <w:tr w:rsidR="0080270B" w:rsidTr="00890B65">
                        <w:trPr>
                          <w:jc w:val="center"/>
                        </w:trPr>
                        <w:tc>
                          <w:tcPr>
                            <w:tcW w:w="13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Tendance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vertAlign w:val="superscript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ind w:left="-3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z w:val="24"/>
                              </w:rPr>
                              <w:t>+ 4 %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0270B">
                            <w:pPr>
                              <w:spacing w:before="60" w:after="60"/>
                              <w:ind w:left="-3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z w:val="24"/>
                              </w:rPr>
                              <w:t>- 3 %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CC3D6C" w:rsidRDefault="0080270B" w:rsidP="0080270B">
                            <w:pPr>
                              <w:spacing w:before="60" w:after="60"/>
                              <w:ind w:left="-3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CC3D6C">
                              <w:rPr>
                                <w:rFonts w:ascii="Arial Narrow" w:hAnsi="Arial Narrow"/>
                                <w:sz w:val="24"/>
                              </w:rPr>
                              <w:t>- 7,5 %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90B65" w:rsidRDefault="0080270B" w:rsidP="0080270B">
                            <w:pPr>
                              <w:spacing w:before="60" w:after="60"/>
                              <w:ind w:left="-3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890B65">
                              <w:rPr>
                                <w:rFonts w:ascii="Arial Narrow" w:hAnsi="Arial Narrow"/>
                                <w:sz w:val="24"/>
                              </w:rPr>
                              <w:t>- 14,5 %</w:t>
                            </w:r>
                          </w:p>
                        </w:tc>
                        <w:tc>
                          <w:tcPr>
                            <w:tcW w:w="9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9E19BE" w:rsidRDefault="0080270B" w:rsidP="005E3622">
                            <w:pPr>
                              <w:spacing w:before="60" w:after="60"/>
                              <w:ind w:left="-30"/>
                              <w:jc w:val="center"/>
                              <w:rPr>
                                <w:rFonts w:ascii="Arial Narrow" w:hAnsi="Arial Narrow"/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FF"/>
                                <w:sz w:val="24"/>
                              </w:rPr>
                              <w:t>- 18 %</w:t>
                            </w:r>
                          </w:p>
                        </w:tc>
                      </w:tr>
                    </w:tbl>
                    <w:p w:rsidR="0080270B" w:rsidRDefault="0080270B" w:rsidP="00BF20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 Narrow" w:hAnsi="Arial Narrow"/>
          <w:i/>
          <w:noProof/>
          <w:sz w:val="24"/>
          <w:vertAlign w:val="superscri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207645</wp:posOffset>
                </wp:positionV>
                <wp:extent cx="3736340" cy="1118870"/>
                <wp:effectExtent l="1905" t="0" r="0" b="0"/>
                <wp:wrapTopAndBottom/>
                <wp:docPr id="2016" name="Text Box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457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47"/>
                              <w:gridCol w:w="842"/>
                              <w:gridCol w:w="842"/>
                              <w:gridCol w:w="842"/>
                              <w:gridCol w:w="842"/>
                              <w:gridCol w:w="842"/>
                            </w:tblGrid>
                            <w:tr w:rsidR="0080270B">
                              <w:trPr>
                                <w:jc w:val="center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AMJ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JAS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OND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 w:rsidP="00703746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13</w:t>
                                  </w:r>
                                </w:p>
                              </w:tc>
                            </w:tr>
                            <w:tr w:rsidR="0080270B">
                              <w:trPr>
                                <w:trHeight w:val="375"/>
                                <w:jc w:val="center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Tx évol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  <w:vertAlign w:val="superscript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+ 1 %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- 1,5 %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CC3D6C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CC3D6C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- 2 %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90B65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890B65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- 3,5 %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9E19BE" w:rsidRDefault="0080270B" w:rsidP="004E20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</w:rPr>
                                    <w:t>- 5 %</w:t>
                                  </w:r>
                                </w:p>
                              </w:tc>
                            </w:tr>
                            <w:tr w:rsidR="0080270B">
                              <w:trPr>
                                <w:jc w:val="center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Tendance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  <w:vertAlign w:val="superscript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+ 2,5 %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+ 1 %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CC3D6C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CC3D6C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0 %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90B65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890B65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- 1,5 %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9E19BE" w:rsidRDefault="0080270B" w:rsidP="005E362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0000FF"/>
                                      <w:sz w:val="24"/>
                                    </w:rPr>
                                    <w:t>- 3 %</w:t>
                                  </w:r>
                                </w:p>
                              </w:tc>
                            </w:tr>
                          </w:tbl>
                          <w:p w:rsidR="0080270B" w:rsidRDefault="0080270B" w:rsidP="00BF20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1" o:spid="_x0000_s1029" type="#_x0000_t202" style="position:absolute;margin-left:255.15pt;margin-top:16.35pt;width:294.2pt;height:88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iiFvQIAAMY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" filled="f" stroked="f">
                <v:textbox>
                  <w:txbxContent>
                    <w:tbl>
                      <w:tblPr>
                        <w:tblW w:w="5457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47"/>
                        <w:gridCol w:w="842"/>
                        <w:gridCol w:w="842"/>
                        <w:gridCol w:w="842"/>
                        <w:gridCol w:w="842"/>
                        <w:gridCol w:w="842"/>
                      </w:tblGrid>
                      <w:tr w:rsidR="0080270B">
                        <w:trPr>
                          <w:jc w:val="center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AMJ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JAS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OND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 w:rsidP="00703746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13</w:t>
                            </w:r>
                          </w:p>
                        </w:tc>
                      </w:tr>
                      <w:tr w:rsidR="0080270B">
                        <w:trPr>
                          <w:trHeight w:val="375"/>
                          <w:jc w:val="center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Tx évol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vertAlign w:val="superscript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z w:val="24"/>
                              </w:rPr>
                              <w:t>+ 1 %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z w:val="24"/>
                              </w:rPr>
                              <w:t>- 1,5 %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CC3D6C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CC3D6C">
                              <w:rPr>
                                <w:rFonts w:ascii="Arial Narrow" w:hAnsi="Arial Narrow"/>
                                <w:sz w:val="24"/>
                              </w:rPr>
                              <w:t>- 2 %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90B65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890B65">
                              <w:rPr>
                                <w:rFonts w:ascii="Arial Narrow" w:hAnsi="Arial Narrow"/>
                                <w:sz w:val="24"/>
                              </w:rPr>
                              <w:t>- 3,5 %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9E19BE" w:rsidRDefault="0080270B" w:rsidP="004E206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</w:rPr>
                              <w:t>- 5 %</w:t>
                            </w:r>
                          </w:p>
                        </w:tc>
                      </w:tr>
                      <w:tr w:rsidR="0080270B">
                        <w:trPr>
                          <w:jc w:val="center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Tendance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vertAlign w:val="superscript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z w:val="24"/>
                              </w:rPr>
                              <w:t>+ 2,5 %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z w:val="24"/>
                              </w:rPr>
                              <w:t>+ 1 %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CC3D6C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CC3D6C">
                              <w:rPr>
                                <w:rFonts w:ascii="Arial Narrow" w:hAnsi="Arial Narrow"/>
                                <w:sz w:val="24"/>
                              </w:rPr>
                              <w:t>0 %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90B65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890B65">
                              <w:rPr>
                                <w:rFonts w:ascii="Arial Narrow" w:hAnsi="Arial Narrow"/>
                                <w:sz w:val="24"/>
                              </w:rPr>
                              <w:t>- 1,5 %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9E19BE" w:rsidRDefault="0080270B" w:rsidP="005E3622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FF"/>
                                <w:sz w:val="24"/>
                              </w:rPr>
                              <w:t>- 3 %</w:t>
                            </w:r>
                          </w:p>
                        </w:tc>
                      </w:tr>
                    </w:tbl>
                    <w:p w:rsidR="0080270B" w:rsidRDefault="0080270B" w:rsidP="00BF20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208F" w:rsidRDefault="00E84EDA">
      <w:pPr>
        <w:rPr>
          <w:rFonts w:ascii="Arial Narrow" w:hAnsi="Arial Narrow"/>
          <w:i/>
          <w:sz w:val="24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1114425</wp:posOffset>
                </wp:positionV>
                <wp:extent cx="3169920" cy="4401820"/>
                <wp:effectExtent l="8255" t="9525" r="12700" b="8255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4401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270B" w:rsidRDefault="0080270B" w:rsidP="00F14FEC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Dans </w:t>
                            </w:r>
                            <w:r w:rsidR="00267608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environnement économique peu favorable, avec des annonces médiatiques de nouvelles baisses des prix de l’immobilier pour les mois à venir, et malgré des taux de crédit très bas, </w:t>
                            </w:r>
                            <w:r w:rsidR="00AD534D"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  <w:t>les chiffres d’affaires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s’écroulent en début d’année 2013. Le recul atteint 22 % au 1</w:t>
                            </w:r>
                            <w:r w:rsidRPr="009B1609">
                              <w:rPr>
                                <w:rFonts w:ascii="Arial Narrow" w:hAnsi="Arial Narrow"/>
                                <w:sz w:val="24"/>
                                <w:szCs w:val="24"/>
                                <w:vertAlign w:val="superscript"/>
                              </w:rPr>
                              <w:t>er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trimestre 2013 comparé à un 1</w:t>
                            </w:r>
                            <w:r w:rsidRPr="003967AE">
                              <w:rPr>
                                <w:rFonts w:ascii="Arial Narrow" w:hAnsi="Arial Narrow"/>
                                <w:sz w:val="24"/>
                                <w:szCs w:val="24"/>
                                <w:vertAlign w:val="superscript"/>
                              </w:rPr>
                              <w:t>er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trimestre 2012 déjà en repli. Sur l’ensemble des douze derniers m</w:t>
                            </w:r>
                            <w:r w:rsidR="00267608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ois, les ventes baissent de </w:t>
                            </w:r>
                            <w:r w:rsidR="003274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</w:t>
                            </w:r>
                            <w:r w:rsidR="00267608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8</w:t>
                            </w:r>
                            <w:r w:rsidR="003274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%. A noter que dans un contexte de crise, les vendeurs peuvent opter plus fréquemment pour des circuits alternatifs de ventes.</w:t>
                            </w:r>
                          </w:p>
                          <w:p w:rsidR="0080270B" w:rsidRPr="00A36047" w:rsidRDefault="0080270B" w:rsidP="00F14FEC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</w:p>
                          <w:p w:rsidR="0080270B" w:rsidRDefault="0080270B" w:rsidP="00F14FEC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En ce qui concerne le segment de la « </w:t>
                            </w:r>
                            <w:r w:rsidRPr="003E38FC"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  <w:t>location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 », l’activité se contracte également mais dans une bien moindre mesure. A un an d’intervalle, le chiffre d’affaires lié à la location se dégrade de 5 % au cours des trois premiers mois de l’année 2013. Le rythme annuel d’évolution fléchit à nouveau pour atteindre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br/>
                              <w:t>- 3 % à l’issue de la saison hivernale.</w:t>
                            </w:r>
                          </w:p>
                          <w:p w:rsidR="0080270B" w:rsidRPr="00A36047" w:rsidRDefault="0080270B" w:rsidP="00F14FEC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</w:p>
                          <w:p w:rsidR="0080270B" w:rsidRPr="00B04BA5" w:rsidRDefault="0080270B" w:rsidP="00F14FEC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En revanche, la filière «</w:t>
                            </w:r>
                            <w:r w:rsidRPr="003E38FC"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  <w:t>autres activités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 » (administration de biens, gestion, syndic…) reste bien orienté</w:t>
                            </w:r>
                            <w:r w:rsidR="003274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. Le chiffre d’affaires résultant de cette activité progresse de 2,5 % entre le 1</w:t>
                            </w:r>
                            <w:r w:rsidRPr="003B4238">
                              <w:rPr>
                                <w:rFonts w:ascii="Arial Narrow" w:hAnsi="Arial Narrow"/>
                                <w:sz w:val="24"/>
                                <w:szCs w:val="24"/>
                                <w:vertAlign w:val="superscript"/>
                              </w:rPr>
                              <w:t>er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trimestre 2012 et le 1</w:t>
                            </w:r>
                            <w:r w:rsidRPr="003B4238">
                              <w:rPr>
                                <w:rFonts w:ascii="Arial Narrow" w:hAnsi="Arial Narrow"/>
                                <w:sz w:val="24"/>
                                <w:szCs w:val="24"/>
                                <w:vertAlign w:val="superscript"/>
                              </w:rPr>
                              <w:t>er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trimestre 2013. La tendance annue</w:t>
                            </w:r>
                            <w:r w:rsidR="00DC1278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l</w:t>
                            </w:r>
                            <w:r w:rsidR="00DC1278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demeure positive, proche de 3 %.    </w:t>
                            </w:r>
                          </w:p>
                          <w:p w:rsidR="0080270B" w:rsidRDefault="0080270B" w:rsidP="00F14FEC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80270B" w:rsidRDefault="0080270B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88.65pt;margin-top:87.75pt;width:249.6pt;height:346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" filled="f">
                <v:textbox>
                  <w:txbxContent>
                    <w:p w:rsidR="0080270B" w:rsidRDefault="0080270B" w:rsidP="00F14FEC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Dans </w:t>
                      </w:r>
                      <w:r w:rsidR="00267608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un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environnement économique peu favorable, avec des annonces médiatiques de nouvelles baisses des prix de l’immobilier pour les mois à venir, et malgré des taux de crédit très bas, </w:t>
                      </w:r>
                      <w:r w:rsidR="00AD534D"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  <w:t>les chiffres d’affaires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s’écroulent en début d’année 2013. Le recul atteint 22 % au 1</w:t>
                      </w:r>
                      <w:r w:rsidRPr="009B1609">
                        <w:rPr>
                          <w:rFonts w:ascii="Arial Narrow" w:hAnsi="Arial Narrow"/>
                          <w:sz w:val="24"/>
                          <w:szCs w:val="24"/>
                          <w:vertAlign w:val="superscript"/>
                        </w:rPr>
                        <w:t>er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trimestre 2013 comparé à un 1</w:t>
                      </w:r>
                      <w:r w:rsidRPr="003967AE">
                        <w:rPr>
                          <w:rFonts w:ascii="Arial Narrow" w:hAnsi="Arial Narrow"/>
                          <w:sz w:val="24"/>
                          <w:szCs w:val="24"/>
                          <w:vertAlign w:val="superscript"/>
                        </w:rPr>
                        <w:t>er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trimestre 2012 déjà en repli. Sur l’ensemble des douze derniers m</w:t>
                      </w:r>
                      <w:r w:rsidR="00267608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ois, les ventes baissent de </w:t>
                      </w:r>
                      <w:r w:rsidR="003274D3">
                        <w:rPr>
                          <w:rFonts w:ascii="Arial Narrow" w:hAnsi="Arial Narrow"/>
                          <w:sz w:val="24"/>
                          <w:szCs w:val="24"/>
                        </w:rPr>
                        <w:t>1</w:t>
                      </w:r>
                      <w:r w:rsidR="00267608">
                        <w:rPr>
                          <w:rFonts w:ascii="Arial Narrow" w:hAnsi="Arial Narrow"/>
                          <w:sz w:val="24"/>
                          <w:szCs w:val="24"/>
                        </w:rPr>
                        <w:t>8</w:t>
                      </w:r>
                      <w:r w:rsidR="003274D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%. A noter que dans un contexte de crise, les vendeurs peuvent opter plus fréquemment pour des circuits alternatifs de ventes.</w:t>
                      </w:r>
                    </w:p>
                    <w:p w:rsidR="0080270B" w:rsidRPr="00A36047" w:rsidRDefault="0080270B" w:rsidP="00F14FEC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</w:p>
                    <w:p w:rsidR="0080270B" w:rsidRDefault="0080270B" w:rsidP="00F14FEC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En ce qui concerne le segment de la « </w:t>
                      </w:r>
                      <w:r w:rsidRPr="003E38FC"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  <w:t>location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 », l’activité se contracte également mais dans une bien moindre mesure. A un an d’intervalle, le chiffre d’affaires lié à la location se dégrade de 5 % au cours des trois premiers mois de l’année 2013. Le rythme annuel d’évolution fléchit à nouveau pour atteindre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br/>
                        <w:t>- 3 % à l’issue de la saison hivernale.</w:t>
                      </w:r>
                    </w:p>
                    <w:p w:rsidR="0080270B" w:rsidRPr="00A36047" w:rsidRDefault="0080270B" w:rsidP="00F14FEC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</w:p>
                    <w:p w:rsidR="0080270B" w:rsidRPr="00B04BA5" w:rsidRDefault="0080270B" w:rsidP="00F14FEC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En revanche, la filière «</w:t>
                      </w:r>
                      <w:r w:rsidRPr="003E38FC"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  <w:t>autres activités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 » (administration de biens, gestion, syndic…) reste bien orienté</w:t>
                      </w:r>
                      <w:r w:rsidR="003274D3">
                        <w:rPr>
                          <w:rFonts w:ascii="Arial Narrow" w:hAnsi="Arial Narrow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. Le chiffre d’affaires résultant de cette activité progresse de 2,5 % entre le 1</w:t>
                      </w:r>
                      <w:r w:rsidRPr="003B4238">
                        <w:rPr>
                          <w:rFonts w:ascii="Arial Narrow" w:hAnsi="Arial Narrow"/>
                          <w:sz w:val="24"/>
                          <w:szCs w:val="24"/>
                          <w:vertAlign w:val="superscript"/>
                        </w:rPr>
                        <w:t>er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trimestre 2012 et le 1</w:t>
                      </w:r>
                      <w:r w:rsidRPr="003B4238">
                        <w:rPr>
                          <w:rFonts w:ascii="Arial Narrow" w:hAnsi="Arial Narrow"/>
                          <w:sz w:val="24"/>
                          <w:szCs w:val="24"/>
                          <w:vertAlign w:val="superscript"/>
                        </w:rPr>
                        <w:t>er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trimestre 2013. La tendance annue</w:t>
                      </w:r>
                      <w:r w:rsidR="00DC1278">
                        <w:rPr>
                          <w:rFonts w:ascii="Arial Narrow" w:hAnsi="Arial Narrow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l</w:t>
                      </w:r>
                      <w:r w:rsidR="00DC1278">
                        <w:rPr>
                          <w:rFonts w:ascii="Arial Narrow" w:hAnsi="Arial Narrow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demeure positive, proche de 3 %.    </w:t>
                      </w:r>
                    </w:p>
                    <w:p w:rsidR="0080270B" w:rsidRDefault="0080270B" w:rsidP="00F14FEC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80270B" w:rsidRDefault="0080270B"/>
                  </w:txbxContent>
                </v:textbox>
              </v:shape>
            </w:pict>
          </mc:Fallback>
        </mc:AlternateContent>
      </w:r>
    </w:p>
    <w:p w:rsidR="00BF208F" w:rsidRDefault="00BF208F" w:rsidP="00BF208F">
      <w:pPr>
        <w:tabs>
          <w:tab w:val="left" w:pos="426"/>
        </w:tabs>
        <w:rPr>
          <w:rFonts w:ascii="Arial Narrow" w:hAnsi="Arial Narrow"/>
          <w:b/>
          <w:color w:val="FF0000"/>
          <w:sz w:val="24"/>
        </w:rPr>
      </w:pPr>
      <w:r>
        <w:rPr>
          <w:rFonts w:ascii="Arial Narrow" w:hAnsi="Arial Narrow"/>
          <w:b/>
          <w:sz w:val="24"/>
        </w:rPr>
        <w:t xml:space="preserve">   </w:t>
      </w:r>
      <w:r w:rsidR="00F4736E">
        <w:rPr>
          <w:rFonts w:ascii="Arial Narrow" w:hAnsi="Arial Narrow"/>
          <w:b/>
          <w:sz w:val="24"/>
        </w:rPr>
        <w:t>Aut</w:t>
      </w:r>
      <w:r>
        <w:rPr>
          <w:rFonts w:ascii="Arial Narrow" w:hAnsi="Arial Narrow"/>
          <w:b/>
          <w:sz w:val="24"/>
        </w:rPr>
        <w:t>res activités</w:t>
      </w:r>
      <w:r>
        <w:rPr>
          <w:rFonts w:ascii="Arial Narrow" w:hAnsi="Arial Narrow"/>
          <w:b/>
          <w:sz w:val="24"/>
          <w:vertAlign w:val="superscript"/>
        </w:rPr>
        <w:t>(3)</w:t>
      </w:r>
      <w:r>
        <w:rPr>
          <w:rFonts w:ascii="Arial Narrow" w:hAnsi="Arial Narrow"/>
          <w:b/>
          <w:sz w:val="24"/>
        </w:rPr>
        <w:t> : </w:t>
      </w:r>
      <w:r w:rsidR="00943851">
        <w:rPr>
          <w:rFonts w:ascii="Arial Narrow" w:hAnsi="Arial Narrow"/>
          <w:b/>
          <w:color w:val="FF0000"/>
          <w:sz w:val="24"/>
        </w:rPr>
        <w:t>Les a</w:t>
      </w:r>
      <w:r w:rsidR="00450EDC">
        <w:rPr>
          <w:rFonts w:ascii="Arial Narrow" w:hAnsi="Arial Narrow"/>
          <w:b/>
          <w:color w:val="FF0000"/>
          <w:sz w:val="24"/>
        </w:rPr>
        <w:t xml:space="preserve">ctivités tierces </w:t>
      </w:r>
      <w:r w:rsidR="00AA3B12">
        <w:rPr>
          <w:rFonts w:ascii="Arial Narrow" w:hAnsi="Arial Narrow"/>
          <w:b/>
          <w:color w:val="FF0000"/>
          <w:sz w:val="24"/>
        </w:rPr>
        <w:t>encore porteuses</w:t>
      </w:r>
    </w:p>
    <w:p w:rsidR="00BF208F" w:rsidRDefault="00015230" w:rsidP="00290841">
      <w:pPr>
        <w:rPr>
          <w:rFonts w:ascii="Arial Narrow" w:hAnsi="Arial Narrow"/>
          <w:i/>
          <w:sz w:val="24"/>
          <w:vertAlign w:val="superscript"/>
        </w:rPr>
      </w:pPr>
      <w:r>
        <w:rPr>
          <w:rFonts w:ascii="Arial Narrow" w:hAnsi="Arial Narrow"/>
          <w:i/>
          <w:noProof/>
          <w:sz w:val="24"/>
          <w:vertAlign w:val="superscript"/>
        </w:rPr>
        <w:drawing>
          <wp:anchor distT="0" distB="0" distL="114300" distR="114300" simplePos="0" relativeHeight="252188160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83820</wp:posOffset>
            </wp:positionV>
            <wp:extent cx="3486150" cy="2552700"/>
            <wp:effectExtent l="19050" t="0" r="0" b="0"/>
            <wp:wrapNone/>
            <wp:docPr id="6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BF208F" w:rsidRDefault="00BF208F">
      <w:pPr>
        <w:rPr>
          <w:rFonts w:ascii="Arial Narrow" w:hAnsi="Arial Narrow"/>
          <w:i/>
          <w:sz w:val="24"/>
          <w:vertAlign w:val="superscript"/>
        </w:rPr>
      </w:pPr>
    </w:p>
    <w:p w:rsidR="003E6380" w:rsidRDefault="003E6380">
      <w:pPr>
        <w:rPr>
          <w:rFonts w:ascii="Arial Narrow" w:hAnsi="Arial Narrow"/>
          <w:i/>
          <w:sz w:val="24"/>
          <w:vertAlign w:val="superscript"/>
        </w:rPr>
      </w:pPr>
    </w:p>
    <w:p w:rsidR="00F30D9A" w:rsidRPr="003E6380" w:rsidRDefault="00E84EDA">
      <w:pPr>
        <w:rPr>
          <w:rFonts w:ascii="Arial Narrow" w:hAnsi="Arial Narrow"/>
          <w:i/>
          <w:sz w:val="6"/>
          <w:szCs w:val="6"/>
          <w:vertAlign w:val="superscript"/>
        </w:rPr>
      </w:pP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88265</wp:posOffset>
                </wp:positionV>
                <wp:extent cx="3882390" cy="1079500"/>
                <wp:effectExtent l="635" t="2540" r="3175" b="3810"/>
                <wp:wrapTopAndBottom/>
                <wp:docPr id="2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239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528" w:type="dxa"/>
                              <w:tblInd w:w="21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18"/>
                              <w:gridCol w:w="822"/>
                              <w:gridCol w:w="822"/>
                              <w:gridCol w:w="822"/>
                              <w:gridCol w:w="822"/>
                              <w:gridCol w:w="822"/>
                            </w:tblGrid>
                            <w:tr w:rsidR="0080270B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Périodes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AMJ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JAS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OND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703746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13</w:t>
                                  </w:r>
                                </w:p>
                              </w:tc>
                            </w:tr>
                            <w:tr w:rsidR="0080270B">
                              <w:trPr>
                                <w:trHeight w:val="375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Tx évol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  <w:vertAlign w:val="superscript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+2,5 %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+ 6 %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CC3D6C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CC3D6C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+ 4,5 %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90B65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890B65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+ 1,5 %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9E19BE" w:rsidRDefault="0080270B" w:rsidP="0066234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</w:rPr>
                                    <w:t>+ 2,5 %</w:t>
                                  </w:r>
                                </w:p>
                              </w:tc>
                            </w:tr>
                            <w:tr w:rsidR="0080270B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Tendance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  <w:vertAlign w:val="superscript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+ 3 %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+ 4 %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CC3D6C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CC3D6C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+ 4,5 %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90B65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890B65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+ 3,5 %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9E19BE" w:rsidRDefault="0080270B" w:rsidP="00703746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0000FF"/>
                                      <w:sz w:val="24"/>
                                    </w:rPr>
                                    <w:t>+ 3 %</w:t>
                                  </w:r>
                                </w:p>
                              </w:tc>
                            </w:tr>
                          </w:tbl>
                          <w:p w:rsidR="0080270B" w:rsidRDefault="0080270B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-11.95pt;margin-top:6.95pt;width:305.7pt;height: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bw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" filled="f" stroked="f">
                <v:textbox>
                  <w:txbxContent>
                    <w:tbl>
                      <w:tblPr>
                        <w:tblW w:w="5528" w:type="dxa"/>
                        <w:tblInd w:w="21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18"/>
                        <w:gridCol w:w="822"/>
                        <w:gridCol w:w="822"/>
                        <w:gridCol w:w="822"/>
                        <w:gridCol w:w="822"/>
                        <w:gridCol w:w="822"/>
                      </w:tblGrid>
                      <w:tr w:rsidR="0080270B"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Périodes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AMJ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JAS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OND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703746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13</w:t>
                            </w:r>
                          </w:p>
                        </w:tc>
                      </w:tr>
                      <w:tr w:rsidR="0080270B">
                        <w:trPr>
                          <w:trHeight w:val="375"/>
                        </w:trPr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Tx évol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vertAlign w:val="superscript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z w:val="24"/>
                              </w:rPr>
                              <w:t>+2,5 %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z w:val="24"/>
                              </w:rPr>
                              <w:t>+ 6 %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CC3D6C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CC3D6C">
                              <w:rPr>
                                <w:rFonts w:ascii="Arial Narrow" w:hAnsi="Arial Narrow"/>
                                <w:sz w:val="24"/>
                              </w:rPr>
                              <w:t>+ 4,5 %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90B65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890B65">
                              <w:rPr>
                                <w:rFonts w:ascii="Arial Narrow" w:hAnsi="Arial Narrow"/>
                                <w:sz w:val="24"/>
                              </w:rPr>
                              <w:t>+ 1,5 %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9E19BE" w:rsidRDefault="0080270B" w:rsidP="0066234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</w:rPr>
                              <w:t>+ 2,5 %</w:t>
                            </w:r>
                          </w:p>
                        </w:tc>
                      </w:tr>
                      <w:tr w:rsidR="0080270B"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Tendance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vertAlign w:val="superscript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z w:val="24"/>
                              </w:rPr>
                              <w:t>+ 3 %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z w:val="24"/>
                              </w:rPr>
                              <w:t>+ 4 %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CC3D6C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CC3D6C">
                              <w:rPr>
                                <w:rFonts w:ascii="Arial Narrow" w:hAnsi="Arial Narrow"/>
                                <w:sz w:val="24"/>
                              </w:rPr>
                              <w:t>+ 4,5 %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90B65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890B65">
                              <w:rPr>
                                <w:rFonts w:ascii="Arial Narrow" w:hAnsi="Arial Narrow"/>
                                <w:sz w:val="24"/>
                              </w:rPr>
                              <w:t>+ 3,5 %</w:t>
                            </w:r>
                          </w:p>
                        </w:tc>
                        <w:tc>
                          <w:tcPr>
                            <w:tcW w:w="8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9E19BE" w:rsidRDefault="0080270B" w:rsidP="00703746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FF"/>
                                <w:sz w:val="24"/>
                              </w:rPr>
                              <w:t>+ 3 %</w:t>
                            </w:r>
                          </w:p>
                        </w:tc>
                      </w:tr>
                    </w:tbl>
                    <w:p w:rsidR="0080270B" w:rsidRDefault="0080270B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30D9A" w:rsidRDefault="00F30D9A">
      <w:pPr>
        <w:rPr>
          <w:rFonts w:ascii="Arial Narrow" w:hAnsi="Arial Narrow"/>
          <w:i/>
          <w:sz w:val="24"/>
          <w:vertAlign w:val="superscript"/>
        </w:rPr>
      </w:pPr>
    </w:p>
    <w:p w:rsidR="00D82A40" w:rsidRDefault="00D82A40">
      <w:pPr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  <w:vertAlign w:val="superscript"/>
        </w:rPr>
        <w:t>(1)</w:t>
      </w:r>
      <w:r>
        <w:rPr>
          <w:rFonts w:ascii="Arial Narrow" w:hAnsi="Arial Narrow"/>
          <w:i/>
          <w:sz w:val="24"/>
        </w:rPr>
        <w:t xml:space="preserve"> Tx évol. : Taux d’évolution du trimestre par rapport à la même période de l’année précédente</w:t>
      </w:r>
    </w:p>
    <w:p w:rsidR="00D82A40" w:rsidRDefault="00D82A40">
      <w:pPr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  <w:vertAlign w:val="superscript"/>
        </w:rPr>
        <w:t>(2)</w:t>
      </w:r>
      <w:r>
        <w:rPr>
          <w:rFonts w:ascii="Arial Narrow" w:hAnsi="Arial Narrow"/>
          <w:i/>
          <w:sz w:val="24"/>
        </w:rPr>
        <w:t xml:space="preserve"> Tendance : Moyenne mobile 4 trimestres</w:t>
      </w:r>
    </w:p>
    <w:p w:rsidR="00D82A40" w:rsidRDefault="00D82A40">
      <w:pPr>
        <w:rPr>
          <w:sz w:val="10"/>
        </w:rPr>
      </w:pPr>
      <w:r>
        <w:rPr>
          <w:rFonts w:ascii="Arial Narrow" w:hAnsi="Arial Narrow"/>
          <w:i/>
          <w:sz w:val="24"/>
          <w:vertAlign w:val="superscript"/>
        </w:rPr>
        <w:t>(3)</w:t>
      </w:r>
      <w:r>
        <w:rPr>
          <w:rFonts w:ascii="Arial Narrow" w:hAnsi="Arial Narrow"/>
          <w:i/>
          <w:sz w:val="24"/>
        </w:rPr>
        <w:t xml:space="preserve"> Administration de bien</w:t>
      </w:r>
      <w:r w:rsidR="00A85C6F">
        <w:rPr>
          <w:rFonts w:ascii="Arial Narrow" w:hAnsi="Arial Narrow"/>
          <w:i/>
          <w:sz w:val="24"/>
        </w:rPr>
        <w:t>s</w:t>
      </w:r>
      <w:r>
        <w:rPr>
          <w:rFonts w:ascii="Arial Narrow" w:hAnsi="Arial Narrow"/>
          <w:i/>
          <w:sz w:val="24"/>
        </w:rPr>
        <w:t>, gestion, syndic…</w:t>
      </w:r>
    </w:p>
    <w:p w:rsidR="00D82A40" w:rsidRDefault="00D82A40">
      <w:pPr>
        <w:rPr>
          <w:sz w:val="10"/>
        </w:rPr>
      </w:pPr>
      <w:r>
        <w:rPr>
          <w:sz w:val="10"/>
        </w:rPr>
        <w:br w:type="page"/>
      </w:r>
    </w:p>
    <w:p w:rsidR="00CC4914" w:rsidRDefault="00CC4914">
      <w:pPr>
        <w:rPr>
          <w:sz w:val="4"/>
          <w:szCs w:val="4"/>
        </w:rPr>
      </w:pPr>
    </w:p>
    <w:p w:rsidR="00D82A40" w:rsidRDefault="00D82A40">
      <w:pPr>
        <w:pStyle w:val="Titre8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 Narrow" w:hAnsi="Arial Narrow"/>
          <w:color w:val="0000FF"/>
        </w:rPr>
      </w:pPr>
      <w:r>
        <w:rPr>
          <w:rFonts w:ascii="Arial Narrow" w:hAnsi="Arial Narrow"/>
          <w:color w:val="0000FF"/>
        </w:rPr>
        <w:t>III. EVOLUTION DU VOLUME DES TRANSACTIONS</w:t>
      </w:r>
    </w:p>
    <w:p w:rsidR="00D82A40" w:rsidRDefault="00D82A40">
      <w:pPr>
        <w:rPr>
          <w:sz w:val="10"/>
          <w:szCs w:val="10"/>
        </w:rPr>
      </w:pPr>
    </w:p>
    <w:p w:rsidR="00992CA9" w:rsidRPr="00A069A6" w:rsidRDefault="00992CA9">
      <w:pPr>
        <w:pStyle w:val="Titre5"/>
        <w:rPr>
          <w:rFonts w:ascii="Arial Narrow" w:hAnsi="Arial Narrow"/>
          <w:sz w:val="16"/>
          <w:szCs w:val="16"/>
        </w:rPr>
      </w:pPr>
    </w:p>
    <w:p w:rsidR="00D82A40" w:rsidRDefault="00D82A40">
      <w:pPr>
        <w:pStyle w:val="Titre5"/>
        <w:rPr>
          <w:rFonts w:ascii="Arial Narrow" w:hAnsi="Arial Narrow"/>
        </w:rPr>
      </w:pPr>
      <w:r>
        <w:rPr>
          <w:rFonts w:ascii="Arial Narrow" w:hAnsi="Arial Narrow"/>
        </w:rPr>
        <w:t>Evolution du nombre des transactions</w:t>
      </w:r>
    </w:p>
    <w:p w:rsidR="00D82A40" w:rsidRDefault="00D82A40">
      <w:pPr>
        <w:pStyle w:val="Titre6"/>
        <w:tabs>
          <w:tab w:val="clear" w:pos="851"/>
          <w:tab w:val="left" w:pos="2127"/>
          <w:tab w:val="left" w:pos="7230"/>
        </w:tabs>
        <w:rPr>
          <w:rFonts w:ascii="Arial Narrow" w:hAnsi="Arial Narrow"/>
          <w:b w:val="0"/>
          <w:sz w:val="8"/>
        </w:rPr>
      </w:pPr>
    </w:p>
    <w:p w:rsidR="00D82A40" w:rsidRDefault="00796B2E" w:rsidP="000E02D8">
      <w:pPr>
        <w:pStyle w:val="Titre6"/>
        <w:tabs>
          <w:tab w:val="clear" w:pos="851"/>
          <w:tab w:val="left" w:pos="2268"/>
          <w:tab w:val="left" w:pos="7938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2190208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24130</wp:posOffset>
            </wp:positionV>
            <wp:extent cx="3419475" cy="2428875"/>
            <wp:effectExtent l="0" t="0" r="0" b="0"/>
            <wp:wrapNone/>
            <wp:docPr id="7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 w:rsidR="00173795">
        <w:rPr>
          <w:rFonts w:ascii="Arial Narrow" w:hAnsi="Arial Narrow"/>
          <w:noProof/>
        </w:rPr>
        <w:drawing>
          <wp:anchor distT="0" distB="0" distL="114300" distR="114300" simplePos="0" relativeHeight="252159488" behindDoc="0" locked="0" layoutInCell="1" allowOverlap="1">
            <wp:simplePos x="0" y="0"/>
            <wp:positionH relativeFrom="column">
              <wp:posOffset>3538148</wp:posOffset>
            </wp:positionH>
            <wp:positionV relativeFrom="paragraph">
              <wp:posOffset>8674</wp:posOffset>
            </wp:positionV>
            <wp:extent cx="3422890" cy="2432649"/>
            <wp:effectExtent l="0" t="0" r="0" b="0"/>
            <wp:wrapNone/>
            <wp:docPr id="22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 w:rsidR="00D82A40">
        <w:rPr>
          <w:rFonts w:ascii="Arial Narrow" w:hAnsi="Arial Narrow"/>
        </w:rPr>
        <w:tab/>
        <w:t>Vente</w:t>
      </w:r>
      <w:r w:rsidR="00D82A40">
        <w:rPr>
          <w:rFonts w:ascii="Arial Narrow" w:hAnsi="Arial Narrow"/>
        </w:rPr>
        <w:tab/>
        <w:t>Location</w:t>
      </w:r>
    </w:p>
    <w:p w:rsidR="00D82A40" w:rsidRDefault="00D82A4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040010" w:rsidRDefault="00040010">
      <w:pPr>
        <w:pStyle w:val="En-tte"/>
        <w:tabs>
          <w:tab w:val="clear" w:pos="4536"/>
          <w:tab w:val="clear" w:pos="9072"/>
        </w:tabs>
      </w:pPr>
    </w:p>
    <w:p w:rsidR="008416D0" w:rsidRPr="007342E3" w:rsidRDefault="00E84EDA">
      <w:pPr>
        <w:pStyle w:val="En-tte"/>
        <w:tabs>
          <w:tab w:val="clear" w:pos="4536"/>
          <w:tab w:val="clear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208280</wp:posOffset>
                </wp:positionV>
                <wp:extent cx="3657600" cy="1380490"/>
                <wp:effectExtent l="0" t="0" r="1270" b="1905"/>
                <wp:wrapTopAndBottom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385" w:type="dxa"/>
                              <w:tblInd w:w="21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47"/>
                              <w:gridCol w:w="794"/>
                              <w:gridCol w:w="936"/>
                              <w:gridCol w:w="708"/>
                              <w:gridCol w:w="850"/>
                              <w:gridCol w:w="850"/>
                            </w:tblGrid>
                            <w:tr w:rsidR="0080270B" w:rsidTr="00890B65"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Périodes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AMJ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JAS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OND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172CF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</w:t>
                                  </w:r>
                                </w:p>
                                <w:p w:rsidR="0080270B" w:rsidRDefault="0080270B" w:rsidP="00172CF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80270B" w:rsidRPr="0038260C" w:rsidTr="00890B65">
                              <w:trPr>
                                <w:trHeight w:val="375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Tx évol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  <w:vertAlign w:val="superscript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- 4 %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- 22 %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D90ABF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D90ABF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- 14 %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90B65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890B65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- 22,5 %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11349" w:rsidRDefault="0080270B" w:rsidP="00FA16ED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pacing w:val="-20"/>
                                      <w:sz w:val="24"/>
                                    </w:rPr>
                                    <w:t>- 16 %</w:t>
                                  </w:r>
                                </w:p>
                              </w:tc>
                            </w:tr>
                            <w:tr w:rsidR="0080270B" w:rsidTr="00890B65"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Tendance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  <w:vertAlign w:val="superscript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ind w:left="-128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- 0,5 %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0270B">
                                  <w:pPr>
                                    <w:spacing w:before="60" w:after="60"/>
                                    <w:ind w:left="-128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- 6 %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D90ABF" w:rsidRDefault="0080270B" w:rsidP="0080270B">
                                  <w:pPr>
                                    <w:spacing w:before="60" w:after="60"/>
                                    <w:ind w:left="-128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D90ABF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- 10 %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90B65" w:rsidRDefault="0080270B" w:rsidP="0080270B">
                                  <w:pPr>
                                    <w:spacing w:before="60" w:after="60"/>
                                    <w:ind w:left="-128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890B65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- 16 %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11349" w:rsidRDefault="0080270B" w:rsidP="009E19BE">
                                  <w:pPr>
                                    <w:spacing w:before="60" w:after="60"/>
                                    <w:ind w:left="-128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0000FF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0000FF"/>
                                      <w:spacing w:val="-20"/>
                                      <w:sz w:val="24"/>
                                    </w:rPr>
                                    <w:t>- 19 %</w:t>
                                  </w:r>
                                </w:p>
                              </w:tc>
                            </w:tr>
                            <w:tr w:rsidR="0080270B" w:rsidTr="00890B65"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Dif.val-vol.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- 1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+ 2,5 %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D90ABF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D90ABF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+ 1 %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90B65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890B65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+ 3,5 %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38260C" w:rsidRDefault="0080270B" w:rsidP="000A2867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FF00FF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FF00FF"/>
                                      <w:sz w:val="24"/>
                                    </w:rPr>
                                    <w:t>- 6 %</w:t>
                                  </w:r>
                                </w:p>
                              </w:tc>
                            </w:tr>
                          </w:tbl>
                          <w:p w:rsidR="0080270B" w:rsidRDefault="0080270B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-19.6pt;margin-top:16.4pt;width:4in;height:108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lkvQIAAMM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" filled="f" stroked="f">
                <v:textbox>
                  <w:txbxContent>
                    <w:tbl>
                      <w:tblPr>
                        <w:tblW w:w="5385" w:type="dxa"/>
                        <w:tblInd w:w="21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47"/>
                        <w:gridCol w:w="794"/>
                        <w:gridCol w:w="936"/>
                        <w:gridCol w:w="708"/>
                        <w:gridCol w:w="850"/>
                        <w:gridCol w:w="850"/>
                      </w:tblGrid>
                      <w:tr w:rsidR="0080270B" w:rsidTr="00890B65"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Périodes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AMJ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JAS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OND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172CFC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</w:t>
                            </w:r>
                          </w:p>
                          <w:p w:rsidR="0080270B" w:rsidRDefault="0080270B" w:rsidP="00172CFC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13</w:t>
                            </w:r>
                          </w:p>
                        </w:tc>
                      </w:tr>
                      <w:tr w:rsidR="0080270B" w:rsidRPr="0038260C" w:rsidTr="00890B65">
                        <w:trPr>
                          <w:trHeight w:val="375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Tx évol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vertAlign w:val="superscript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- 4 %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- 22 %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D90ABF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D90ABF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- 14 %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90B65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890B65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- 22,5 %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11349" w:rsidRDefault="0080270B" w:rsidP="00FA16ED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FF0000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pacing w:val="-20"/>
                                <w:sz w:val="24"/>
                              </w:rPr>
                              <w:t>- 16 %</w:t>
                            </w:r>
                          </w:p>
                        </w:tc>
                      </w:tr>
                      <w:tr w:rsidR="0080270B" w:rsidTr="00890B65"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Tendance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vertAlign w:val="superscript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ind w:left="-128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- 0,5 %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0270B">
                            <w:pPr>
                              <w:spacing w:before="60" w:after="60"/>
                              <w:ind w:left="-128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- 6 %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D90ABF" w:rsidRDefault="0080270B" w:rsidP="0080270B">
                            <w:pPr>
                              <w:spacing w:before="60" w:after="60"/>
                              <w:ind w:left="-128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D90ABF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- 10 %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90B65" w:rsidRDefault="0080270B" w:rsidP="0080270B">
                            <w:pPr>
                              <w:spacing w:before="60" w:after="60"/>
                              <w:ind w:left="-128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890B65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- 16 %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11349" w:rsidRDefault="0080270B" w:rsidP="009E19BE">
                            <w:pPr>
                              <w:spacing w:before="60" w:after="60"/>
                              <w:ind w:left="-128"/>
                              <w:jc w:val="center"/>
                              <w:rPr>
                                <w:rFonts w:ascii="Arial Narrow" w:hAnsi="Arial Narrow"/>
                                <w:b/>
                                <w:color w:val="0000FF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FF"/>
                                <w:spacing w:val="-20"/>
                                <w:sz w:val="24"/>
                              </w:rPr>
                              <w:t>- 19 %</w:t>
                            </w:r>
                          </w:p>
                        </w:tc>
                      </w:tr>
                      <w:tr w:rsidR="0080270B" w:rsidTr="00890B65"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Dif.val-vol.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z w:val="24"/>
                              </w:rPr>
                              <w:t>- 1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z w:val="24"/>
                              </w:rPr>
                              <w:t>+ 2,5 %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D90ABF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D90ABF">
                              <w:rPr>
                                <w:rFonts w:ascii="Arial Narrow" w:hAnsi="Arial Narrow"/>
                                <w:sz w:val="24"/>
                              </w:rPr>
                              <w:t>+ 1 %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90B65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890B65">
                              <w:rPr>
                                <w:rFonts w:ascii="Arial Narrow" w:hAnsi="Arial Narrow"/>
                                <w:sz w:val="24"/>
                              </w:rPr>
                              <w:t>+ 3,5 %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38260C" w:rsidRDefault="0080270B" w:rsidP="000A2867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FF00FF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FF"/>
                                <w:sz w:val="24"/>
                              </w:rPr>
                              <w:t>- 6 %</w:t>
                            </w:r>
                          </w:p>
                        </w:tc>
                      </w:tr>
                    </w:tbl>
                    <w:p w:rsidR="0080270B" w:rsidRDefault="0080270B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240030</wp:posOffset>
                </wp:positionV>
                <wp:extent cx="3657600" cy="1348740"/>
                <wp:effectExtent l="0" t="1905" r="3175" b="1905"/>
                <wp:wrapTopAndBottom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34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274" w:type="dxa"/>
                              <w:tblInd w:w="21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47"/>
                              <w:gridCol w:w="794"/>
                              <w:gridCol w:w="794"/>
                              <w:gridCol w:w="851"/>
                              <w:gridCol w:w="851"/>
                              <w:gridCol w:w="737"/>
                            </w:tblGrid>
                            <w:tr w:rsidR="0080270B" w:rsidTr="003274D3"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Périodes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AMJ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JAS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OND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b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Default="0080270B" w:rsidP="00965D17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</w:t>
                                  </w:r>
                                </w:p>
                                <w:p w:rsidR="0080270B" w:rsidRDefault="0080270B" w:rsidP="00965D17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80270B" w:rsidTr="003274D3">
                              <w:trPr>
                                <w:trHeight w:val="375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Tx évol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  <w:vertAlign w:val="superscript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+1,5 %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- 2,5 %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D90ABF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D90ABF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- 2,5 %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90B65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890B65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- 2 %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11349" w:rsidRDefault="0080270B" w:rsidP="009E19B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pacing w:val="-20"/>
                                      <w:sz w:val="24"/>
                                    </w:rPr>
                                    <w:t>- 2 %</w:t>
                                  </w:r>
                                </w:p>
                              </w:tc>
                            </w:tr>
                            <w:tr w:rsidR="0080270B" w:rsidTr="003274D3"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Tendance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  <w:vertAlign w:val="superscript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ind w:left="-128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+ 1 %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0270B">
                                  <w:pPr>
                                    <w:spacing w:before="60" w:after="60"/>
                                    <w:ind w:left="-128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0 %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D90ABF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D90ABF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- 1 %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90B65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</w:pPr>
                                  <w:r w:rsidRPr="00890B65">
                                    <w:rPr>
                                      <w:rFonts w:ascii="Arial Narrow" w:hAnsi="Arial Narrow"/>
                                      <w:spacing w:val="-20"/>
                                      <w:sz w:val="24"/>
                                    </w:rPr>
                                    <w:t>- 1,5 %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06310" w:rsidRDefault="0080270B" w:rsidP="00506310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0000FF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0000FF"/>
                                      <w:spacing w:val="-20"/>
                                      <w:sz w:val="24"/>
                                    </w:rPr>
                                    <w:t>- 2,5 %</w:t>
                                  </w:r>
                                </w:p>
                              </w:tc>
                            </w:tr>
                            <w:tr w:rsidR="0080270B" w:rsidTr="003274D3"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Dif.val-vol.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5E3622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5E3622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- 0,5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E06CB1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E06CB1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+ 1 %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D90ABF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D90ABF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+ 0,5 %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890B65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890B65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- 1,5 %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Pr="0038260C" w:rsidRDefault="0080270B" w:rsidP="007C03FA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FF00FF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FF00FF"/>
                                      <w:sz w:val="24"/>
                                    </w:rPr>
                                    <w:t>- 3 %</w:t>
                                  </w:r>
                                </w:p>
                              </w:tc>
                            </w:tr>
                          </w:tbl>
                          <w:p w:rsidR="0080270B" w:rsidRDefault="0080270B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259.25pt;margin-top:18.9pt;width:4in;height:10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IPvQ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" filled="f" stroked="f">
                <v:textbox>
                  <w:txbxContent>
                    <w:tbl>
                      <w:tblPr>
                        <w:tblW w:w="5274" w:type="dxa"/>
                        <w:tblInd w:w="21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47"/>
                        <w:gridCol w:w="794"/>
                        <w:gridCol w:w="794"/>
                        <w:gridCol w:w="851"/>
                        <w:gridCol w:w="851"/>
                        <w:gridCol w:w="737"/>
                      </w:tblGrid>
                      <w:tr w:rsidR="0080270B" w:rsidTr="003274D3"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Périodes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AMJ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JAS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OND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br/>
                              <w:t>12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Default="0080270B" w:rsidP="00965D17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</w:t>
                            </w:r>
                          </w:p>
                          <w:p w:rsidR="0080270B" w:rsidRDefault="0080270B" w:rsidP="00965D17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13</w:t>
                            </w:r>
                          </w:p>
                        </w:tc>
                      </w:tr>
                      <w:tr w:rsidR="0080270B" w:rsidTr="003274D3">
                        <w:trPr>
                          <w:trHeight w:val="375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Tx évol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vertAlign w:val="superscript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+1,5 %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- 2,5 %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D90ABF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D90ABF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- 2,5 %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90B65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890B65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- 2 %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11349" w:rsidRDefault="0080270B" w:rsidP="009E19BE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FF0000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pacing w:val="-20"/>
                                <w:sz w:val="24"/>
                              </w:rPr>
                              <w:t>- 2 %</w:t>
                            </w:r>
                          </w:p>
                        </w:tc>
                      </w:tr>
                      <w:tr w:rsidR="0080270B" w:rsidTr="003274D3"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Tendance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vertAlign w:val="superscript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ind w:left="-128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+ 1 %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0270B">
                            <w:pPr>
                              <w:spacing w:before="60" w:after="60"/>
                              <w:ind w:left="-128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0 %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D90ABF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D90ABF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- 1 %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90B65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</w:pPr>
                            <w:r w:rsidRPr="00890B65">
                              <w:rPr>
                                <w:rFonts w:ascii="Arial Narrow" w:hAnsi="Arial Narrow"/>
                                <w:spacing w:val="-20"/>
                                <w:sz w:val="24"/>
                              </w:rPr>
                              <w:t>- 1,5 %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06310" w:rsidRDefault="0080270B" w:rsidP="00506310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0000FF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FF"/>
                                <w:spacing w:val="-20"/>
                                <w:sz w:val="24"/>
                              </w:rPr>
                              <w:t>- 2,5 %</w:t>
                            </w:r>
                          </w:p>
                        </w:tc>
                      </w:tr>
                      <w:tr w:rsidR="0080270B" w:rsidTr="003274D3"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Dif.val-vol.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5E3622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E3622">
                              <w:rPr>
                                <w:rFonts w:ascii="Arial Narrow" w:hAnsi="Arial Narrow"/>
                                <w:sz w:val="24"/>
                              </w:rPr>
                              <w:t>- 0,5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E06CB1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06CB1">
                              <w:rPr>
                                <w:rFonts w:ascii="Arial Narrow" w:hAnsi="Arial Narrow"/>
                                <w:sz w:val="24"/>
                              </w:rPr>
                              <w:t>+ 1 %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D90ABF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D90ABF">
                              <w:rPr>
                                <w:rFonts w:ascii="Arial Narrow" w:hAnsi="Arial Narrow"/>
                                <w:sz w:val="24"/>
                              </w:rPr>
                              <w:t>+ 0,5 %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890B65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890B65">
                              <w:rPr>
                                <w:rFonts w:ascii="Arial Narrow" w:hAnsi="Arial Narrow"/>
                                <w:sz w:val="24"/>
                              </w:rPr>
                              <w:t>- 1,5 %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Pr="0038260C" w:rsidRDefault="0080270B" w:rsidP="007C03FA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FF00FF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FF"/>
                                <w:sz w:val="24"/>
                              </w:rPr>
                              <w:t>- 3 %</w:t>
                            </w:r>
                          </w:p>
                        </w:tc>
                      </w:tr>
                    </w:tbl>
                    <w:p w:rsidR="0080270B" w:rsidRDefault="0080270B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82A40" w:rsidRPr="008E3CB6" w:rsidRDefault="00D82A40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D82A40" w:rsidRPr="00164CB2" w:rsidRDefault="00D82A40" w:rsidP="008E3CB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0" w:color="auto"/>
        </w:pBdr>
        <w:jc w:val="center"/>
        <w:rPr>
          <w:rFonts w:ascii="Arial Narrow" w:hAnsi="Arial Narrow"/>
          <w:b/>
          <w:color w:val="0000FF"/>
          <w:sz w:val="12"/>
          <w:szCs w:val="12"/>
        </w:rPr>
      </w:pPr>
    </w:p>
    <w:p w:rsidR="00D82A40" w:rsidRDefault="003967AE" w:rsidP="008E3CB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0" w:color="auto"/>
        </w:pBdr>
        <w:jc w:val="center"/>
        <w:rPr>
          <w:rFonts w:ascii="Arial Narrow" w:hAnsi="Arial Narrow"/>
          <w:b/>
          <w:color w:val="0000FF"/>
          <w:sz w:val="24"/>
        </w:rPr>
      </w:pPr>
      <w:r>
        <w:rPr>
          <w:rFonts w:ascii="Arial Narrow" w:hAnsi="Arial Narrow"/>
          <w:b/>
          <w:color w:val="0000FF"/>
          <w:sz w:val="24"/>
        </w:rPr>
        <w:t xml:space="preserve">Baisse </w:t>
      </w:r>
      <w:r w:rsidR="00534ED9">
        <w:rPr>
          <w:rFonts w:ascii="Arial Narrow" w:hAnsi="Arial Narrow"/>
          <w:b/>
          <w:color w:val="0000FF"/>
          <w:sz w:val="24"/>
        </w:rPr>
        <w:t>des prix</w:t>
      </w:r>
    </w:p>
    <w:p w:rsidR="00D82A40" w:rsidRPr="008E3CB6" w:rsidRDefault="00D82A40" w:rsidP="008E3CB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0" w:color="auto"/>
        </w:pBdr>
        <w:jc w:val="both"/>
        <w:rPr>
          <w:rFonts w:ascii="Arial Narrow" w:hAnsi="Arial Narrow"/>
          <w:sz w:val="10"/>
          <w:szCs w:val="10"/>
        </w:rPr>
      </w:pPr>
    </w:p>
    <w:p w:rsidR="007F67B8" w:rsidRDefault="007F67B8" w:rsidP="008E3CB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0" w:color="auto"/>
        </w:pBd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Début 2013, l</w:t>
      </w:r>
      <w:r w:rsidR="008163CF">
        <w:rPr>
          <w:rFonts w:ascii="Arial Narrow" w:hAnsi="Arial Narrow"/>
          <w:sz w:val="24"/>
        </w:rPr>
        <w:t>e nombre de transactions de</w:t>
      </w:r>
      <w:r w:rsidR="00942648">
        <w:rPr>
          <w:rFonts w:ascii="Arial Narrow" w:hAnsi="Arial Narrow"/>
          <w:sz w:val="24"/>
        </w:rPr>
        <w:t xml:space="preserve"> la vente de</w:t>
      </w:r>
      <w:r w:rsidR="008163CF">
        <w:rPr>
          <w:rFonts w:ascii="Arial Narrow" w:hAnsi="Arial Narrow"/>
          <w:sz w:val="24"/>
        </w:rPr>
        <w:t xml:space="preserve"> logements réalisé par </w:t>
      </w:r>
      <w:r w:rsidR="003B6FCC">
        <w:rPr>
          <w:rFonts w:ascii="Arial Narrow" w:hAnsi="Arial Narrow"/>
          <w:sz w:val="24"/>
        </w:rPr>
        <w:t>l</w:t>
      </w:r>
      <w:r w:rsidR="00267608">
        <w:rPr>
          <w:rFonts w:ascii="Arial Narrow" w:hAnsi="Arial Narrow"/>
          <w:sz w:val="24"/>
        </w:rPr>
        <w:t>e réseau d’agences immobilières et</w:t>
      </w:r>
      <w:r w:rsidR="003B6FCC">
        <w:rPr>
          <w:rFonts w:ascii="Arial Narrow" w:hAnsi="Arial Narrow"/>
          <w:sz w:val="24"/>
        </w:rPr>
        <w:t xml:space="preserve"> des indépendants </w:t>
      </w:r>
      <w:r>
        <w:rPr>
          <w:rFonts w:ascii="Arial Narrow" w:hAnsi="Arial Narrow"/>
          <w:sz w:val="24"/>
        </w:rPr>
        <w:t xml:space="preserve">baisse de 16 </w:t>
      </w:r>
      <w:r w:rsidR="00DE06A7">
        <w:rPr>
          <w:rFonts w:ascii="Arial Narrow" w:hAnsi="Arial Narrow"/>
          <w:sz w:val="24"/>
        </w:rPr>
        <w:t>% en comparant à la même période de l’année précédente.</w:t>
      </w:r>
      <w:r w:rsidR="00990323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Sur l’ensemble des douze derniers mois, le recul atteint 19 %.</w:t>
      </w:r>
      <w:r w:rsidR="00990323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Ce constat concerne aussi bien l’</w:t>
      </w:r>
      <w:r w:rsidR="003C2ABA">
        <w:rPr>
          <w:rFonts w:ascii="Arial Narrow" w:hAnsi="Arial Narrow"/>
          <w:sz w:val="24"/>
        </w:rPr>
        <w:t>Ile de France</w:t>
      </w:r>
      <w:r w:rsidR="00702FD2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que la</w:t>
      </w:r>
      <w:r w:rsidR="003C2ABA">
        <w:rPr>
          <w:rFonts w:ascii="Arial Narrow" w:hAnsi="Arial Narrow"/>
          <w:sz w:val="24"/>
        </w:rPr>
        <w:t xml:space="preserve"> province</w:t>
      </w:r>
      <w:r w:rsidR="00B44F7A">
        <w:rPr>
          <w:rFonts w:ascii="Arial Narrow" w:hAnsi="Arial Narrow"/>
          <w:sz w:val="24"/>
        </w:rPr>
        <w:t xml:space="preserve">. </w:t>
      </w:r>
      <w:r>
        <w:rPr>
          <w:rFonts w:ascii="Arial Narrow" w:hAnsi="Arial Narrow"/>
          <w:sz w:val="24"/>
        </w:rPr>
        <w:t>Contrairement aux précédents trimestres, le différentiel valeur-volume apparait fortement négatif au cours de la saison hivernale</w:t>
      </w:r>
      <w:r w:rsidR="001863C2"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 xml:space="preserve"> Cela </w:t>
      </w:r>
      <w:r w:rsidR="00965D17">
        <w:rPr>
          <w:rFonts w:ascii="Arial Narrow" w:hAnsi="Arial Narrow"/>
          <w:sz w:val="24"/>
        </w:rPr>
        <w:t>lais</w:t>
      </w:r>
      <w:r w:rsidR="00534ED9">
        <w:rPr>
          <w:rFonts w:ascii="Arial Narrow" w:hAnsi="Arial Narrow"/>
          <w:sz w:val="24"/>
        </w:rPr>
        <w:t>se supposer</w:t>
      </w:r>
      <w:r>
        <w:rPr>
          <w:rFonts w:ascii="Arial Narrow" w:hAnsi="Arial Narrow"/>
          <w:sz w:val="24"/>
        </w:rPr>
        <w:t xml:space="preserve"> </w:t>
      </w:r>
      <w:r w:rsidR="00DE480A">
        <w:rPr>
          <w:rFonts w:ascii="Arial Narrow" w:hAnsi="Arial Narrow"/>
          <w:sz w:val="24"/>
        </w:rPr>
        <w:t>une</w:t>
      </w:r>
      <w:r>
        <w:rPr>
          <w:rFonts w:ascii="Arial Narrow" w:hAnsi="Arial Narrow"/>
          <w:sz w:val="24"/>
        </w:rPr>
        <w:t xml:space="preserve"> baisse </w:t>
      </w:r>
      <w:r w:rsidR="00965D17">
        <w:rPr>
          <w:rFonts w:ascii="Arial Narrow" w:hAnsi="Arial Narrow"/>
          <w:sz w:val="24"/>
        </w:rPr>
        <w:t xml:space="preserve">globale </w:t>
      </w:r>
      <w:r>
        <w:rPr>
          <w:rFonts w:ascii="Arial Narrow" w:hAnsi="Arial Narrow"/>
          <w:sz w:val="24"/>
        </w:rPr>
        <w:t xml:space="preserve">des prix de vente </w:t>
      </w:r>
      <w:r w:rsidR="00DE480A">
        <w:rPr>
          <w:rFonts w:ascii="Arial Narrow" w:hAnsi="Arial Narrow"/>
          <w:sz w:val="24"/>
        </w:rPr>
        <w:t xml:space="preserve">à laquelle s’ajoute partiellement </w:t>
      </w:r>
      <w:r w:rsidR="00965D17">
        <w:rPr>
          <w:rFonts w:ascii="Arial Narrow" w:hAnsi="Arial Narrow"/>
          <w:sz w:val="24"/>
        </w:rPr>
        <w:t>une meilleure tenue des transactions de biens de faible valeur</w:t>
      </w:r>
      <w:r>
        <w:rPr>
          <w:rFonts w:ascii="Arial Narrow" w:hAnsi="Arial Narrow"/>
          <w:sz w:val="24"/>
        </w:rPr>
        <w:t>.</w:t>
      </w:r>
    </w:p>
    <w:p w:rsidR="00942648" w:rsidRDefault="00965D17" w:rsidP="008E3CB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0" w:color="auto"/>
        </w:pBd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Le recul modéré des</w:t>
      </w:r>
      <w:r w:rsidR="00D34814">
        <w:rPr>
          <w:rFonts w:ascii="Arial Narrow" w:hAnsi="Arial Narrow"/>
          <w:sz w:val="24"/>
        </w:rPr>
        <w:t xml:space="preserve"> transactions pour l</w:t>
      </w:r>
      <w:r w:rsidR="000A2655">
        <w:rPr>
          <w:rFonts w:ascii="Arial Narrow" w:hAnsi="Arial Narrow"/>
          <w:sz w:val="24"/>
        </w:rPr>
        <w:t>’offre de logements locatifs</w:t>
      </w:r>
      <w:r w:rsidR="00D34814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amorcé au printemps 2012 perdure ce trimestre : </w:t>
      </w:r>
      <w:r>
        <w:rPr>
          <w:rFonts w:ascii="Arial Narrow" w:hAnsi="Arial Narrow"/>
          <w:sz w:val="24"/>
        </w:rPr>
        <w:br/>
        <w:t>- 2 % entre le 1</w:t>
      </w:r>
      <w:r w:rsidRPr="00965D17">
        <w:rPr>
          <w:rFonts w:ascii="Arial Narrow" w:hAnsi="Arial Narrow"/>
          <w:sz w:val="24"/>
          <w:vertAlign w:val="superscript"/>
        </w:rPr>
        <w:t>er</w:t>
      </w:r>
      <w:r>
        <w:rPr>
          <w:rFonts w:ascii="Arial Narrow" w:hAnsi="Arial Narrow"/>
          <w:sz w:val="24"/>
        </w:rPr>
        <w:t xml:space="preserve"> trimestre 2012 et le 1</w:t>
      </w:r>
      <w:r w:rsidRPr="00965D17">
        <w:rPr>
          <w:rFonts w:ascii="Arial Narrow" w:hAnsi="Arial Narrow"/>
          <w:sz w:val="24"/>
          <w:vertAlign w:val="superscript"/>
        </w:rPr>
        <w:t>er</w:t>
      </w:r>
      <w:r>
        <w:rPr>
          <w:rFonts w:ascii="Arial Narrow" w:hAnsi="Arial Narrow"/>
          <w:sz w:val="24"/>
        </w:rPr>
        <w:t xml:space="preserve"> trimestre 2013. Ce repli se révèle un peu plus élevé en Ile de France qu’en province</w:t>
      </w:r>
      <w:r w:rsidR="00106AEB">
        <w:rPr>
          <w:rFonts w:ascii="Arial Narrow" w:hAnsi="Arial Narrow"/>
          <w:sz w:val="24"/>
        </w:rPr>
        <w:t>.</w:t>
      </w:r>
      <w:r w:rsidR="00B44F7A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Sur l’ensemble du territoire, la tendance annuelle s’établit à </w:t>
      </w:r>
      <w:r w:rsidR="003274D3">
        <w:rPr>
          <w:rFonts w:ascii="Arial Narrow" w:hAnsi="Arial Narrow"/>
          <w:sz w:val="24"/>
        </w:rPr>
        <w:t>-</w:t>
      </w:r>
      <w:r>
        <w:rPr>
          <w:rFonts w:ascii="Arial Narrow" w:hAnsi="Arial Narrow"/>
          <w:sz w:val="24"/>
        </w:rPr>
        <w:t xml:space="preserve"> 2,5 % à l’issue de l’hiver. Dans une moindre mesure que pour les ventes, </w:t>
      </w:r>
      <w:r w:rsidR="00106AEB">
        <w:rPr>
          <w:rFonts w:ascii="Arial Narrow" w:hAnsi="Arial Narrow"/>
          <w:sz w:val="24"/>
        </w:rPr>
        <w:t xml:space="preserve">le différentiel valeur-volume </w:t>
      </w:r>
      <w:r>
        <w:rPr>
          <w:rFonts w:ascii="Arial Narrow" w:hAnsi="Arial Narrow"/>
          <w:sz w:val="24"/>
        </w:rPr>
        <w:t>appa</w:t>
      </w:r>
      <w:r w:rsidR="00534ED9">
        <w:rPr>
          <w:rFonts w:ascii="Arial Narrow" w:hAnsi="Arial Narrow"/>
          <w:sz w:val="24"/>
        </w:rPr>
        <w:t xml:space="preserve">rait également négatif pour </w:t>
      </w:r>
      <w:r>
        <w:rPr>
          <w:rFonts w:ascii="Arial Narrow" w:hAnsi="Arial Narrow"/>
          <w:sz w:val="24"/>
        </w:rPr>
        <w:t>la</w:t>
      </w:r>
      <w:r w:rsidR="00534ED9">
        <w:rPr>
          <w:rFonts w:ascii="Arial Narrow" w:hAnsi="Arial Narrow"/>
          <w:sz w:val="24"/>
        </w:rPr>
        <w:t xml:space="preserve"> location de logements, sous-entendant une réduction des prix moyen de location.</w:t>
      </w:r>
    </w:p>
    <w:p w:rsidR="00992CA9" w:rsidRPr="00AA6AF9" w:rsidRDefault="00992CA9">
      <w:pPr>
        <w:pStyle w:val="Titre5"/>
        <w:rPr>
          <w:rFonts w:ascii="Arial Narrow" w:hAnsi="Arial Narrow"/>
          <w:sz w:val="10"/>
          <w:szCs w:val="10"/>
        </w:rPr>
      </w:pPr>
    </w:p>
    <w:p w:rsidR="004360F9" w:rsidRPr="008E3CB6" w:rsidRDefault="004360F9">
      <w:pPr>
        <w:pStyle w:val="Titre5"/>
        <w:rPr>
          <w:rFonts w:ascii="Arial Narrow" w:hAnsi="Arial Narrow"/>
          <w:sz w:val="10"/>
          <w:szCs w:val="10"/>
        </w:rPr>
      </w:pPr>
    </w:p>
    <w:p w:rsidR="00D82A40" w:rsidRDefault="00D82A40">
      <w:pPr>
        <w:pStyle w:val="Titre5"/>
        <w:rPr>
          <w:rFonts w:ascii="Arial Narrow" w:hAnsi="Arial Narrow"/>
        </w:rPr>
      </w:pPr>
      <w:r>
        <w:rPr>
          <w:rFonts w:ascii="Arial Narrow" w:hAnsi="Arial Narrow"/>
        </w:rPr>
        <w:t>Evolution du nombre des transactions selon la localisation géographique</w:t>
      </w:r>
    </w:p>
    <w:p w:rsidR="00D82A40" w:rsidRPr="002233A3" w:rsidRDefault="00D82A40">
      <w:pPr>
        <w:rPr>
          <w:rFonts w:ascii="Arial Narrow" w:hAnsi="Arial Narrow"/>
          <w:sz w:val="8"/>
          <w:szCs w:val="8"/>
        </w:rPr>
      </w:pPr>
    </w:p>
    <w:p w:rsidR="00D82A40" w:rsidRPr="002233A3" w:rsidRDefault="00E84EDA" w:rsidP="00A015E4">
      <w:pPr>
        <w:pStyle w:val="Titre6"/>
        <w:tabs>
          <w:tab w:val="clear" w:pos="851"/>
          <w:tab w:val="left" w:pos="2552"/>
          <w:tab w:val="left" w:pos="7655"/>
        </w:tabs>
        <w:rPr>
          <w:rFonts w:ascii="Arial Narrow" w:hAnsi="Arial Narrow"/>
        </w:rPr>
      </w:pPr>
      <w:r>
        <w:rPr>
          <w:rFonts w:ascii="Arial Narrow" w:hAnsi="Arial Narrow"/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230505</wp:posOffset>
                </wp:positionV>
                <wp:extent cx="3649345" cy="1400810"/>
                <wp:effectExtent l="3175" t="1905" r="0" b="0"/>
                <wp:wrapTopAndBottom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345" cy="140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7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389"/>
                              <w:gridCol w:w="1304"/>
                              <w:gridCol w:w="1361"/>
                              <w:gridCol w:w="1304"/>
                            </w:tblGrid>
                            <w:tr w:rsidR="0080270B">
                              <w:trPr>
                                <w:trHeight w:val="274"/>
                              </w:trPr>
                              <w:tc>
                                <w:tcPr>
                                  <w:tcW w:w="13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Pr="000F129C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0F129C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Périodes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Pr="000F129C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0F129C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Ile de France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Pr="000F129C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0F129C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Pr="000F129C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0F129C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Ensemble</w:t>
                                  </w:r>
                                </w:p>
                              </w:tc>
                            </w:tr>
                            <w:tr w:rsidR="0080270B">
                              <w:tc>
                                <w:tcPr>
                                  <w:tcW w:w="13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OND 12 /</w:t>
                                  </w:r>
                                </w:p>
                                <w:p w:rsidR="0080270B" w:rsidRDefault="0080270B" w:rsidP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OND 11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0270B" w:rsidRPr="00FC1186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- 20 à - 25 %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80270B" w:rsidRPr="00506310" w:rsidRDefault="0080270B" w:rsidP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- 20 à - 25 %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0270B" w:rsidRPr="00FC1186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- 22,5 %</w:t>
                                  </w:r>
                                </w:p>
                              </w:tc>
                            </w:tr>
                            <w:tr w:rsidR="0080270B">
                              <w:tc>
                                <w:tcPr>
                                  <w:tcW w:w="13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 w:rsidP="00E06CB1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 13 /</w:t>
                                  </w:r>
                                </w:p>
                                <w:p w:rsidR="0080270B" w:rsidRDefault="0080270B" w:rsidP="00E06CB1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 12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0270B" w:rsidRPr="00FC1186" w:rsidRDefault="0080270B" w:rsidP="000A2867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- 15 à - 20 %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80270B" w:rsidRPr="00506310" w:rsidRDefault="0080270B" w:rsidP="003F0C72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- 15 à - 20 %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0270B" w:rsidRPr="00FC1186" w:rsidRDefault="0080270B" w:rsidP="000A2867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- 16 %</w:t>
                                  </w:r>
                                </w:p>
                              </w:tc>
                            </w:tr>
                          </w:tbl>
                          <w:p w:rsidR="0080270B" w:rsidRDefault="0080270B" w:rsidP="002963A8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-11.75pt;margin-top:18.15pt;width:287.35pt;height:110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MyvA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" o:allowincell="f" filled="f" stroked="f">
                <v:textbox>
                  <w:txbxContent>
                    <w:tbl>
                      <w:tblPr>
                        <w:tblW w:w="0" w:type="auto"/>
                        <w:tblInd w:w="-7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389"/>
                        <w:gridCol w:w="1304"/>
                        <w:gridCol w:w="1361"/>
                        <w:gridCol w:w="1304"/>
                      </w:tblGrid>
                      <w:tr w:rsidR="0080270B">
                        <w:trPr>
                          <w:trHeight w:val="274"/>
                        </w:trPr>
                        <w:tc>
                          <w:tcPr>
                            <w:tcW w:w="13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Pr="000F129C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0F129C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Périodes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Pr="000F129C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0F129C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Ile de France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FFFFCC"/>
                            <w:vAlign w:val="center"/>
                          </w:tcPr>
                          <w:p w:rsidR="0080270B" w:rsidRPr="000F129C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0F129C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Province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Pr="000F129C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0F129C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Ensemble</w:t>
                            </w:r>
                          </w:p>
                        </w:tc>
                      </w:tr>
                      <w:tr w:rsidR="0080270B">
                        <w:tc>
                          <w:tcPr>
                            <w:tcW w:w="13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 w:rsidP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OND 12 /</w:t>
                            </w:r>
                          </w:p>
                          <w:p w:rsidR="0080270B" w:rsidRDefault="0080270B" w:rsidP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OND 11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80270B" w:rsidRPr="00FC1186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- 20 à - 25 %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80270B" w:rsidRPr="00506310" w:rsidRDefault="0080270B" w:rsidP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- 20 à - 25 %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80270B" w:rsidRPr="00FC1186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  <w:szCs w:val="24"/>
                              </w:rPr>
                              <w:t>- 22,5 %</w:t>
                            </w:r>
                          </w:p>
                        </w:tc>
                      </w:tr>
                      <w:tr w:rsidR="0080270B">
                        <w:tc>
                          <w:tcPr>
                            <w:tcW w:w="13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 w:rsidP="00E06CB1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 13 /</w:t>
                            </w:r>
                          </w:p>
                          <w:p w:rsidR="0080270B" w:rsidRDefault="0080270B" w:rsidP="00E06CB1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 12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80270B" w:rsidRPr="00FC1186" w:rsidRDefault="0080270B" w:rsidP="000A2867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- 15 à - 20 %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80270B" w:rsidRPr="00506310" w:rsidRDefault="0080270B" w:rsidP="003F0C72">
                            <w:pPr>
                              <w:spacing w:before="60" w:after="6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- 15 à - 20 %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80270B" w:rsidRPr="00FC1186" w:rsidRDefault="0080270B" w:rsidP="000A2867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  <w:szCs w:val="24"/>
                              </w:rPr>
                              <w:t>- 16 %</w:t>
                            </w:r>
                          </w:p>
                        </w:tc>
                      </w:tr>
                    </w:tbl>
                    <w:p w:rsidR="0080270B" w:rsidRDefault="0080270B" w:rsidP="002963A8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 Narrow" w:hAnsi="Arial Narrow"/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230505</wp:posOffset>
                </wp:positionV>
                <wp:extent cx="3474720" cy="1351915"/>
                <wp:effectExtent l="0" t="1905" r="3175" b="0"/>
                <wp:wrapTopAndBottom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351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304"/>
                              <w:gridCol w:w="1304"/>
                              <w:gridCol w:w="1304"/>
                              <w:gridCol w:w="1304"/>
                            </w:tblGrid>
                            <w:tr w:rsidR="0080270B"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Pr="000F129C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0F129C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Périodes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Pr="000F129C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0F129C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Ile de France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Pr="000F129C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0F129C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  <w:vAlign w:val="center"/>
                                </w:tcPr>
                                <w:p w:rsidR="0080270B" w:rsidRPr="000F129C" w:rsidRDefault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0F129C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Ensemble</w:t>
                                  </w:r>
                                </w:p>
                              </w:tc>
                            </w:tr>
                            <w:tr w:rsidR="0080270B"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OND 12 /</w:t>
                                  </w:r>
                                </w:p>
                                <w:p w:rsidR="0080270B" w:rsidRDefault="0080270B" w:rsidP="0080270B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OND 11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14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pacing w:val="-14"/>
                                      <w:sz w:val="24"/>
                                    </w:rPr>
                                    <w:t>- 1 à - 5 %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14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pacing w:val="-14"/>
                                      <w:sz w:val="24"/>
                                    </w:rPr>
                                    <w:t>- 1 à - 5 %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0270B" w:rsidRDefault="0080270B" w:rsidP="0080270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</w:rPr>
                                    <w:t>- 2 %</w:t>
                                  </w:r>
                                </w:p>
                              </w:tc>
                            </w:tr>
                            <w:tr w:rsidR="0080270B"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 w:rsidP="00890B65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 13 /</w:t>
                                  </w:r>
                                </w:p>
                                <w:p w:rsidR="0080270B" w:rsidRDefault="0080270B" w:rsidP="00890B65">
                                  <w:pPr>
                                    <w:spacing w:before="60" w:after="6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JFM 12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0270B" w:rsidRDefault="0080270B" w:rsidP="000A2867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14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pacing w:val="-14"/>
                                      <w:sz w:val="24"/>
                                    </w:rPr>
                                    <w:t>- 6 à - 10 %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80270B" w:rsidRDefault="0080270B" w:rsidP="009E1409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spacing w:val="-14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pacing w:val="-14"/>
                                      <w:sz w:val="24"/>
                                    </w:rPr>
                                    <w:t>- 1 à - 5 %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0270B" w:rsidRDefault="0080270B" w:rsidP="005E362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FF0000"/>
                                      <w:sz w:val="24"/>
                                    </w:rPr>
                                    <w:t>- 2 %</w:t>
                                  </w:r>
                                </w:p>
                              </w:tc>
                            </w:tr>
                          </w:tbl>
                          <w:p w:rsidR="0080270B" w:rsidRDefault="0080270B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68.4pt;margin-top:18.15pt;width:273.6pt;height:106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JouAIAAMM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" o:allowincell="f" filled="f" stroked="f">
                <v:textbox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304"/>
                        <w:gridCol w:w="1304"/>
                        <w:gridCol w:w="1304"/>
                        <w:gridCol w:w="1304"/>
                      </w:tblGrid>
                      <w:tr w:rsidR="0080270B"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Pr="000F129C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0F129C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Périodes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Pr="000F129C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0F129C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Ile de France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FFFFCC"/>
                            <w:vAlign w:val="center"/>
                          </w:tcPr>
                          <w:p w:rsidR="0080270B" w:rsidRPr="000F129C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0F129C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Province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  <w:vAlign w:val="center"/>
                          </w:tcPr>
                          <w:p w:rsidR="0080270B" w:rsidRPr="000F129C" w:rsidRDefault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0F129C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Ensemble</w:t>
                            </w:r>
                          </w:p>
                        </w:tc>
                      </w:tr>
                      <w:tr w:rsidR="0080270B"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 w:rsidP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OND 12 /</w:t>
                            </w:r>
                          </w:p>
                          <w:p w:rsidR="0080270B" w:rsidRDefault="0080270B" w:rsidP="0080270B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OND 11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14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-14"/>
                                <w:sz w:val="24"/>
                              </w:rPr>
                              <w:t>- 1 à - 5 %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14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-14"/>
                                <w:sz w:val="24"/>
                              </w:rPr>
                              <w:t>- 1 à - 5 %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80270B" w:rsidRDefault="0080270B" w:rsidP="0080270B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</w:rPr>
                              <w:t>- 2 %</w:t>
                            </w:r>
                          </w:p>
                        </w:tc>
                      </w:tr>
                      <w:tr w:rsidR="0080270B"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 w:rsidP="00890B65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 13 /</w:t>
                            </w:r>
                          </w:p>
                          <w:p w:rsidR="0080270B" w:rsidRDefault="0080270B" w:rsidP="00890B65">
                            <w:pPr>
                              <w:spacing w:before="60" w:after="6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JFM 12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80270B" w:rsidRDefault="0080270B" w:rsidP="000A2867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14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-14"/>
                                <w:sz w:val="24"/>
                              </w:rPr>
                              <w:t>- 6 à - 10 %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80270B" w:rsidRDefault="0080270B" w:rsidP="009E1409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spacing w:val="-14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-14"/>
                                <w:sz w:val="24"/>
                              </w:rPr>
                              <w:t>- 1 à - 5 %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80270B" w:rsidRDefault="0080270B" w:rsidP="005E3622">
                            <w:pPr>
                              <w:spacing w:before="60" w:after="60"/>
                              <w:jc w:val="center"/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</w:rPr>
                              <w:t>- 2 %</w:t>
                            </w:r>
                          </w:p>
                        </w:tc>
                      </w:tr>
                    </w:tbl>
                    <w:p w:rsidR="0080270B" w:rsidRDefault="0080270B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82A40" w:rsidRPr="002233A3">
        <w:rPr>
          <w:rFonts w:ascii="Arial Narrow" w:hAnsi="Arial Narrow"/>
        </w:rPr>
        <w:tab/>
        <w:t>Vente</w:t>
      </w:r>
      <w:r w:rsidR="00D82A40" w:rsidRPr="002233A3">
        <w:rPr>
          <w:rFonts w:ascii="Arial Narrow" w:hAnsi="Arial Narrow"/>
        </w:rPr>
        <w:tab/>
        <w:t>Location</w:t>
      </w:r>
    </w:p>
    <w:p w:rsidR="00D82A40" w:rsidRDefault="00D82A40">
      <w:pPr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  <w:vertAlign w:val="superscript"/>
        </w:rPr>
        <w:t>(1)</w:t>
      </w:r>
      <w:r>
        <w:rPr>
          <w:rFonts w:ascii="Arial Narrow" w:hAnsi="Arial Narrow"/>
          <w:i/>
          <w:sz w:val="24"/>
        </w:rPr>
        <w:t xml:space="preserve"> Tx évol. : Taux d’évolution du trimestre par rapport à la même période de l’année précédente</w:t>
      </w:r>
    </w:p>
    <w:p w:rsidR="009A241D" w:rsidRPr="00520F83" w:rsidRDefault="00D82A40" w:rsidP="009A241D">
      <w:pPr>
        <w:rPr>
          <w:rFonts w:ascii="Arial Narrow" w:hAnsi="Arial Narrow"/>
          <w:i/>
          <w:sz w:val="12"/>
          <w:szCs w:val="12"/>
        </w:rPr>
      </w:pPr>
      <w:r>
        <w:rPr>
          <w:rFonts w:ascii="Arial Narrow" w:hAnsi="Arial Narrow"/>
          <w:i/>
          <w:sz w:val="24"/>
          <w:vertAlign w:val="superscript"/>
        </w:rPr>
        <w:t>(2)</w:t>
      </w:r>
      <w:r>
        <w:rPr>
          <w:rFonts w:ascii="Arial Narrow" w:hAnsi="Arial Narrow"/>
          <w:i/>
          <w:sz w:val="24"/>
        </w:rPr>
        <w:t xml:space="preserve"> Tendance : Moyenne mobile 4 trimestres</w:t>
      </w:r>
      <w:r w:rsidR="00520F83">
        <w:rPr>
          <w:rFonts w:ascii="Arial Narrow" w:hAnsi="Arial Narrow"/>
          <w:i/>
          <w:sz w:val="24"/>
        </w:rPr>
        <w:br w:type="page"/>
      </w:r>
    </w:p>
    <w:p w:rsidR="00D82A40" w:rsidRDefault="00D82A40">
      <w:pPr>
        <w:pStyle w:val="Titre8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284" w:right="284"/>
        <w:rPr>
          <w:rFonts w:ascii="Arial Narrow" w:hAnsi="Arial Narrow"/>
          <w:color w:val="0000FF"/>
        </w:rPr>
      </w:pPr>
      <w:r>
        <w:rPr>
          <w:rFonts w:ascii="Arial Narrow" w:hAnsi="Arial Narrow"/>
          <w:color w:val="0000FF"/>
        </w:rPr>
        <w:lastRenderedPageBreak/>
        <w:t>IV. VISITES ET PERCEPTION DES HONORAIRES</w:t>
      </w:r>
    </w:p>
    <w:p w:rsidR="00B82CBF" w:rsidRPr="00196237" w:rsidRDefault="00B82CBF">
      <w:pPr>
        <w:pStyle w:val="Titre5"/>
        <w:rPr>
          <w:rFonts w:ascii="Arial Narrow" w:hAnsi="Arial Narrow"/>
          <w:sz w:val="8"/>
          <w:szCs w:val="8"/>
        </w:rPr>
      </w:pPr>
    </w:p>
    <w:p w:rsidR="00D82A40" w:rsidRDefault="00D82A40">
      <w:pPr>
        <w:pStyle w:val="Titre5"/>
        <w:rPr>
          <w:rFonts w:ascii="Arial Narrow" w:hAnsi="Arial Narrow"/>
        </w:rPr>
      </w:pPr>
      <w:r>
        <w:rPr>
          <w:rFonts w:ascii="Arial Narrow" w:hAnsi="Arial Narrow"/>
        </w:rPr>
        <w:t>Nombre de visites nécessaires pour conclure une transaction (à un an d’intervalle)</w:t>
      </w:r>
    </w:p>
    <w:p w:rsidR="00D82A40" w:rsidRDefault="00374FC2" w:rsidP="00DD54A1">
      <w:pPr>
        <w:tabs>
          <w:tab w:val="left" w:pos="2268"/>
          <w:tab w:val="left" w:pos="7938"/>
        </w:tabs>
        <w:spacing w:before="40"/>
        <w:jc w:val="both"/>
        <w:rPr>
          <w:rFonts w:ascii="Arial Narrow" w:hAnsi="Arial Narrow"/>
          <w:b/>
          <w:sz w:val="24"/>
        </w:rPr>
      </w:pPr>
      <w:r>
        <w:rPr>
          <w:noProof/>
        </w:rPr>
        <w:drawing>
          <wp:anchor distT="0" distB="0" distL="114300" distR="114300" simplePos="0" relativeHeight="252163584" behindDoc="0" locked="0" layoutInCell="1" allowOverlap="1">
            <wp:simplePos x="0" y="0"/>
            <wp:positionH relativeFrom="column">
              <wp:posOffset>3579483</wp:posOffset>
            </wp:positionH>
            <wp:positionV relativeFrom="paragraph">
              <wp:posOffset>158738</wp:posOffset>
            </wp:positionV>
            <wp:extent cx="3284867" cy="1949570"/>
            <wp:effectExtent l="19050" t="0" r="0" b="0"/>
            <wp:wrapNone/>
            <wp:docPr id="25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61536" behindDoc="0" locked="0" layoutInCell="1" allowOverlap="1">
            <wp:simplePos x="0" y="0"/>
            <wp:positionH relativeFrom="column">
              <wp:posOffset>25399</wp:posOffset>
            </wp:positionH>
            <wp:positionV relativeFrom="paragraph">
              <wp:posOffset>167364</wp:posOffset>
            </wp:positionV>
            <wp:extent cx="3286665" cy="1940944"/>
            <wp:effectExtent l="0" t="0" r="0" b="0"/>
            <wp:wrapNone/>
            <wp:docPr id="24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  <w:r w:rsidR="00D82A40">
        <w:rPr>
          <w:rFonts w:ascii="Arial Narrow" w:hAnsi="Arial Narrow"/>
          <w:b/>
          <w:sz w:val="24"/>
        </w:rPr>
        <w:tab/>
        <w:t>Vente</w:t>
      </w:r>
      <w:r w:rsidR="00D82A40">
        <w:rPr>
          <w:rFonts w:ascii="Arial Narrow" w:hAnsi="Arial Narrow"/>
          <w:b/>
          <w:sz w:val="24"/>
        </w:rPr>
        <w:tab/>
        <w:t>Location</w:t>
      </w:r>
    </w:p>
    <w:p w:rsidR="00D82A40" w:rsidRDefault="00071C60">
      <w:pPr>
        <w:tabs>
          <w:tab w:val="left" w:pos="2410"/>
          <w:tab w:val="left" w:pos="8222"/>
        </w:tabs>
        <w:spacing w:before="40"/>
        <w:jc w:val="both"/>
        <w:rPr>
          <w:noProof/>
        </w:rPr>
      </w:pPr>
      <w:r w:rsidRPr="00071C60">
        <w:rPr>
          <w:noProof/>
        </w:rPr>
        <w:t xml:space="preserve"> </w:t>
      </w:r>
    </w:p>
    <w:p w:rsidR="00603AFF" w:rsidRPr="00603AFF" w:rsidRDefault="00603AFF">
      <w:pPr>
        <w:tabs>
          <w:tab w:val="left" w:pos="2410"/>
          <w:tab w:val="left" w:pos="8222"/>
        </w:tabs>
        <w:spacing w:before="40"/>
        <w:jc w:val="both"/>
        <w:rPr>
          <w:sz w:val="4"/>
          <w:szCs w:val="4"/>
        </w:rPr>
      </w:pPr>
    </w:p>
    <w:p w:rsidR="000340F4" w:rsidRDefault="00603AFF" w:rsidP="00603AFF">
      <w:pPr>
        <w:tabs>
          <w:tab w:val="left" w:pos="2410"/>
          <w:tab w:val="left" w:pos="6804"/>
        </w:tabs>
        <w:spacing w:before="40"/>
        <w:jc w:val="both"/>
        <w:rPr>
          <w:b/>
          <w:sz w:val="4"/>
          <w:szCs w:val="4"/>
        </w:rPr>
      </w:pPr>
      <w:r>
        <w:rPr>
          <w:b/>
          <w:sz w:val="4"/>
          <w:szCs w:val="4"/>
        </w:rPr>
        <w:tab/>
      </w:r>
      <w:r>
        <w:rPr>
          <w:b/>
          <w:sz w:val="4"/>
          <w:szCs w:val="4"/>
        </w:rPr>
        <w:tab/>
      </w:r>
    </w:p>
    <w:p w:rsidR="000340F4" w:rsidRDefault="000340F4" w:rsidP="00603AFF">
      <w:pPr>
        <w:tabs>
          <w:tab w:val="left" w:pos="2410"/>
          <w:tab w:val="left" w:pos="6804"/>
        </w:tabs>
        <w:spacing w:before="40"/>
        <w:jc w:val="both"/>
        <w:rPr>
          <w:b/>
          <w:sz w:val="4"/>
          <w:szCs w:val="4"/>
        </w:rPr>
      </w:pPr>
    </w:p>
    <w:p w:rsidR="000340F4" w:rsidRDefault="000340F4" w:rsidP="00603AFF">
      <w:pPr>
        <w:tabs>
          <w:tab w:val="left" w:pos="2410"/>
          <w:tab w:val="left" w:pos="6804"/>
        </w:tabs>
        <w:spacing w:before="40"/>
        <w:jc w:val="both"/>
        <w:rPr>
          <w:b/>
          <w:sz w:val="4"/>
          <w:szCs w:val="4"/>
        </w:rPr>
      </w:pPr>
    </w:p>
    <w:p w:rsidR="000340F4" w:rsidRDefault="000340F4" w:rsidP="00603AFF">
      <w:pPr>
        <w:tabs>
          <w:tab w:val="left" w:pos="2410"/>
          <w:tab w:val="left" w:pos="6804"/>
        </w:tabs>
        <w:spacing w:before="40"/>
        <w:jc w:val="both"/>
        <w:rPr>
          <w:b/>
          <w:sz w:val="4"/>
          <w:szCs w:val="4"/>
        </w:rPr>
      </w:pPr>
    </w:p>
    <w:p w:rsidR="00603AFF" w:rsidRDefault="00603AFF" w:rsidP="00603AFF">
      <w:pPr>
        <w:tabs>
          <w:tab w:val="left" w:pos="2410"/>
          <w:tab w:val="left" w:pos="6804"/>
        </w:tabs>
        <w:spacing w:before="40"/>
        <w:jc w:val="both"/>
        <w:rPr>
          <w:rFonts w:ascii="Arial Narrow" w:hAnsi="Arial Narrow"/>
          <w:b/>
          <w:sz w:val="24"/>
        </w:rPr>
      </w:pPr>
    </w:p>
    <w:p w:rsidR="00603AFF" w:rsidRDefault="00603AFF" w:rsidP="00603AFF">
      <w:pPr>
        <w:tabs>
          <w:tab w:val="left" w:pos="2410"/>
          <w:tab w:val="left" w:pos="6804"/>
        </w:tabs>
        <w:spacing w:before="40"/>
        <w:jc w:val="both"/>
        <w:rPr>
          <w:rFonts w:ascii="Arial Narrow" w:hAnsi="Arial Narrow"/>
          <w:b/>
          <w:sz w:val="24"/>
        </w:rPr>
      </w:pPr>
    </w:p>
    <w:p w:rsidR="00603AFF" w:rsidRDefault="00603AFF" w:rsidP="00603AFF">
      <w:pPr>
        <w:tabs>
          <w:tab w:val="left" w:pos="2410"/>
          <w:tab w:val="left" w:pos="6804"/>
        </w:tabs>
        <w:spacing w:before="40"/>
        <w:jc w:val="both"/>
        <w:rPr>
          <w:rFonts w:ascii="Arial Narrow" w:hAnsi="Arial Narrow"/>
          <w:b/>
          <w:sz w:val="24"/>
        </w:rPr>
      </w:pPr>
    </w:p>
    <w:p w:rsidR="00603AFF" w:rsidRDefault="00603AFF" w:rsidP="00603AFF">
      <w:pPr>
        <w:tabs>
          <w:tab w:val="left" w:pos="2410"/>
          <w:tab w:val="left" w:pos="6804"/>
        </w:tabs>
        <w:spacing w:before="40"/>
        <w:jc w:val="both"/>
        <w:rPr>
          <w:rFonts w:ascii="Arial Narrow" w:hAnsi="Arial Narrow"/>
          <w:b/>
          <w:sz w:val="24"/>
        </w:rPr>
      </w:pPr>
    </w:p>
    <w:p w:rsidR="00603AFF" w:rsidRDefault="00603AFF" w:rsidP="00603AFF">
      <w:pPr>
        <w:tabs>
          <w:tab w:val="left" w:pos="2410"/>
          <w:tab w:val="left" w:pos="6804"/>
        </w:tabs>
        <w:spacing w:before="40"/>
        <w:jc w:val="both"/>
        <w:rPr>
          <w:rFonts w:ascii="Arial Narrow" w:hAnsi="Arial Narrow"/>
          <w:b/>
          <w:sz w:val="24"/>
        </w:rPr>
      </w:pPr>
    </w:p>
    <w:p w:rsidR="00603AFF" w:rsidRDefault="00603AFF" w:rsidP="00603AFF">
      <w:pPr>
        <w:tabs>
          <w:tab w:val="left" w:pos="2410"/>
          <w:tab w:val="left" w:pos="6804"/>
        </w:tabs>
        <w:spacing w:before="40"/>
        <w:jc w:val="both"/>
        <w:rPr>
          <w:rFonts w:ascii="Arial Narrow" w:hAnsi="Arial Narrow"/>
          <w:b/>
          <w:sz w:val="24"/>
        </w:rPr>
      </w:pPr>
    </w:p>
    <w:p w:rsidR="00603AFF" w:rsidRDefault="00374FC2" w:rsidP="00603AFF">
      <w:pPr>
        <w:tabs>
          <w:tab w:val="left" w:pos="2410"/>
          <w:tab w:val="left" w:pos="6804"/>
        </w:tabs>
        <w:spacing w:before="40"/>
        <w:jc w:val="both"/>
        <w:rPr>
          <w:rFonts w:ascii="Arial Narrow" w:hAnsi="Arial Narrow"/>
          <w:b/>
          <w:sz w:val="24"/>
        </w:rPr>
      </w:pPr>
      <w:r>
        <w:rPr>
          <w:noProof/>
        </w:rPr>
        <w:drawing>
          <wp:anchor distT="0" distB="0" distL="114300" distR="114300" simplePos="0" relativeHeight="252165632" behindDoc="0" locked="0" layoutInCell="1" allowOverlap="1">
            <wp:simplePos x="0" y="0"/>
            <wp:positionH relativeFrom="column">
              <wp:posOffset>3633039</wp:posOffset>
            </wp:positionH>
            <wp:positionV relativeFrom="paragraph">
              <wp:posOffset>589532</wp:posOffset>
            </wp:positionV>
            <wp:extent cx="3284867" cy="1923690"/>
            <wp:effectExtent l="19050" t="0" r="0" b="0"/>
            <wp:wrapNone/>
            <wp:docPr id="27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  <w:r w:rsidR="00E84EDA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244475</wp:posOffset>
                </wp:positionV>
                <wp:extent cx="3381375" cy="2035810"/>
                <wp:effectExtent l="10160" t="6350" r="8890" b="5715"/>
                <wp:wrapTopAndBottom/>
                <wp:docPr id="1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203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70B" w:rsidRDefault="0080270B" w:rsidP="00E043B7">
                            <w:pPr>
                              <w:pStyle w:val="Corpsdetexte2"/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Plus des deux tiers des professionnels intérogés estiment que le nombre de visite</w:t>
                            </w:r>
                            <w:r w:rsidR="00DC1278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pour conclure une transaction de vente ne cesse d’augmenter à un an d’intervalle, contre seulement 7 % qui considèrent une baisse. </w:t>
                            </w:r>
                          </w:p>
                          <w:p w:rsidR="0080270B" w:rsidRDefault="0080270B" w:rsidP="00E043B7">
                            <w:pPr>
                              <w:pStyle w:val="Corpsdetexte2"/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De manière comparable, la majorité (59 %) des agents immobiliers constatent une hausse du nombre de visites pour conclure une transaction de location, tandis que seuls 6 % font état d’une baisse.</w:t>
                            </w:r>
                          </w:p>
                          <w:p w:rsidR="0080270B" w:rsidRDefault="0080270B" w:rsidP="00E043B7">
                            <w:pPr>
                              <w:pStyle w:val="Corpsdetexte2"/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Le délai nécessaire à la perception des honoraires reste stable pour les deux tiers des professionnels du secteur, alors que 29</w:t>
                            </w:r>
                            <w:r w:rsidR="003274D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% le voient à la hausse et 5</w:t>
                            </w:r>
                            <w:r w:rsidR="003274D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% à la baisse. </w:t>
                            </w:r>
                          </w:p>
                          <w:p w:rsidR="0080270B" w:rsidRDefault="0080270B" w:rsidP="00E043B7">
                            <w:pPr>
                              <w:pStyle w:val="Corpsdetexte2"/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left:0;text-align:left;margin-left:6.05pt;margin-top:19.25pt;width:266.25pt;height:160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">
                <v:textbox>
                  <w:txbxContent>
                    <w:p w:rsidR="0080270B" w:rsidRDefault="0080270B" w:rsidP="00E043B7">
                      <w:pPr>
                        <w:pStyle w:val="Corpsdetexte2"/>
                        <w:spacing w:after="0" w:line="240" w:lineRule="auto"/>
                        <w:jc w:val="both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Plus des deux tiers des professionnels intérogés estiment que le nombre de visite</w:t>
                      </w:r>
                      <w:r w:rsidR="00DC1278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pour conclure une transaction de vente ne cesse d’augmenter à un an d’intervalle, contre seulement 7 % qui considèrent une baisse. </w:t>
                      </w:r>
                    </w:p>
                    <w:p w:rsidR="0080270B" w:rsidRDefault="0080270B" w:rsidP="00E043B7">
                      <w:pPr>
                        <w:pStyle w:val="Corpsdetexte2"/>
                        <w:spacing w:after="0" w:line="240" w:lineRule="auto"/>
                        <w:jc w:val="both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De manière comparable, la majorité (59 %) des agents immobiliers constatent une hausse du nombre de visites pour conclure une transaction de location, tandis que seuls 6 % font état d’une baisse.</w:t>
                      </w:r>
                    </w:p>
                    <w:p w:rsidR="0080270B" w:rsidRDefault="0080270B" w:rsidP="00E043B7">
                      <w:pPr>
                        <w:pStyle w:val="Corpsdetexte2"/>
                        <w:spacing w:after="0" w:line="240" w:lineRule="auto"/>
                        <w:jc w:val="both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Le délai nécessaire à la perception des honoraires reste stable pour les deux tiers des professionnels du secteur, alors que 29</w:t>
                      </w:r>
                      <w:r w:rsidR="003274D3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% le voient à la hausse et 5</w:t>
                      </w:r>
                      <w:r w:rsidR="003274D3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% à la baisse. </w:t>
                      </w:r>
                    </w:p>
                    <w:p w:rsidR="0080270B" w:rsidRDefault="0080270B" w:rsidP="00E043B7">
                      <w:pPr>
                        <w:pStyle w:val="Corpsdetexte2"/>
                        <w:spacing w:after="0" w:line="240" w:lineRule="auto"/>
                        <w:jc w:val="both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74FC2">
        <w:rPr>
          <w:noProof/>
        </w:rPr>
        <w:t xml:space="preserve"> </w:t>
      </w:r>
    </w:p>
    <w:p w:rsidR="00906615" w:rsidRDefault="00E84EDA" w:rsidP="00CF2E1F">
      <w:pPr>
        <w:tabs>
          <w:tab w:val="left" w:pos="2410"/>
          <w:tab w:val="left" w:pos="6804"/>
        </w:tabs>
        <w:jc w:val="both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3391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44450</wp:posOffset>
                </wp:positionV>
                <wp:extent cx="2286000" cy="457200"/>
                <wp:effectExtent l="0" t="0" r="1270" b="3175"/>
                <wp:wrapNone/>
                <wp:docPr id="18" name="Text Box 2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70B" w:rsidRDefault="0080270B" w:rsidP="004D61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Opinions sur le délai nécessaire</w:t>
                            </w:r>
                          </w:p>
                          <w:p w:rsidR="0080270B" w:rsidRDefault="0080270B" w:rsidP="004D6157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à la perception des honoraires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7" o:spid="_x0000_s1037" type="#_x0000_t202" style="position:absolute;left:0;text-align:left;margin-left:320.9pt;margin-top:3.5pt;width:180pt;height:36pt;z-index:251643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6MuQIAAMU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" filled="f" stroked="f">
                <v:textbox>
                  <w:txbxContent>
                    <w:p w:rsidR="0080270B" w:rsidRDefault="0080270B" w:rsidP="004D6157">
                      <w:pPr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>Opinions sur le délai nécessaire</w:t>
                      </w:r>
                    </w:p>
                    <w:p w:rsidR="0080270B" w:rsidRDefault="0080270B" w:rsidP="004D6157">
                      <w:pPr>
                        <w:jc w:val="center"/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>à la perception des honoraires</w:t>
                      </w:r>
                    </w:p>
                  </w:txbxContent>
                </v:textbox>
              </v:shape>
            </w:pict>
          </mc:Fallback>
        </mc:AlternateContent>
      </w:r>
    </w:p>
    <w:p w:rsidR="00E97719" w:rsidRPr="008304F0" w:rsidRDefault="00E97719" w:rsidP="00CF2E1F">
      <w:pPr>
        <w:tabs>
          <w:tab w:val="left" w:pos="2410"/>
          <w:tab w:val="left" w:pos="6804"/>
        </w:tabs>
        <w:jc w:val="both"/>
        <w:rPr>
          <w:rFonts w:ascii="Arial Narrow" w:hAnsi="Arial Narrow"/>
          <w:b/>
          <w:sz w:val="10"/>
          <w:szCs w:val="10"/>
        </w:rPr>
      </w:pPr>
    </w:p>
    <w:p w:rsidR="00D82A40" w:rsidRDefault="00D82A40">
      <w:pPr>
        <w:pStyle w:val="Titre8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2268" w:right="2268"/>
        <w:rPr>
          <w:rFonts w:ascii="Arial Narrow" w:hAnsi="Arial Narrow"/>
          <w:color w:val="0000FF"/>
          <w:sz w:val="36"/>
        </w:rPr>
      </w:pPr>
      <w:r>
        <w:rPr>
          <w:rFonts w:ascii="Arial Narrow" w:hAnsi="Arial Narrow"/>
          <w:color w:val="0000FF"/>
          <w:sz w:val="36"/>
        </w:rPr>
        <w:t>V. OPINIONS SUR LES PRIX</w:t>
      </w:r>
    </w:p>
    <w:p w:rsidR="00603AFF" w:rsidRPr="004D6157" w:rsidRDefault="00603AFF" w:rsidP="00603AFF">
      <w:pPr>
        <w:rPr>
          <w:sz w:val="6"/>
          <w:szCs w:val="6"/>
        </w:rPr>
      </w:pPr>
    </w:p>
    <w:p w:rsidR="00D82A40" w:rsidRDefault="00D82A40">
      <w:pPr>
        <w:pStyle w:val="Titre5"/>
        <w:rPr>
          <w:rFonts w:ascii="Arial Narrow" w:hAnsi="Arial Narrow"/>
        </w:rPr>
      </w:pPr>
      <w:r>
        <w:rPr>
          <w:rFonts w:ascii="Arial Narrow" w:hAnsi="Arial Narrow"/>
        </w:rPr>
        <w:t>Soldes d’opinion* sur l’évolution des prix (à un an d’intervalle)</w:t>
      </w:r>
    </w:p>
    <w:p w:rsidR="00D82A40" w:rsidRDefault="00AB6600" w:rsidP="000759E3">
      <w:pPr>
        <w:tabs>
          <w:tab w:val="left" w:pos="2268"/>
          <w:tab w:val="left" w:pos="7797"/>
        </w:tabs>
        <w:spacing w:before="40"/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anchor distT="0" distB="0" distL="114300" distR="114300" simplePos="0" relativeHeight="252169728" behindDoc="0" locked="0" layoutInCell="1" allowOverlap="1" wp14:anchorId="3F985AA9" wp14:editId="52DAD15F">
            <wp:simplePos x="0" y="0"/>
            <wp:positionH relativeFrom="column">
              <wp:posOffset>3482975</wp:posOffset>
            </wp:positionH>
            <wp:positionV relativeFrom="paragraph">
              <wp:posOffset>72390</wp:posOffset>
            </wp:positionV>
            <wp:extent cx="3348000" cy="2400300"/>
            <wp:effectExtent l="0" t="0" r="0" b="0"/>
            <wp:wrapNone/>
            <wp:docPr id="30" name="Graphique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67680" behindDoc="0" locked="0" layoutInCell="1" allowOverlap="1" wp14:anchorId="4900FC26" wp14:editId="45D60C08">
            <wp:simplePos x="0" y="0"/>
            <wp:positionH relativeFrom="column">
              <wp:posOffset>25400</wp:posOffset>
            </wp:positionH>
            <wp:positionV relativeFrom="paragraph">
              <wp:posOffset>72390</wp:posOffset>
            </wp:positionV>
            <wp:extent cx="3348000" cy="2400300"/>
            <wp:effectExtent l="0" t="0" r="0" b="0"/>
            <wp:wrapNone/>
            <wp:docPr id="29" name="Graphique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A40">
        <w:rPr>
          <w:rFonts w:ascii="Arial Narrow" w:hAnsi="Arial Narrow"/>
          <w:b/>
          <w:sz w:val="24"/>
        </w:rPr>
        <w:tab/>
        <w:t>Vente</w:t>
      </w:r>
      <w:r w:rsidR="00D82A40">
        <w:rPr>
          <w:rFonts w:ascii="Arial Narrow" w:hAnsi="Arial Narrow"/>
          <w:b/>
          <w:sz w:val="24"/>
        </w:rPr>
        <w:tab/>
        <w:t>Location</w:t>
      </w:r>
    </w:p>
    <w:p w:rsidR="004A24E8" w:rsidRDefault="00374FC2" w:rsidP="00F22F29">
      <w:pPr>
        <w:tabs>
          <w:tab w:val="left" w:pos="2268"/>
          <w:tab w:val="left" w:pos="7797"/>
        </w:tabs>
        <w:spacing w:before="40"/>
        <w:jc w:val="both"/>
      </w:pPr>
      <w:r w:rsidRPr="00374FC2">
        <w:rPr>
          <w:noProof/>
        </w:rPr>
        <w:t xml:space="preserve">  </w:t>
      </w:r>
      <w:r w:rsidR="00C2549D" w:rsidRPr="00C2549D">
        <w:t xml:space="preserve"> </w:t>
      </w:r>
    </w:p>
    <w:p w:rsidR="004A24E8" w:rsidRDefault="00E84EDA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2117725</wp:posOffset>
                </wp:positionV>
                <wp:extent cx="6972300" cy="1321435"/>
                <wp:effectExtent l="10160" t="12700" r="8890" b="8890"/>
                <wp:wrapTopAndBottom/>
                <wp:docPr id="1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32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70B" w:rsidRDefault="0080270B" w:rsidP="00FA746C">
                            <w:pPr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Les indicateurs d’opinions relatifs à l’évolution des prix à un an d’intervalle demeurent très dégradés ce trimestre. En effet, les soldes d’opinions sont négatifs sur l’ensemble des biens proposés en début d’année 2013. Plus précisément, les studios affichent un solde de - 61 points, tandis que les 3 pièces affichent -</w:t>
                            </w:r>
                            <w:r w:rsidR="003274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66 points et les maisons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- 70 points.</w:t>
                            </w:r>
                          </w:p>
                          <w:p w:rsidR="0080270B" w:rsidRPr="0002770F" w:rsidRDefault="0080270B" w:rsidP="00FA746C">
                            <w:pPr>
                              <w:jc w:val="both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80270B" w:rsidRDefault="0080270B" w:rsidP="00FA746C">
                            <w:pPr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Les soldes d’opinions apparaissent également négatifs en ce qui concerne les locat</w:t>
                            </w:r>
                            <w:r w:rsidR="003274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ions. Néamoins, le différentiel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hausse-baisse est moins marqué que pour les ventes : - 35 points pour les studios, - 39 points pour les maisons et 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br/>
                              <w:t>- 41 points pour les 3 pièces.</w:t>
                            </w:r>
                          </w:p>
                          <w:p w:rsidR="0080270B" w:rsidRPr="00C77EBB" w:rsidRDefault="0080270B" w:rsidP="00FA746C">
                            <w:pPr>
                              <w:jc w:val="both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8" type="#_x0000_t202" style="position:absolute;margin-left:-11.95pt;margin-top:166.75pt;width:549pt;height:104.0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">
                <v:textbox>
                  <w:txbxContent>
                    <w:p w:rsidR="0080270B" w:rsidRDefault="0080270B" w:rsidP="00FA746C">
                      <w:pPr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Les indicateurs d’opinions relatifs à l’évolution des prix à un an d’intervalle demeurent très dégradés ce trimestre. En effet, les soldes d’opinions sont négatifs sur l’ensemble des biens proposés en début d’année 2013. Plus précisément, les studios affichent un solde de - 61 points, tandis que les 3 pièces affichent -</w:t>
                      </w:r>
                      <w:r w:rsidR="003274D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66 points et les maisons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- 70 points.</w:t>
                      </w:r>
                    </w:p>
                    <w:p w:rsidR="0080270B" w:rsidRPr="0002770F" w:rsidRDefault="0080270B" w:rsidP="00FA746C">
                      <w:pPr>
                        <w:jc w:val="both"/>
                        <w:rPr>
                          <w:rFonts w:ascii="Arial Narrow" w:hAnsi="Arial Narrow"/>
                        </w:rPr>
                      </w:pPr>
                    </w:p>
                    <w:p w:rsidR="0080270B" w:rsidRDefault="0080270B" w:rsidP="00FA746C">
                      <w:pPr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Les soldes d’opinions apparaissent également négatifs en ce qui concerne les locat</w:t>
                      </w:r>
                      <w:r w:rsidR="003274D3">
                        <w:rPr>
                          <w:rFonts w:ascii="Arial Narrow" w:hAnsi="Arial Narrow"/>
                          <w:sz w:val="24"/>
                          <w:szCs w:val="24"/>
                        </w:rPr>
                        <w:t>ions. Néamoins, le différentiel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hausse-baisse est moins marqué que pour les ventes : - 35 points pour les studios, - 39 points pour les maisons et 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br/>
                        <w:t>- 41 points pour les 3 pièces.</w:t>
                      </w:r>
                    </w:p>
                    <w:p w:rsidR="0080270B" w:rsidRPr="00C77EBB" w:rsidRDefault="0080270B" w:rsidP="00FA746C">
                      <w:pPr>
                        <w:jc w:val="both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3545840</wp:posOffset>
                </wp:positionV>
                <wp:extent cx="6858000" cy="377190"/>
                <wp:effectExtent l="0" t="2540" r="1270" b="1270"/>
                <wp:wrapTopAndBottom/>
                <wp:docPr id="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70B" w:rsidRDefault="0080270B">
                            <w:pPr>
                              <w:jc w:val="both"/>
                              <w:rPr>
                                <w:rFonts w:ascii="Arial Narrow" w:hAnsi="Arial Narrow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2"/>
                              </w:rPr>
                              <w:t>* Soldes d’opinions : Différence entre le pourcentage d’entreprises déclarant des prix à la hausse et celles déclarant une baisse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-9.85pt;margin-top:279.2pt;width:540pt;height:29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" filled="f" stroked="f">
                <v:textbox>
                  <w:txbxContent>
                    <w:p w:rsidR="0080270B" w:rsidRDefault="0080270B">
                      <w:pPr>
                        <w:jc w:val="both"/>
                        <w:rPr>
                          <w:rFonts w:ascii="Arial Narrow" w:hAnsi="Arial Narrow"/>
                          <w:i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2"/>
                        </w:rPr>
                        <w:t>* Soldes d’opinions : Différence entre le pourcentage d’entreprises déclarant des prix à la hausse et celles déclarant une baisse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24E8">
        <w:br w:type="page"/>
      </w:r>
    </w:p>
    <w:p w:rsidR="00D82A40" w:rsidRPr="00C2549D" w:rsidRDefault="00D82A40" w:rsidP="00F22F29">
      <w:pPr>
        <w:tabs>
          <w:tab w:val="left" w:pos="2268"/>
          <w:tab w:val="left" w:pos="7797"/>
        </w:tabs>
        <w:spacing w:before="40"/>
        <w:jc w:val="both"/>
      </w:pPr>
    </w:p>
    <w:p w:rsidR="00D82A40" w:rsidRDefault="00D82A40">
      <w:pPr>
        <w:pStyle w:val="Titre8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1701" w:right="1701"/>
        <w:rPr>
          <w:rFonts w:ascii="Arial Narrow" w:hAnsi="Arial Narrow"/>
          <w:color w:val="0000FF"/>
        </w:rPr>
      </w:pPr>
      <w:r>
        <w:rPr>
          <w:rFonts w:ascii="Arial Narrow" w:hAnsi="Arial Narrow"/>
          <w:color w:val="0000FF"/>
        </w:rPr>
        <w:t>VI. ANTICIPATIONS D’ACTIVITE</w:t>
      </w:r>
    </w:p>
    <w:p w:rsidR="00D82A40" w:rsidRDefault="00D82A40">
      <w:pPr>
        <w:pStyle w:val="Titre5"/>
        <w:jc w:val="both"/>
        <w:rPr>
          <w:b w:val="0"/>
          <w:sz w:val="8"/>
        </w:rPr>
      </w:pPr>
    </w:p>
    <w:p w:rsidR="00D82A40" w:rsidRDefault="00D82A40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Anticipations d’activité</w:t>
      </w:r>
    </w:p>
    <w:p w:rsidR="00D82A40" w:rsidRDefault="00D82A40">
      <w:pPr>
        <w:tabs>
          <w:tab w:val="left" w:pos="2268"/>
          <w:tab w:val="left" w:pos="7797"/>
        </w:tabs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ab/>
        <w:t>Vente</w:t>
      </w:r>
      <w:r>
        <w:rPr>
          <w:rFonts w:ascii="Arial Narrow" w:hAnsi="Arial Narrow"/>
          <w:b/>
          <w:sz w:val="24"/>
        </w:rPr>
        <w:tab/>
        <w:t>Location</w:t>
      </w:r>
    </w:p>
    <w:p w:rsidR="00D82A40" w:rsidRDefault="003274D3">
      <w:pPr>
        <w:tabs>
          <w:tab w:val="left" w:pos="2268"/>
          <w:tab w:val="left" w:pos="7797"/>
        </w:tabs>
        <w:jc w:val="both"/>
      </w:pPr>
      <w:r>
        <w:rPr>
          <w:noProof/>
        </w:rPr>
        <w:drawing>
          <wp:anchor distT="0" distB="0" distL="114300" distR="114300" simplePos="0" relativeHeight="252193280" behindDoc="0" locked="0" layoutInCell="1" allowOverlap="1" wp14:anchorId="665132C0" wp14:editId="5414D4AD">
            <wp:simplePos x="0" y="0"/>
            <wp:positionH relativeFrom="column">
              <wp:posOffset>3444875</wp:posOffset>
            </wp:positionH>
            <wp:positionV relativeFrom="paragraph">
              <wp:posOffset>17145</wp:posOffset>
            </wp:positionV>
            <wp:extent cx="3286760" cy="1924050"/>
            <wp:effectExtent l="0" t="0" r="0" b="0"/>
            <wp:wrapNone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92256" behindDoc="0" locked="0" layoutInCell="1" allowOverlap="1" wp14:anchorId="0A6955D2" wp14:editId="060E1BE7">
            <wp:simplePos x="0" y="0"/>
            <wp:positionH relativeFrom="column">
              <wp:posOffset>-107950</wp:posOffset>
            </wp:positionH>
            <wp:positionV relativeFrom="paragraph">
              <wp:posOffset>26670</wp:posOffset>
            </wp:positionV>
            <wp:extent cx="3286760" cy="1924050"/>
            <wp:effectExtent l="0" t="0" r="0" b="0"/>
            <wp:wrapNone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044" w:rsidRPr="00B25044">
        <w:rPr>
          <w:noProof/>
        </w:rPr>
        <w:t xml:space="preserve">  </w:t>
      </w:r>
    </w:p>
    <w:p w:rsidR="00493708" w:rsidRDefault="00493708">
      <w:pPr>
        <w:tabs>
          <w:tab w:val="left" w:pos="2268"/>
          <w:tab w:val="left" w:pos="7797"/>
        </w:tabs>
        <w:jc w:val="both"/>
      </w:pPr>
    </w:p>
    <w:p w:rsidR="00FB2D1D" w:rsidRDefault="00FB2D1D">
      <w:pPr>
        <w:tabs>
          <w:tab w:val="left" w:pos="2268"/>
          <w:tab w:val="left" w:pos="7797"/>
        </w:tabs>
        <w:jc w:val="both"/>
      </w:pPr>
    </w:p>
    <w:p w:rsidR="00FB2D1D" w:rsidRDefault="00FB2D1D">
      <w:pPr>
        <w:tabs>
          <w:tab w:val="left" w:pos="2268"/>
          <w:tab w:val="left" w:pos="7797"/>
        </w:tabs>
        <w:jc w:val="both"/>
      </w:pPr>
    </w:p>
    <w:p w:rsidR="00FB2D1D" w:rsidRDefault="00FB2D1D">
      <w:pPr>
        <w:tabs>
          <w:tab w:val="left" w:pos="2268"/>
          <w:tab w:val="left" w:pos="7797"/>
        </w:tabs>
        <w:jc w:val="both"/>
      </w:pPr>
    </w:p>
    <w:p w:rsidR="00FB2D1D" w:rsidRDefault="00FB2D1D">
      <w:pPr>
        <w:tabs>
          <w:tab w:val="left" w:pos="2268"/>
          <w:tab w:val="left" w:pos="7797"/>
        </w:tabs>
        <w:jc w:val="both"/>
      </w:pPr>
    </w:p>
    <w:p w:rsidR="00FB2D1D" w:rsidRDefault="00FB2D1D">
      <w:pPr>
        <w:tabs>
          <w:tab w:val="left" w:pos="2268"/>
          <w:tab w:val="left" w:pos="7797"/>
        </w:tabs>
        <w:jc w:val="both"/>
      </w:pPr>
    </w:p>
    <w:p w:rsidR="00FB2D1D" w:rsidRDefault="00FB2D1D">
      <w:pPr>
        <w:tabs>
          <w:tab w:val="left" w:pos="2268"/>
          <w:tab w:val="left" w:pos="7797"/>
        </w:tabs>
        <w:jc w:val="both"/>
      </w:pPr>
    </w:p>
    <w:p w:rsidR="00FB2D1D" w:rsidRDefault="00FB2D1D">
      <w:pPr>
        <w:tabs>
          <w:tab w:val="left" w:pos="2268"/>
          <w:tab w:val="left" w:pos="7797"/>
        </w:tabs>
        <w:jc w:val="both"/>
      </w:pPr>
    </w:p>
    <w:p w:rsidR="00FB2D1D" w:rsidRDefault="00FB2D1D">
      <w:pPr>
        <w:tabs>
          <w:tab w:val="left" w:pos="2268"/>
          <w:tab w:val="left" w:pos="7797"/>
        </w:tabs>
        <w:jc w:val="both"/>
      </w:pPr>
    </w:p>
    <w:p w:rsidR="00FB2D1D" w:rsidRDefault="00FB2D1D">
      <w:pPr>
        <w:tabs>
          <w:tab w:val="left" w:pos="2268"/>
          <w:tab w:val="left" w:pos="7797"/>
        </w:tabs>
        <w:jc w:val="both"/>
      </w:pPr>
    </w:p>
    <w:p w:rsidR="00FB2D1D" w:rsidRDefault="00FB2D1D">
      <w:pPr>
        <w:tabs>
          <w:tab w:val="left" w:pos="2268"/>
          <w:tab w:val="left" w:pos="7797"/>
        </w:tabs>
        <w:jc w:val="both"/>
      </w:pPr>
    </w:p>
    <w:p w:rsidR="00D82A40" w:rsidRDefault="00D82A40">
      <w:pPr>
        <w:jc w:val="both"/>
      </w:pPr>
    </w:p>
    <w:p w:rsidR="002A279B" w:rsidRDefault="002A279B">
      <w:pPr>
        <w:jc w:val="both"/>
      </w:pPr>
    </w:p>
    <w:p w:rsidR="002A279B" w:rsidRDefault="002A279B">
      <w:pPr>
        <w:jc w:val="both"/>
        <w:rPr>
          <w:sz w:val="4"/>
          <w:szCs w:val="4"/>
        </w:rPr>
      </w:pPr>
    </w:p>
    <w:p w:rsidR="00D82A40" w:rsidRDefault="00D82A40">
      <w:pPr>
        <w:jc w:val="both"/>
        <w:rPr>
          <w:sz w:val="4"/>
          <w:szCs w:val="4"/>
        </w:rPr>
      </w:pPr>
    </w:p>
    <w:p w:rsidR="00D82A40" w:rsidRDefault="00D82A40" w:rsidP="00D91C64">
      <w:pPr>
        <w:pStyle w:val="En-tte"/>
        <w:tabs>
          <w:tab w:val="clear" w:pos="4536"/>
          <w:tab w:val="clear" w:pos="9072"/>
        </w:tabs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Positionnement régional des anticipations d’activité du trimestre sous revue</w:t>
      </w:r>
    </w:p>
    <w:p w:rsidR="00D82A40" w:rsidRDefault="00D82A40">
      <w:pPr>
        <w:pStyle w:val="En-tte"/>
        <w:tabs>
          <w:tab w:val="clear" w:pos="4536"/>
          <w:tab w:val="clear" w:pos="9072"/>
          <w:tab w:val="left" w:pos="1985"/>
          <w:tab w:val="left" w:pos="7938"/>
        </w:tabs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ab/>
        <w:t>Vente</w:t>
      </w:r>
      <w:r>
        <w:rPr>
          <w:rFonts w:ascii="Arial Narrow" w:hAnsi="Arial Narrow"/>
          <w:b/>
          <w:sz w:val="24"/>
        </w:rPr>
        <w:tab/>
        <w:t>Location</w:t>
      </w:r>
    </w:p>
    <w:p w:rsidR="00D82A40" w:rsidRDefault="00E84EDA">
      <w:pPr>
        <w:tabs>
          <w:tab w:val="left" w:pos="3402"/>
          <w:tab w:val="left" w:pos="8789"/>
        </w:tabs>
        <w:jc w:val="both"/>
        <w:rPr>
          <w:rFonts w:ascii="Arial Narrow" w:hAnsi="Arial Narrow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177800</wp:posOffset>
                </wp:positionV>
                <wp:extent cx="3474720" cy="1231265"/>
                <wp:effectExtent l="0" t="0" r="3175" b="635"/>
                <wp:wrapTopAndBottom/>
                <wp:docPr id="1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231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34"/>
                              <w:gridCol w:w="964"/>
                              <w:gridCol w:w="964"/>
                              <w:gridCol w:w="964"/>
                              <w:gridCol w:w="964"/>
                            </w:tblGrid>
                            <w:tr w:rsidR="0080270B"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80" w:after="80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>
                                  <w:pPr>
                                    <w:pStyle w:val="Titre7"/>
                                    <w:spacing w:before="80" w:after="80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Hausse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>
                                  <w:pPr>
                                    <w:spacing w:before="80" w:after="8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Stable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CC"/>
                                </w:tcPr>
                                <w:p w:rsidR="0080270B" w:rsidRDefault="0080270B">
                                  <w:pPr>
                                    <w:spacing w:before="80" w:after="8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Baisse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>
                                  <w:pPr>
                                    <w:spacing w:before="80" w:after="8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Ens.</w:t>
                                  </w:r>
                                </w:p>
                              </w:tc>
                            </w:tr>
                            <w:tr w:rsidR="0080270B"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pStyle w:val="Titre6"/>
                                    <w:tabs>
                                      <w:tab w:val="clear" w:pos="851"/>
                                    </w:tabs>
                                    <w:spacing w:before="80" w:after="80"/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>Ile de France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 w:rsidP="00505919">
                                  <w:pPr>
                                    <w:spacing w:before="200" w:after="8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21 %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 w:rsidP="005E3622">
                                  <w:pPr>
                                    <w:spacing w:before="200" w:after="8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38 %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0270B" w:rsidRDefault="0080270B" w:rsidP="008F19FB">
                                  <w:pPr>
                                    <w:spacing w:before="200" w:after="8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41 %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200" w:after="8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100 %</w:t>
                                  </w:r>
                                </w:p>
                              </w:tc>
                            </w:tr>
                            <w:tr w:rsidR="0080270B"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80" w:after="8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 w:rsidP="005E3622">
                                  <w:pPr>
                                    <w:spacing w:before="80" w:after="8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14 %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 w:rsidP="005E3622">
                                  <w:pPr>
                                    <w:spacing w:before="80" w:after="8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49 %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0270B" w:rsidRDefault="0080270B" w:rsidP="005E3622">
                                  <w:pPr>
                                    <w:spacing w:before="80" w:after="8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37 %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80" w:after="8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100 %</w:t>
                                  </w:r>
                                </w:p>
                              </w:tc>
                            </w:tr>
                          </w:tbl>
                          <w:p w:rsidR="0080270B" w:rsidRDefault="008027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0" type="#_x0000_t202" style="position:absolute;left:0;text-align:left;margin-left:268.4pt;margin-top:14pt;width:273.6pt;height:96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hcyuAIAAMQ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" o:allowincell="f" filled="f" stroked="f">
                <v:textbox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34"/>
                        <w:gridCol w:w="964"/>
                        <w:gridCol w:w="964"/>
                        <w:gridCol w:w="964"/>
                        <w:gridCol w:w="964"/>
                      </w:tblGrid>
                      <w:tr w:rsidR="0080270B"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80" w:after="80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>
                            <w:pPr>
                              <w:pStyle w:val="Titre7"/>
                              <w:spacing w:before="80" w:after="8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Hausse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>
                            <w:pPr>
                              <w:spacing w:before="80" w:after="8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Stable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FFFFCC"/>
                          </w:tcPr>
                          <w:p w:rsidR="0080270B" w:rsidRDefault="0080270B">
                            <w:pPr>
                              <w:spacing w:before="80" w:after="8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Baisse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>
                            <w:pPr>
                              <w:spacing w:before="80" w:after="8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Ens.</w:t>
                            </w:r>
                          </w:p>
                        </w:tc>
                      </w:tr>
                      <w:tr w:rsidR="0080270B"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pStyle w:val="Titre6"/>
                              <w:tabs>
                                <w:tab w:val="clear" w:pos="851"/>
                              </w:tabs>
                              <w:spacing w:before="80" w:after="8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Ile de France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 w:rsidP="00505919">
                            <w:pPr>
                              <w:spacing w:before="200" w:after="8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21 %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 w:rsidP="005E3622">
                            <w:pPr>
                              <w:spacing w:before="200" w:after="8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38 %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80270B" w:rsidRDefault="0080270B" w:rsidP="008F19FB">
                            <w:pPr>
                              <w:spacing w:before="200" w:after="8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41 %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200" w:after="8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100 %</w:t>
                            </w:r>
                          </w:p>
                        </w:tc>
                      </w:tr>
                      <w:tr w:rsidR="0080270B"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80" w:after="8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Province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 w:rsidP="005E3622">
                            <w:pPr>
                              <w:spacing w:before="80" w:after="8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14 %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 w:rsidP="005E3622">
                            <w:pPr>
                              <w:spacing w:before="80" w:after="8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49 %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80270B" w:rsidRDefault="0080270B" w:rsidP="005E3622">
                            <w:pPr>
                              <w:spacing w:before="80" w:after="8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37 %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80" w:after="8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100 %</w:t>
                            </w:r>
                          </w:p>
                        </w:tc>
                      </w:tr>
                    </w:tbl>
                    <w:p w:rsidR="0080270B" w:rsidRDefault="0080270B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177800</wp:posOffset>
                </wp:positionV>
                <wp:extent cx="3474720" cy="1231265"/>
                <wp:effectExtent l="635" t="0" r="1270" b="635"/>
                <wp:wrapTopAndBottom/>
                <wp:docPr id="1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231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34"/>
                              <w:gridCol w:w="964"/>
                              <w:gridCol w:w="964"/>
                              <w:gridCol w:w="964"/>
                              <w:gridCol w:w="964"/>
                            </w:tblGrid>
                            <w:tr w:rsidR="0080270B"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80" w:after="80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>
                                  <w:pPr>
                                    <w:pStyle w:val="Titre7"/>
                                    <w:spacing w:before="80" w:after="80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Hausse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>
                                  <w:pPr>
                                    <w:spacing w:before="80" w:after="8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Stable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CC"/>
                                </w:tcPr>
                                <w:p w:rsidR="0080270B" w:rsidRDefault="0080270B">
                                  <w:pPr>
                                    <w:pStyle w:val="Titre5"/>
                                    <w:spacing w:before="80" w:after="80"/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>Baisse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CC"/>
                                </w:tcPr>
                                <w:p w:rsidR="0080270B" w:rsidRDefault="0080270B">
                                  <w:pPr>
                                    <w:spacing w:before="80" w:after="8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Ens.</w:t>
                                  </w:r>
                                </w:p>
                              </w:tc>
                            </w:tr>
                            <w:tr w:rsidR="0080270B"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pStyle w:val="Titre6"/>
                                    <w:tabs>
                                      <w:tab w:val="clear" w:pos="851"/>
                                    </w:tabs>
                                    <w:spacing w:before="80" w:after="80"/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>Ile de France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200" w:after="8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21 %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 w:rsidP="005E3622">
                                  <w:pPr>
                                    <w:spacing w:before="200" w:after="8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32 %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0270B" w:rsidRDefault="0080270B" w:rsidP="00505919">
                                  <w:pPr>
                                    <w:spacing w:before="200" w:after="8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47 %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200" w:after="8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100 %</w:t>
                                  </w:r>
                                </w:p>
                              </w:tc>
                            </w:tr>
                            <w:tr w:rsidR="0080270B"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80" w:after="80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 w:rsidP="005E3622">
                                  <w:pPr>
                                    <w:spacing w:before="80" w:after="8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21 %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 w:rsidP="005E3622">
                                  <w:pPr>
                                    <w:spacing w:before="80" w:after="8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40 %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0270B" w:rsidRDefault="0080270B" w:rsidP="00505919">
                                  <w:pPr>
                                    <w:spacing w:before="80" w:after="80"/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39 %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0270B" w:rsidRDefault="0080270B">
                                  <w:pPr>
                                    <w:spacing w:before="80" w:after="80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4"/>
                                    </w:rPr>
                                    <w:t>100 %</w:t>
                                  </w:r>
                                </w:p>
                              </w:tc>
                            </w:tr>
                          </w:tbl>
                          <w:p w:rsidR="0080270B" w:rsidRDefault="008027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1" type="#_x0000_t202" style="position:absolute;left:0;text-align:left;margin-left:-5.2pt;margin-top:14pt;width:273.6pt;height:96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" o:allowincell="f" filled="f" stroked="f">
                <v:textbox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34"/>
                        <w:gridCol w:w="964"/>
                        <w:gridCol w:w="964"/>
                        <w:gridCol w:w="964"/>
                        <w:gridCol w:w="964"/>
                      </w:tblGrid>
                      <w:tr w:rsidR="0080270B"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80" w:after="80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>
                            <w:pPr>
                              <w:pStyle w:val="Titre7"/>
                              <w:spacing w:before="80" w:after="8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Hausse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>
                            <w:pPr>
                              <w:spacing w:before="80" w:after="8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Stable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FFFFCC"/>
                          </w:tcPr>
                          <w:p w:rsidR="0080270B" w:rsidRDefault="0080270B">
                            <w:pPr>
                              <w:pStyle w:val="Titre5"/>
                              <w:spacing w:before="80" w:after="8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Baisse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CC"/>
                          </w:tcPr>
                          <w:p w:rsidR="0080270B" w:rsidRDefault="0080270B">
                            <w:pPr>
                              <w:spacing w:before="80" w:after="8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Ens.</w:t>
                            </w:r>
                          </w:p>
                        </w:tc>
                      </w:tr>
                      <w:tr w:rsidR="0080270B"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pStyle w:val="Titre6"/>
                              <w:tabs>
                                <w:tab w:val="clear" w:pos="851"/>
                              </w:tabs>
                              <w:spacing w:before="80" w:after="8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Ile de France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200" w:after="8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21 %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 w:rsidP="005E3622">
                            <w:pPr>
                              <w:spacing w:before="200" w:after="8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32 %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80270B" w:rsidRDefault="0080270B" w:rsidP="00505919">
                            <w:pPr>
                              <w:spacing w:before="200" w:after="8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47 %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200" w:after="8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100 %</w:t>
                            </w:r>
                          </w:p>
                        </w:tc>
                      </w:tr>
                      <w:tr w:rsidR="0080270B"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80" w:after="80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Province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 w:rsidP="005E3622">
                            <w:pPr>
                              <w:spacing w:before="80" w:after="8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21 %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 w:rsidP="005E3622">
                            <w:pPr>
                              <w:spacing w:before="80" w:after="8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40 %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80270B" w:rsidRDefault="0080270B" w:rsidP="00505919">
                            <w:pPr>
                              <w:spacing w:before="80" w:after="8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39 %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0270B" w:rsidRDefault="0080270B">
                            <w:pPr>
                              <w:spacing w:before="80" w:after="8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100 %</w:t>
                            </w:r>
                          </w:p>
                        </w:tc>
                      </w:tr>
                    </w:tbl>
                    <w:p w:rsidR="0080270B" w:rsidRDefault="0080270B"/>
                  </w:txbxContent>
                </v:textbox>
                <w10:wrap type="topAndBottom"/>
              </v:shape>
            </w:pict>
          </mc:Fallback>
        </mc:AlternateContent>
      </w:r>
      <w:r w:rsidR="00D82A40">
        <w:rPr>
          <w:rFonts w:ascii="Arial Narrow" w:hAnsi="Arial Narrow"/>
          <w:i/>
          <w:sz w:val="24"/>
        </w:rPr>
        <w:tab/>
        <w:t>(% d’entreprises)</w:t>
      </w:r>
      <w:r w:rsidR="00D82A40">
        <w:rPr>
          <w:rFonts w:ascii="Arial Narrow" w:hAnsi="Arial Narrow"/>
          <w:i/>
          <w:sz w:val="24"/>
        </w:rPr>
        <w:tab/>
        <w:t xml:space="preserve"> (% d’entreprises)</w:t>
      </w:r>
    </w:p>
    <w:p w:rsidR="00121F4E" w:rsidRDefault="00121F4E">
      <w:pPr>
        <w:pStyle w:val="En-tte"/>
        <w:tabs>
          <w:tab w:val="clear" w:pos="4536"/>
          <w:tab w:val="clear" w:pos="9072"/>
          <w:tab w:val="left" w:pos="1985"/>
          <w:tab w:val="left" w:pos="7938"/>
        </w:tabs>
        <w:jc w:val="both"/>
        <w:rPr>
          <w:b/>
          <w:sz w:val="8"/>
        </w:rPr>
      </w:pPr>
    </w:p>
    <w:p w:rsidR="00A97DFE" w:rsidRDefault="0080270B" w:rsidP="00AA4033">
      <w:pPr>
        <w:pStyle w:val="En-t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4536"/>
          <w:tab w:val="clear" w:pos="9072"/>
        </w:tabs>
        <w:jc w:val="center"/>
        <w:rPr>
          <w:rFonts w:ascii="Arial Narrow" w:hAnsi="Arial Narrow"/>
          <w:b/>
          <w:color w:val="0000FF"/>
          <w:sz w:val="24"/>
        </w:rPr>
      </w:pPr>
      <w:r>
        <w:rPr>
          <w:rFonts w:ascii="Arial Narrow" w:hAnsi="Arial Narrow"/>
          <w:b/>
          <w:color w:val="0000FF"/>
          <w:sz w:val="24"/>
        </w:rPr>
        <w:t>Vers un raffermissement de l’activité ?</w:t>
      </w:r>
    </w:p>
    <w:p w:rsidR="00AD3E32" w:rsidRPr="00741F0B" w:rsidRDefault="00AD3E32" w:rsidP="00D1130B">
      <w:pPr>
        <w:pStyle w:val="En-t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4536"/>
          <w:tab w:val="clear" w:pos="9072"/>
        </w:tabs>
        <w:jc w:val="both"/>
        <w:rPr>
          <w:rFonts w:ascii="Arial Narrow" w:hAnsi="Arial Narrow"/>
          <w:sz w:val="16"/>
          <w:szCs w:val="16"/>
        </w:rPr>
      </w:pPr>
    </w:p>
    <w:p w:rsidR="00D32FA4" w:rsidRDefault="0080270B" w:rsidP="00D1130B">
      <w:pPr>
        <w:pStyle w:val="En-t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4536"/>
          <w:tab w:val="clear" w:pos="9072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La chute</w:t>
      </w:r>
      <w:r w:rsidR="00B01F6E">
        <w:rPr>
          <w:rFonts w:ascii="Arial Narrow" w:hAnsi="Arial Narrow"/>
          <w:sz w:val="24"/>
        </w:rPr>
        <w:t xml:space="preserve"> des ventes </w:t>
      </w:r>
      <w:r>
        <w:rPr>
          <w:rFonts w:ascii="Arial Narrow" w:hAnsi="Arial Narrow"/>
          <w:sz w:val="24"/>
        </w:rPr>
        <w:t xml:space="preserve">enregistrée au cours de l’année écoulée </w:t>
      </w:r>
      <w:r w:rsidR="00B01F6E">
        <w:rPr>
          <w:rFonts w:ascii="Arial Narrow" w:hAnsi="Arial Narrow"/>
          <w:sz w:val="24"/>
        </w:rPr>
        <w:t xml:space="preserve">pourrait </w:t>
      </w:r>
      <w:r>
        <w:rPr>
          <w:rFonts w:ascii="Arial Narrow" w:hAnsi="Arial Narrow"/>
          <w:sz w:val="24"/>
        </w:rPr>
        <w:t>laisser place à une baisse plus modérée au printemps 2012. Désormais, les agents immobiliers sont aussi nombreux à appréhender une baisse de leur activité qu’à miser sur une stabilisation pour les mois à venir. Plus d’un cinquième (21 % précisément) espèrent une reprise pour cette période. Les professionnels implantés en Ile de France se montrent plus inquiets que leurs confrères en province.</w:t>
      </w:r>
      <w:r w:rsidR="008D29DF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De la même façon</w:t>
      </w:r>
      <w:r w:rsidR="00D32FA4">
        <w:rPr>
          <w:rFonts w:ascii="Arial Narrow" w:hAnsi="Arial Narrow"/>
          <w:sz w:val="24"/>
        </w:rPr>
        <w:t>, les avis sur les anticipations d’activité dans le locatif sont</w:t>
      </w:r>
      <w:r w:rsidR="00E5083C">
        <w:rPr>
          <w:rFonts w:ascii="Arial Narrow" w:hAnsi="Arial Narrow"/>
          <w:sz w:val="24"/>
        </w:rPr>
        <w:t xml:space="preserve"> partag</w:t>
      </w:r>
      <w:r>
        <w:rPr>
          <w:rFonts w:ascii="Arial Narrow" w:hAnsi="Arial Narrow"/>
          <w:sz w:val="24"/>
        </w:rPr>
        <w:t>és équitablement</w:t>
      </w:r>
      <w:r w:rsidR="00E80736">
        <w:rPr>
          <w:rFonts w:ascii="Arial Narrow" w:hAnsi="Arial Narrow"/>
          <w:sz w:val="24"/>
        </w:rPr>
        <w:t xml:space="preserve"> entre ceux qui projettent</w:t>
      </w:r>
      <w:r w:rsidR="00D32FA4">
        <w:rPr>
          <w:rFonts w:ascii="Arial Narrow" w:hAnsi="Arial Narrow"/>
          <w:sz w:val="24"/>
        </w:rPr>
        <w:t xml:space="preserve"> une stabilité et ceux qui affichent un certain pessimisme pour le futur. </w:t>
      </w:r>
    </w:p>
    <w:p w:rsidR="00D32FA4" w:rsidRPr="003274D3" w:rsidRDefault="00D32FA4" w:rsidP="00D1130B">
      <w:pPr>
        <w:pStyle w:val="En-t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4536"/>
          <w:tab w:val="clear" w:pos="9072"/>
        </w:tabs>
        <w:jc w:val="both"/>
        <w:rPr>
          <w:rFonts w:ascii="Arial Narrow" w:hAnsi="Arial Narrow"/>
          <w:sz w:val="22"/>
          <w:szCs w:val="22"/>
        </w:rPr>
      </w:pPr>
    </w:p>
    <w:p w:rsidR="006C2C4F" w:rsidRDefault="00E80736" w:rsidP="00D1130B">
      <w:pPr>
        <w:pStyle w:val="En-t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4536"/>
          <w:tab w:val="clear" w:pos="9072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Compte tenu de la crise actuelle du marché de l’immobilier, à peine plus de 10 % des entreprises envisagent d’intégrer de nouveaux effectifs pour les prochains mois. </w:t>
      </w:r>
      <w:r w:rsidR="00D07D3C">
        <w:rPr>
          <w:rFonts w:ascii="Arial Narrow" w:hAnsi="Arial Narrow"/>
          <w:sz w:val="24"/>
        </w:rPr>
        <w:t>Les</w:t>
      </w:r>
      <w:r w:rsidR="002C630D">
        <w:rPr>
          <w:rFonts w:ascii="Arial Narrow" w:hAnsi="Arial Narrow"/>
          <w:sz w:val="24"/>
        </w:rPr>
        <w:t xml:space="preserve"> recrutements</w:t>
      </w:r>
      <w:r w:rsidR="00D32FA4">
        <w:rPr>
          <w:rFonts w:ascii="Arial Narrow" w:hAnsi="Arial Narrow"/>
          <w:sz w:val="24"/>
        </w:rPr>
        <w:t xml:space="preserve"> devraient concerner</w:t>
      </w:r>
      <w:r w:rsidR="004744A2">
        <w:rPr>
          <w:rFonts w:ascii="Arial Narrow" w:hAnsi="Arial Narrow"/>
          <w:sz w:val="24"/>
        </w:rPr>
        <w:t xml:space="preserve"> les </w:t>
      </w:r>
      <w:r w:rsidR="003274D3">
        <w:rPr>
          <w:rFonts w:ascii="Arial Narrow" w:hAnsi="Arial Narrow"/>
          <w:sz w:val="24"/>
        </w:rPr>
        <w:t>agents commerciaux pour</w:t>
      </w:r>
      <w:r w:rsidR="003274D3">
        <w:rPr>
          <w:rFonts w:ascii="Arial Narrow" w:hAnsi="Arial Narrow"/>
          <w:sz w:val="24"/>
        </w:rPr>
        <w:br/>
      </w:r>
      <w:r>
        <w:rPr>
          <w:rFonts w:ascii="Arial Narrow" w:hAnsi="Arial Narrow"/>
          <w:sz w:val="24"/>
        </w:rPr>
        <w:t>7</w:t>
      </w:r>
      <w:r w:rsidR="00A703FF">
        <w:rPr>
          <w:rFonts w:ascii="Arial Narrow" w:hAnsi="Arial Narrow"/>
          <w:sz w:val="24"/>
        </w:rPr>
        <w:t xml:space="preserve"> %</w:t>
      </w:r>
      <w:r w:rsidR="00D32FA4">
        <w:rPr>
          <w:rFonts w:ascii="Arial Narrow" w:hAnsi="Arial Narrow"/>
          <w:sz w:val="24"/>
        </w:rPr>
        <w:t xml:space="preserve"> des agences</w:t>
      </w:r>
      <w:r w:rsidR="00A703FF">
        <w:rPr>
          <w:rFonts w:ascii="Arial Narrow" w:hAnsi="Arial Narrow"/>
          <w:sz w:val="24"/>
        </w:rPr>
        <w:t xml:space="preserve">, </w:t>
      </w:r>
      <w:r w:rsidR="00D07D3C">
        <w:rPr>
          <w:rFonts w:ascii="Arial Narrow" w:hAnsi="Arial Narrow"/>
          <w:sz w:val="24"/>
        </w:rPr>
        <w:t>mais égaleme</w:t>
      </w:r>
      <w:r w:rsidR="00D32FA4">
        <w:rPr>
          <w:rFonts w:ascii="Arial Narrow" w:hAnsi="Arial Narrow"/>
          <w:sz w:val="24"/>
        </w:rPr>
        <w:t>nt du personnel administratif (2</w:t>
      </w:r>
      <w:r w:rsidR="00D07D3C">
        <w:rPr>
          <w:rFonts w:ascii="Arial Narrow" w:hAnsi="Arial Narrow"/>
          <w:sz w:val="24"/>
        </w:rPr>
        <w:t xml:space="preserve"> %)</w:t>
      </w:r>
      <w:r w:rsidR="00D32FA4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et des négociateurs salariés (</w:t>
      </w:r>
      <w:r w:rsidR="00D32FA4">
        <w:rPr>
          <w:rFonts w:ascii="Arial Narrow" w:hAnsi="Arial Narrow"/>
          <w:sz w:val="24"/>
        </w:rPr>
        <w:t>5</w:t>
      </w:r>
      <w:r w:rsidR="00D07D3C">
        <w:rPr>
          <w:rFonts w:ascii="Arial Narrow" w:hAnsi="Arial Narrow"/>
          <w:sz w:val="24"/>
        </w:rPr>
        <w:t xml:space="preserve"> %)</w:t>
      </w:r>
      <w:r w:rsidR="003274D3">
        <w:rPr>
          <w:rFonts w:ascii="Arial Narrow" w:hAnsi="Arial Narrow"/>
          <w:sz w:val="24"/>
        </w:rPr>
        <w:t>.</w:t>
      </w:r>
    </w:p>
    <w:p w:rsidR="00D32FA4" w:rsidRPr="003274D3" w:rsidRDefault="00D32FA4" w:rsidP="00D1130B">
      <w:pPr>
        <w:pStyle w:val="En-t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4536"/>
          <w:tab w:val="clear" w:pos="9072"/>
        </w:tabs>
        <w:jc w:val="both"/>
        <w:rPr>
          <w:rFonts w:ascii="Arial Narrow" w:hAnsi="Arial Narrow"/>
          <w:sz w:val="16"/>
          <w:szCs w:val="16"/>
        </w:rPr>
      </w:pPr>
    </w:p>
    <w:p w:rsidR="00B6614E" w:rsidRDefault="00B6614E" w:rsidP="00A30330">
      <w:pPr>
        <w:pStyle w:val="En-tte"/>
        <w:tabs>
          <w:tab w:val="clear" w:pos="4536"/>
          <w:tab w:val="clear" w:pos="9072"/>
        </w:tabs>
        <w:rPr>
          <w:b/>
          <w:sz w:val="8"/>
          <w:szCs w:val="8"/>
        </w:rPr>
      </w:pPr>
    </w:p>
    <w:p w:rsidR="00D82A40" w:rsidRDefault="00D82A40" w:rsidP="00A30330">
      <w:pPr>
        <w:pStyle w:val="En-tte"/>
        <w:tabs>
          <w:tab w:val="clear" w:pos="4536"/>
          <w:tab w:val="clear" w:pos="9072"/>
        </w:tabs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Intentions de recrutement</w:t>
      </w:r>
    </w:p>
    <w:p w:rsidR="00D82A40" w:rsidRDefault="00D82A40">
      <w:pPr>
        <w:jc w:val="center"/>
        <w:rPr>
          <w:rFonts w:ascii="Arial Narrow" w:hAnsi="Arial Narrow"/>
          <w:i/>
          <w:sz w:val="2"/>
          <w:szCs w:val="2"/>
        </w:rPr>
      </w:pPr>
    </w:p>
    <w:p w:rsidR="00D82A40" w:rsidRDefault="00D82A40">
      <w:pPr>
        <w:tabs>
          <w:tab w:val="left" w:pos="567"/>
          <w:tab w:val="left" w:pos="6804"/>
        </w:tabs>
        <w:ind w:firstLine="567"/>
        <w:rPr>
          <w:rFonts w:ascii="Arial Narrow" w:hAnsi="Arial Narrow"/>
          <w:iCs/>
          <w:sz w:val="24"/>
          <w:szCs w:val="24"/>
        </w:rPr>
      </w:pPr>
      <w:r>
        <w:rPr>
          <w:rFonts w:ascii="Arial Narrow" w:hAnsi="Arial Narrow"/>
          <w:b/>
          <w:bCs/>
          <w:iCs/>
          <w:sz w:val="24"/>
          <w:szCs w:val="24"/>
        </w:rPr>
        <w:t>Entreprises envisageant de recruter</w:t>
      </w:r>
      <w:r>
        <w:rPr>
          <w:rFonts w:ascii="Arial Narrow" w:hAnsi="Arial Narrow"/>
          <w:b/>
          <w:bCs/>
          <w:iCs/>
          <w:sz w:val="24"/>
          <w:szCs w:val="24"/>
        </w:rPr>
        <w:tab/>
        <w:t>Fonctions concernées</w:t>
      </w:r>
    </w:p>
    <w:p w:rsidR="00D82A40" w:rsidRPr="00FD1F68" w:rsidRDefault="003274D3">
      <w:pPr>
        <w:tabs>
          <w:tab w:val="left" w:pos="6946"/>
        </w:tabs>
        <w:jc w:val="both"/>
      </w:pPr>
      <w:r>
        <w:rPr>
          <w:noProof/>
        </w:rPr>
        <w:drawing>
          <wp:anchor distT="0" distB="0" distL="114300" distR="114300" simplePos="0" relativeHeight="252195328" behindDoc="0" locked="0" layoutInCell="1" allowOverlap="1" wp14:anchorId="1CED2B70" wp14:editId="51A81698">
            <wp:simplePos x="0" y="0"/>
            <wp:positionH relativeFrom="column">
              <wp:posOffset>-127000</wp:posOffset>
            </wp:positionH>
            <wp:positionV relativeFrom="paragraph">
              <wp:posOffset>5715</wp:posOffset>
            </wp:positionV>
            <wp:extent cx="3304540" cy="2051685"/>
            <wp:effectExtent l="0" t="0" r="0" b="0"/>
            <wp:wrapNone/>
            <wp:docPr id="14" name="Graphique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044">
        <w:rPr>
          <w:noProof/>
        </w:rPr>
        <w:drawing>
          <wp:anchor distT="0" distB="0" distL="114300" distR="114300" simplePos="0" relativeHeight="252177920" behindDoc="0" locked="0" layoutInCell="1" allowOverlap="1" wp14:anchorId="3EE528EE" wp14:editId="786008B3">
            <wp:simplePos x="0" y="0"/>
            <wp:positionH relativeFrom="column">
              <wp:posOffset>3262103</wp:posOffset>
            </wp:positionH>
            <wp:positionV relativeFrom="paragraph">
              <wp:posOffset>131097</wp:posOffset>
            </wp:positionV>
            <wp:extent cx="3638550" cy="2053087"/>
            <wp:effectExtent l="19050" t="0" r="0" b="0"/>
            <wp:wrapNone/>
            <wp:docPr id="2023" name="Graphique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  <w:r w:rsidR="00B25044" w:rsidRPr="00B25044">
        <w:rPr>
          <w:noProof/>
        </w:rPr>
        <w:t xml:space="preserve"> </w:t>
      </w:r>
      <w:r w:rsidR="006C26B9" w:rsidRPr="006C26B9">
        <w:t xml:space="preserve"> </w:t>
      </w:r>
    </w:p>
    <w:sectPr w:rsidR="00D82A40" w:rsidRPr="00FD1F68" w:rsidSect="00E1788A">
      <w:footerReference w:type="default" r:id="rId30"/>
      <w:type w:val="continuous"/>
      <w:pgSz w:w="11906" w:h="16838" w:code="9"/>
      <w:pgMar w:top="851" w:right="851" w:bottom="567" w:left="680" w:header="720" w:footer="340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B90" w:rsidRDefault="00B46B90">
      <w:r>
        <w:separator/>
      </w:r>
    </w:p>
  </w:endnote>
  <w:endnote w:type="continuationSeparator" w:id="0">
    <w:p w:rsidR="00B46B90" w:rsidRDefault="00B4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70B" w:rsidRDefault="0080270B" w:rsidP="00CC4C27">
    <w:pPr>
      <w:pStyle w:val="Pieddepage"/>
      <w:tabs>
        <w:tab w:val="clear" w:pos="4536"/>
        <w:tab w:val="clear" w:pos="9072"/>
        <w:tab w:val="left" w:pos="284"/>
        <w:tab w:val="left" w:pos="2835"/>
        <w:tab w:val="left" w:pos="7371"/>
      </w:tabs>
      <w:jc w:val="right"/>
      <w:rPr>
        <w:rFonts w:ascii="Arial Narrow" w:hAnsi="Arial Narrow"/>
      </w:rPr>
    </w:pPr>
    <w:r>
      <w:tab/>
    </w:r>
    <w:r>
      <w:rPr>
        <w:rFonts w:ascii="Arial Narrow" w:hAnsi="Arial Narrow"/>
        <w:bdr w:val="single" w:sz="4" w:space="0" w:color="auto"/>
        <w:shd w:val="clear" w:color="auto" w:fill="FFFFFF"/>
      </w:rPr>
      <w:t xml:space="preserve">Observatoire de conjoncture SNPI / Institut I + C - Activité de Janvier-Février-Mars 2013     </w:t>
    </w:r>
    <w:r w:rsidR="00E4211A">
      <w:rPr>
        <w:rStyle w:val="Numrodepage"/>
        <w:rFonts w:ascii="Arial Narrow" w:hAnsi="Arial Narrow"/>
        <w:bdr w:val="single" w:sz="4" w:space="0" w:color="auto"/>
        <w:shd w:val="clear" w:color="auto" w:fill="FFFFFF"/>
      </w:rPr>
      <w:fldChar w:fldCharType="begin"/>
    </w:r>
    <w:r>
      <w:rPr>
        <w:rStyle w:val="Numrodepage"/>
        <w:rFonts w:ascii="Arial Narrow" w:hAnsi="Arial Narrow"/>
        <w:bdr w:val="single" w:sz="4" w:space="0" w:color="auto"/>
        <w:shd w:val="clear" w:color="auto" w:fill="FFFFFF"/>
      </w:rPr>
      <w:instrText xml:space="preserve"> PAGE </w:instrText>
    </w:r>
    <w:r w:rsidR="00E4211A">
      <w:rPr>
        <w:rStyle w:val="Numrodepage"/>
        <w:rFonts w:ascii="Arial Narrow" w:hAnsi="Arial Narrow"/>
        <w:bdr w:val="single" w:sz="4" w:space="0" w:color="auto"/>
        <w:shd w:val="clear" w:color="auto" w:fill="FFFFFF"/>
      </w:rPr>
      <w:fldChar w:fldCharType="separate"/>
    </w:r>
    <w:r w:rsidR="00DC1278">
      <w:rPr>
        <w:rStyle w:val="Numrodepage"/>
        <w:rFonts w:ascii="Arial Narrow" w:hAnsi="Arial Narrow"/>
        <w:noProof/>
        <w:bdr w:val="single" w:sz="4" w:space="0" w:color="auto"/>
        <w:shd w:val="clear" w:color="auto" w:fill="FFFFFF"/>
      </w:rPr>
      <w:t>6</w:t>
    </w:r>
    <w:r w:rsidR="00E4211A">
      <w:rPr>
        <w:rStyle w:val="Numrodepage"/>
        <w:rFonts w:ascii="Arial Narrow" w:hAnsi="Arial Narrow"/>
        <w:bdr w:val="single" w:sz="4" w:space="0" w:color="auto"/>
        <w:shd w:val="clear" w:color="auto" w:fill="FFFFFF"/>
      </w:rPr>
      <w:fldChar w:fldCharType="end"/>
    </w:r>
    <w:r>
      <w:rPr>
        <w:rStyle w:val="Numrodepage"/>
        <w:rFonts w:ascii="Arial Narrow" w:hAnsi="Arial Narrow"/>
        <w:bdr w:val="single" w:sz="4" w:space="0" w:color="auto"/>
        <w:shd w:val="clear" w:color="auto" w:fill="FFFFFF"/>
      </w:rPr>
      <w:t>/7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B90" w:rsidRDefault="00B46B90">
      <w:r>
        <w:separator/>
      </w:r>
    </w:p>
  </w:footnote>
  <w:footnote w:type="continuationSeparator" w:id="0">
    <w:p w:rsidR="00B46B90" w:rsidRDefault="00B46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4E54"/>
    <w:multiLevelType w:val="hybridMultilevel"/>
    <w:tmpl w:val="FAD69018"/>
    <w:lvl w:ilvl="0" w:tplc="DEE6A61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2D95"/>
    <w:multiLevelType w:val="multilevel"/>
    <w:tmpl w:val="21344AA6"/>
    <w:lvl w:ilvl="0">
      <w:start w:val="1"/>
      <w:numFmt w:val="upperRoman"/>
      <w:lvlText w:val="%1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">
    <w:nsid w:val="269609D6"/>
    <w:multiLevelType w:val="hybridMultilevel"/>
    <w:tmpl w:val="1D3E3018"/>
    <w:lvl w:ilvl="0" w:tplc="E108872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C21D3"/>
    <w:multiLevelType w:val="hybridMultilevel"/>
    <w:tmpl w:val="21344AA6"/>
    <w:lvl w:ilvl="0" w:tplc="896C6F24">
      <w:start w:val="1"/>
      <w:numFmt w:val="upperRoman"/>
      <w:lvlText w:val="%1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4">
    <w:nsid w:val="3AB02777"/>
    <w:multiLevelType w:val="hybridMultilevel"/>
    <w:tmpl w:val="78DE6EC2"/>
    <w:lvl w:ilvl="0" w:tplc="EA7642AE">
      <w:start w:val="1"/>
      <w:numFmt w:val="upperRoman"/>
      <w:lvlText w:val="%1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5">
    <w:nsid w:val="3B102163"/>
    <w:multiLevelType w:val="hybridMultilevel"/>
    <w:tmpl w:val="0F22D184"/>
    <w:lvl w:ilvl="0" w:tplc="ABCACEB8">
      <w:numFmt w:val="bullet"/>
      <w:lvlText w:val="-"/>
      <w:lvlJc w:val="left"/>
      <w:pPr>
        <w:ind w:left="232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</w:abstractNum>
  <w:abstractNum w:abstractNumId="6">
    <w:nsid w:val="41EF2BF4"/>
    <w:multiLevelType w:val="hybridMultilevel"/>
    <w:tmpl w:val="B596EB06"/>
    <w:lvl w:ilvl="0" w:tplc="2D56840E"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65B496A"/>
    <w:multiLevelType w:val="hybridMultilevel"/>
    <w:tmpl w:val="712AB94A"/>
    <w:lvl w:ilvl="0" w:tplc="AE44DB7A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8F47C9"/>
    <w:multiLevelType w:val="hybridMultilevel"/>
    <w:tmpl w:val="36FCDB3A"/>
    <w:lvl w:ilvl="0" w:tplc="24AEAE4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F73D5"/>
    <w:multiLevelType w:val="singleLevel"/>
    <w:tmpl w:val="165E729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7A171688"/>
    <w:multiLevelType w:val="hybridMultilevel"/>
    <w:tmpl w:val="23D86D46"/>
    <w:lvl w:ilvl="0" w:tplc="BB0EA15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B0D53"/>
    <w:multiLevelType w:val="hybridMultilevel"/>
    <w:tmpl w:val="9A82F264"/>
    <w:lvl w:ilvl="0" w:tplc="FF40E2A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11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A5"/>
    <w:rsid w:val="00000469"/>
    <w:rsid w:val="000020D8"/>
    <w:rsid w:val="00002992"/>
    <w:rsid w:val="00003831"/>
    <w:rsid w:val="00004003"/>
    <w:rsid w:val="0000443A"/>
    <w:rsid w:val="00005110"/>
    <w:rsid w:val="00005A51"/>
    <w:rsid w:val="000061B5"/>
    <w:rsid w:val="000077ED"/>
    <w:rsid w:val="00010842"/>
    <w:rsid w:val="00011EE6"/>
    <w:rsid w:val="000135A6"/>
    <w:rsid w:val="000144AA"/>
    <w:rsid w:val="00015230"/>
    <w:rsid w:val="00015D71"/>
    <w:rsid w:val="000166E1"/>
    <w:rsid w:val="000171DD"/>
    <w:rsid w:val="000173C1"/>
    <w:rsid w:val="00017DEF"/>
    <w:rsid w:val="0002330C"/>
    <w:rsid w:val="0002392D"/>
    <w:rsid w:val="000257E9"/>
    <w:rsid w:val="00025FF4"/>
    <w:rsid w:val="0002770F"/>
    <w:rsid w:val="00027CA4"/>
    <w:rsid w:val="00030957"/>
    <w:rsid w:val="00030D8F"/>
    <w:rsid w:val="00031015"/>
    <w:rsid w:val="000323BF"/>
    <w:rsid w:val="00032792"/>
    <w:rsid w:val="00032952"/>
    <w:rsid w:val="00032ED4"/>
    <w:rsid w:val="0003355B"/>
    <w:rsid w:val="000340F4"/>
    <w:rsid w:val="0003498F"/>
    <w:rsid w:val="0003603B"/>
    <w:rsid w:val="00036065"/>
    <w:rsid w:val="00037250"/>
    <w:rsid w:val="00037883"/>
    <w:rsid w:val="00040010"/>
    <w:rsid w:val="00040354"/>
    <w:rsid w:val="0004170A"/>
    <w:rsid w:val="00041B66"/>
    <w:rsid w:val="0004326E"/>
    <w:rsid w:val="00045369"/>
    <w:rsid w:val="00046C81"/>
    <w:rsid w:val="00046EE7"/>
    <w:rsid w:val="00051641"/>
    <w:rsid w:val="00051D94"/>
    <w:rsid w:val="00052645"/>
    <w:rsid w:val="00052773"/>
    <w:rsid w:val="00053E2C"/>
    <w:rsid w:val="00053E66"/>
    <w:rsid w:val="00054BE4"/>
    <w:rsid w:val="00054E25"/>
    <w:rsid w:val="000570EF"/>
    <w:rsid w:val="00057486"/>
    <w:rsid w:val="000622A6"/>
    <w:rsid w:val="00062A6C"/>
    <w:rsid w:val="000633FE"/>
    <w:rsid w:val="00065AF2"/>
    <w:rsid w:val="0007040B"/>
    <w:rsid w:val="000709BB"/>
    <w:rsid w:val="00070AFF"/>
    <w:rsid w:val="00070E67"/>
    <w:rsid w:val="00071580"/>
    <w:rsid w:val="00071C60"/>
    <w:rsid w:val="00071CEA"/>
    <w:rsid w:val="00071E22"/>
    <w:rsid w:val="00074E33"/>
    <w:rsid w:val="0007524C"/>
    <w:rsid w:val="000759E3"/>
    <w:rsid w:val="0007769D"/>
    <w:rsid w:val="0008072C"/>
    <w:rsid w:val="000809AB"/>
    <w:rsid w:val="00080A49"/>
    <w:rsid w:val="000816B1"/>
    <w:rsid w:val="00081855"/>
    <w:rsid w:val="000826E2"/>
    <w:rsid w:val="00082CDA"/>
    <w:rsid w:val="000836D3"/>
    <w:rsid w:val="00086908"/>
    <w:rsid w:val="0009027E"/>
    <w:rsid w:val="00090F96"/>
    <w:rsid w:val="0009121A"/>
    <w:rsid w:val="00092C9A"/>
    <w:rsid w:val="00092F9C"/>
    <w:rsid w:val="000943A6"/>
    <w:rsid w:val="000A2073"/>
    <w:rsid w:val="000A2400"/>
    <w:rsid w:val="000A2655"/>
    <w:rsid w:val="000A2867"/>
    <w:rsid w:val="000A3018"/>
    <w:rsid w:val="000A434A"/>
    <w:rsid w:val="000A4393"/>
    <w:rsid w:val="000A5D1E"/>
    <w:rsid w:val="000A5DEE"/>
    <w:rsid w:val="000A660A"/>
    <w:rsid w:val="000A6CAE"/>
    <w:rsid w:val="000A7240"/>
    <w:rsid w:val="000A74C3"/>
    <w:rsid w:val="000A7BF8"/>
    <w:rsid w:val="000B0468"/>
    <w:rsid w:val="000B1EFA"/>
    <w:rsid w:val="000B1F9F"/>
    <w:rsid w:val="000B2BAD"/>
    <w:rsid w:val="000B2FE4"/>
    <w:rsid w:val="000B73F6"/>
    <w:rsid w:val="000C0B2B"/>
    <w:rsid w:val="000C0F7B"/>
    <w:rsid w:val="000C29B2"/>
    <w:rsid w:val="000C30D6"/>
    <w:rsid w:val="000C3775"/>
    <w:rsid w:val="000C5A92"/>
    <w:rsid w:val="000C5E8B"/>
    <w:rsid w:val="000C6202"/>
    <w:rsid w:val="000C7021"/>
    <w:rsid w:val="000C748F"/>
    <w:rsid w:val="000C7894"/>
    <w:rsid w:val="000C7E1B"/>
    <w:rsid w:val="000C7FDE"/>
    <w:rsid w:val="000D061E"/>
    <w:rsid w:val="000D16E3"/>
    <w:rsid w:val="000D2F99"/>
    <w:rsid w:val="000D5D22"/>
    <w:rsid w:val="000E02D8"/>
    <w:rsid w:val="000E06CB"/>
    <w:rsid w:val="000E207D"/>
    <w:rsid w:val="000E3462"/>
    <w:rsid w:val="000E3C8A"/>
    <w:rsid w:val="000E43E4"/>
    <w:rsid w:val="000E6B79"/>
    <w:rsid w:val="000E6DA0"/>
    <w:rsid w:val="000E7BBF"/>
    <w:rsid w:val="000F0524"/>
    <w:rsid w:val="000F0E54"/>
    <w:rsid w:val="000F129C"/>
    <w:rsid w:val="000F29C0"/>
    <w:rsid w:val="000F29C7"/>
    <w:rsid w:val="000F4A9C"/>
    <w:rsid w:val="000F4D75"/>
    <w:rsid w:val="000F6161"/>
    <w:rsid w:val="001008BB"/>
    <w:rsid w:val="00100BD5"/>
    <w:rsid w:val="00101207"/>
    <w:rsid w:val="0010194D"/>
    <w:rsid w:val="00101961"/>
    <w:rsid w:val="001024FC"/>
    <w:rsid w:val="00103835"/>
    <w:rsid w:val="00103C5D"/>
    <w:rsid w:val="00104832"/>
    <w:rsid w:val="00106AEB"/>
    <w:rsid w:val="00107765"/>
    <w:rsid w:val="00110C7F"/>
    <w:rsid w:val="0011263E"/>
    <w:rsid w:val="0011390B"/>
    <w:rsid w:val="00115DDF"/>
    <w:rsid w:val="00116B66"/>
    <w:rsid w:val="00120BB2"/>
    <w:rsid w:val="00121F4E"/>
    <w:rsid w:val="00122AF8"/>
    <w:rsid w:val="00124CC3"/>
    <w:rsid w:val="0012522E"/>
    <w:rsid w:val="0012543F"/>
    <w:rsid w:val="00126412"/>
    <w:rsid w:val="00126640"/>
    <w:rsid w:val="00126D03"/>
    <w:rsid w:val="00127E0A"/>
    <w:rsid w:val="0013112D"/>
    <w:rsid w:val="001317B9"/>
    <w:rsid w:val="00132A3E"/>
    <w:rsid w:val="001333C1"/>
    <w:rsid w:val="00133540"/>
    <w:rsid w:val="00133C6A"/>
    <w:rsid w:val="001347D3"/>
    <w:rsid w:val="00134941"/>
    <w:rsid w:val="001355CC"/>
    <w:rsid w:val="00135799"/>
    <w:rsid w:val="0013613A"/>
    <w:rsid w:val="0013712C"/>
    <w:rsid w:val="001426C0"/>
    <w:rsid w:val="001440F8"/>
    <w:rsid w:val="00144B2F"/>
    <w:rsid w:val="00146301"/>
    <w:rsid w:val="00146D92"/>
    <w:rsid w:val="0015498C"/>
    <w:rsid w:val="00154E20"/>
    <w:rsid w:val="001566AB"/>
    <w:rsid w:val="00157294"/>
    <w:rsid w:val="00160677"/>
    <w:rsid w:val="00162307"/>
    <w:rsid w:val="00162F1F"/>
    <w:rsid w:val="00163DAC"/>
    <w:rsid w:val="00163F8E"/>
    <w:rsid w:val="00164309"/>
    <w:rsid w:val="00164CB2"/>
    <w:rsid w:val="001653CA"/>
    <w:rsid w:val="0016662B"/>
    <w:rsid w:val="0016669C"/>
    <w:rsid w:val="00167182"/>
    <w:rsid w:val="0016755A"/>
    <w:rsid w:val="00167A06"/>
    <w:rsid w:val="00172CFC"/>
    <w:rsid w:val="00173521"/>
    <w:rsid w:val="00173795"/>
    <w:rsid w:val="001742ED"/>
    <w:rsid w:val="001743A8"/>
    <w:rsid w:val="00174E08"/>
    <w:rsid w:val="00177351"/>
    <w:rsid w:val="001777C6"/>
    <w:rsid w:val="00177834"/>
    <w:rsid w:val="00177B69"/>
    <w:rsid w:val="00180DD7"/>
    <w:rsid w:val="00184AFE"/>
    <w:rsid w:val="001863C2"/>
    <w:rsid w:val="00186514"/>
    <w:rsid w:val="00187844"/>
    <w:rsid w:val="001879AF"/>
    <w:rsid w:val="00191356"/>
    <w:rsid w:val="00194C21"/>
    <w:rsid w:val="0019507A"/>
    <w:rsid w:val="00196237"/>
    <w:rsid w:val="001962A7"/>
    <w:rsid w:val="001962C5"/>
    <w:rsid w:val="00196828"/>
    <w:rsid w:val="00196C8F"/>
    <w:rsid w:val="001972B0"/>
    <w:rsid w:val="00197659"/>
    <w:rsid w:val="001A0FD8"/>
    <w:rsid w:val="001A1A48"/>
    <w:rsid w:val="001A2CDC"/>
    <w:rsid w:val="001A53FA"/>
    <w:rsid w:val="001A6325"/>
    <w:rsid w:val="001A68EC"/>
    <w:rsid w:val="001A7166"/>
    <w:rsid w:val="001B24F9"/>
    <w:rsid w:val="001B31FB"/>
    <w:rsid w:val="001B5852"/>
    <w:rsid w:val="001B6CCF"/>
    <w:rsid w:val="001B7144"/>
    <w:rsid w:val="001B7A1B"/>
    <w:rsid w:val="001B7D89"/>
    <w:rsid w:val="001C16DE"/>
    <w:rsid w:val="001C35F2"/>
    <w:rsid w:val="001C43D2"/>
    <w:rsid w:val="001C4A88"/>
    <w:rsid w:val="001C4CCA"/>
    <w:rsid w:val="001C544F"/>
    <w:rsid w:val="001C5541"/>
    <w:rsid w:val="001C594E"/>
    <w:rsid w:val="001C7F70"/>
    <w:rsid w:val="001D11ED"/>
    <w:rsid w:val="001D15A8"/>
    <w:rsid w:val="001D1D29"/>
    <w:rsid w:val="001D27BA"/>
    <w:rsid w:val="001D318A"/>
    <w:rsid w:val="001D3F41"/>
    <w:rsid w:val="001D4B36"/>
    <w:rsid w:val="001D68A1"/>
    <w:rsid w:val="001D7880"/>
    <w:rsid w:val="001E0E20"/>
    <w:rsid w:val="001E17CE"/>
    <w:rsid w:val="001E1BE3"/>
    <w:rsid w:val="001E2F88"/>
    <w:rsid w:val="001E2FA7"/>
    <w:rsid w:val="001E3128"/>
    <w:rsid w:val="001E48DF"/>
    <w:rsid w:val="001E5B01"/>
    <w:rsid w:val="001E6EFA"/>
    <w:rsid w:val="001E7C18"/>
    <w:rsid w:val="001E7FF9"/>
    <w:rsid w:val="001F0357"/>
    <w:rsid w:val="001F0A18"/>
    <w:rsid w:val="001F1698"/>
    <w:rsid w:val="001F17D9"/>
    <w:rsid w:val="001F31E7"/>
    <w:rsid w:val="001F409E"/>
    <w:rsid w:val="001F6945"/>
    <w:rsid w:val="001F7567"/>
    <w:rsid w:val="002017D7"/>
    <w:rsid w:val="00201D59"/>
    <w:rsid w:val="00201DBB"/>
    <w:rsid w:val="00202650"/>
    <w:rsid w:val="00202A36"/>
    <w:rsid w:val="002035C4"/>
    <w:rsid w:val="00205E6E"/>
    <w:rsid w:val="00206456"/>
    <w:rsid w:val="00206724"/>
    <w:rsid w:val="00215A5E"/>
    <w:rsid w:val="00221293"/>
    <w:rsid w:val="00221878"/>
    <w:rsid w:val="00221881"/>
    <w:rsid w:val="00221ABF"/>
    <w:rsid w:val="00221F33"/>
    <w:rsid w:val="00222747"/>
    <w:rsid w:val="00222D7A"/>
    <w:rsid w:val="002233A3"/>
    <w:rsid w:val="002234BE"/>
    <w:rsid w:val="00223C6A"/>
    <w:rsid w:val="002246BC"/>
    <w:rsid w:val="00224C32"/>
    <w:rsid w:val="00225A2D"/>
    <w:rsid w:val="0022616F"/>
    <w:rsid w:val="00227A41"/>
    <w:rsid w:val="00230F8B"/>
    <w:rsid w:val="002312F5"/>
    <w:rsid w:val="002320E9"/>
    <w:rsid w:val="00232CED"/>
    <w:rsid w:val="00236111"/>
    <w:rsid w:val="0024051E"/>
    <w:rsid w:val="00243314"/>
    <w:rsid w:val="00244C99"/>
    <w:rsid w:val="00244FC7"/>
    <w:rsid w:val="0024523F"/>
    <w:rsid w:val="002508BC"/>
    <w:rsid w:val="002509FD"/>
    <w:rsid w:val="00251FCF"/>
    <w:rsid w:val="0025205F"/>
    <w:rsid w:val="002533F3"/>
    <w:rsid w:val="00253FCD"/>
    <w:rsid w:val="00254C40"/>
    <w:rsid w:val="00254D11"/>
    <w:rsid w:val="00256D55"/>
    <w:rsid w:val="00260073"/>
    <w:rsid w:val="00260537"/>
    <w:rsid w:val="00260DEC"/>
    <w:rsid w:val="00261247"/>
    <w:rsid w:val="00262F98"/>
    <w:rsid w:val="002631B7"/>
    <w:rsid w:val="00263553"/>
    <w:rsid w:val="00263809"/>
    <w:rsid w:val="002638E5"/>
    <w:rsid w:val="00264042"/>
    <w:rsid w:val="0026412D"/>
    <w:rsid w:val="00264970"/>
    <w:rsid w:val="002655E9"/>
    <w:rsid w:val="002657A2"/>
    <w:rsid w:val="00265892"/>
    <w:rsid w:val="00265933"/>
    <w:rsid w:val="00266615"/>
    <w:rsid w:val="00267608"/>
    <w:rsid w:val="00271518"/>
    <w:rsid w:val="00273D38"/>
    <w:rsid w:val="00273D64"/>
    <w:rsid w:val="002749BA"/>
    <w:rsid w:val="00274F63"/>
    <w:rsid w:val="002751DA"/>
    <w:rsid w:val="0027541D"/>
    <w:rsid w:val="002756F8"/>
    <w:rsid w:val="0027619F"/>
    <w:rsid w:val="00276455"/>
    <w:rsid w:val="00276598"/>
    <w:rsid w:val="0028056A"/>
    <w:rsid w:val="00281A45"/>
    <w:rsid w:val="002835FA"/>
    <w:rsid w:val="00283EA6"/>
    <w:rsid w:val="0028515D"/>
    <w:rsid w:val="00287A32"/>
    <w:rsid w:val="00290301"/>
    <w:rsid w:val="00290841"/>
    <w:rsid w:val="00290975"/>
    <w:rsid w:val="00291A2B"/>
    <w:rsid w:val="00291F54"/>
    <w:rsid w:val="00292F39"/>
    <w:rsid w:val="00293871"/>
    <w:rsid w:val="00295695"/>
    <w:rsid w:val="002957AA"/>
    <w:rsid w:val="00295953"/>
    <w:rsid w:val="002963A8"/>
    <w:rsid w:val="002A09FE"/>
    <w:rsid w:val="002A1059"/>
    <w:rsid w:val="002A195B"/>
    <w:rsid w:val="002A1AA7"/>
    <w:rsid w:val="002A279B"/>
    <w:rsid w:val="002A2CB0"/>
    <w:rsid w:val="002A3AF4"/>
    <w:rsid w:val="002A49AA"/>
    <w:rsid w:val="002A524D"/>
    <w:rsid w:val="002A5877"/>
    <w:rsid w:val="002A6B03"/>
    <w:rsid w:val="002A71BE"/>
    <w:rsid w:val="002B0BE7"/>
    <w:rsid w:val="002B0D48"/>
    <w:rsid w:val="002B0F01"/>
    <w:rsid w:val="002B1698"/>
    <w:rsid w:val="002B1EF5"/>
    <w:rsid w:val="002B25E4"/>
    <w:rsid w:val="002B494C"/>
    <w:rsid w:val="002B5151"/>
    <w:rsid w:val="002C05E7"/>
    <w:rsid w:val="002C0711"/>
    <w:rsid w:val="002C10D7"/>
    <w:rsid w:val="002C12F5"/>
    <w:rsid w:val="002C1849"/>
    <w:rsid w:val="002C1F8E"/>
    <w:rsid w:val="002C4A84"/>
    <w:rsid w:val="002C4D5C"/>
    <w:rsid w:val="002C51A7"/>
    <w:rsid w:val="002C522D"/>
    <w:rsid w:val="002C52F6"/>
    <w:rsid w:val="002C5D3F"/>
    <w:rsid w:val="002C60DE"/>
    <w:rsid w:val="002C630D"/>
    <w:rsid w:val="002C6AE4"/>
    <w:rsid w:val="002C7BEE"/>
    <w:rsid w:val="002D022C"/>
    <w:rsid w:val="002D1CCC"/>
    <w:rsid w:val="002D2960"/>
    <w:rsid w:val="002D36E1"/>
    <w:rsid w:val="002D3FB2"/>
    <w:rsid w:val="002D4113"/>
    <w:rsid w:val="002D4C45"/>
    <w:rsid w:val="002D51B8"/>
    <w:rsid w:val="002D564A"/>
    <w:rsid w:val="002D5776"/>
    <w:rsid w:val="002D704F"/>
    <w:rsid w:val="002D71DA"/>
    <w:rsid w:val="002E0B9C"/>
    <w:rsid w:val="002E28B2"/>
    <w:rsid w:val="002E3E0F"/>
    <w:rsid w:val="002E51D7"/>
    <w:rsid w:val="002E5670"/>
    <w:rsid w:val="002E6243"/>
    <w:rsid w:val="002E69DD"/>
    <w:rsid w:val="002E6AFA"/>
    <w:rsid w:val="002E78B4"/>
    <w:rsid w:val="002E7C5D"/>
    <w:rsid w:val="002F0413"/>
    <w:rsid w:val="002F2865"/>
    <w:rsid w:val="002F2877"/>
    <w:rsid w:val="002F3075"/>
    <w:rsid w:val="002F3202"/>
    <w:rsid w:val="002F3EFE"/>
    <w:rsid w:val="002F404D"/>
    <w:rsid w:val="002F5046"/>
    <w:rsid w:val="002F5142"/>
    <w:rsid w:val="002F5886"/>
    <w:rsid w:val="002F6270"/>
    <w:rsid w:val="002F76CF"/>
    <w:rsid w:val="002F7802"/>
    <w:rsid w:val="003016B5"/>
    <w:rsid w:val="0030196C"/>
    <w:rsid w:val="00301D6E"/>
    <w:rsid w:val="00302064"/>
    <w:rsid w:val="00302810"/>
    <w:rsid w:val="00302B7A"/>
    <w:rsid w:val="00304ACF"/>
    <w:rsid w:val="003057E2"/>
    <w:rsid w:val="003064A0"/>
    <w:rsid w:val="003070F3"/>
    <w:rsid w:val="00310799"/>
    <w:rsid w:val="00312765"/>
    <w:rsid w:val="003128C9"/>
    <w:rsid w:val="00312B8C"/>
    <w:rsid w:val="00312E25"/>
    <w:rsid w:val="0031443D"/>
    <w:rsid w:val="0031468C"/>
    <w:rsid w:val="003157C8"/>
    <w:rsid w:val="00315A67"/>
    <w:rsid w:val="0032011F"/>
    <w:rsid w:val="0032104F"/>
    <w:rsid w:val="003214B8"/>
    <w:rsid w:val="00322CD8"/>
    <w:rsid w:val="00323742"/>
    <w:rsid w:val="00324054"/>
    <w:rsid w:val="003274D3"/>
    <w:rsid w:val="00330360"/>
    <w:rsid w:val="003323DB"/>
    <w:rsid w:val="0033264D"/>
    <w:rsid w:val="003334F5"/>
    <w:rsid w:val="00333AE9"/>
    <w:rsid w:val="00333EBE"/>
    <w:rsid w:val="00333FB1"/>
    <w:rsid w:val="00336861"/>
    <w:rsid w:val="003375FE"/>
    <w:rsid w:val="00342823"/>
    <w:rsid w:val="00345374"/>
    <w:rsid w:val="00346832"/>
    <w:rsid w:val="00351FBD"/>
    <w:rsid w:val="00353470"/>
    <w:rsid w:val="0035464A"/>
    <w:rsid w:val="00354AC6"/>
    <w:rsid w:val="003550FF"/>
    <w:rsid w:val="00355CB8"/>
    <w:rsid w:val="003561F6"/>
    <w:rsid w:val="003569C1"/>
    <w:rsid w:val="00360620"/>
    <w:rsid w:val="00360ED5"/>
    <w:rsid w:val="00360F11"/>
    <w:rsid w:val="003611DE"/>
    <w:rsid w:val="00361319"/>
    <w:rsid w:val="00361A52"/>
    <w:rsid w:val="003622C9"/>
    <w:rsid w:val="00363774"/>
    <w:rsid w:val="00364266"/>
    <w:rsid w:val="00364F16"/>
    <w:rsid w:val="00366099"/>
    <w:rsid w:val="00366895"/>
    <w:rsid w:val="00367F07"/>
    <w:rsid w:val="00370DBD"/>
    <w:rsid w:val="00372FA8"/>
    <w:rsid w:val="00374FC2"/>
    <w:rsid w:val="00376418"/>
    <w:rsid w:val="00376767"/>
    <w:rsid w:val="00380E83"/>
    <w:rsid w:val="00381693"/>
    <w:rsid w:val="00381C7B"/>
    <w:rsid w:val="0038212E"/>
    <w:rsid w:val="0038260C"/>
    <w:rsid w:val="0038450A"/>
    <w:rsid w:val="0038673A"/>
    <w:rsid w:val="003879AC"/>
    <w:rsid w:val="003904F1"/>
    <w:rsid w:val="003910EA"/>
    <w:rsid w:val="00391C73"/>
    <w:rsid w:val="0039302E"/>
    <w:rsid w:val="003942E6"/>
    <w:rsid w:val="00395695"/>
    <w:rsid w:val="00396171"/>
    <w:rsid w:val="003965AF"/>
    <w:rsid w:val="003967AE"/>
    <w:rsid w:val="00397F9A"/>
    <w:rsid w:val="003A00FF"/>
    <w:rsid w:val="003A0730"/>
    <w:rsid w:val="003A094C"/>
    <w:rsid w:val="003A0E1B"/>
    <w:rsid w:val="003A11D8"/>
    <w:rsid w:val="003A3BCF"/>
    <w:rsid w:val="003A4209"/>
    <w:rsid w:val="003A4D7B"/>
    <w:rsid w:val="003A5122"/>
    <w:rsid w:val="003A51DD"/>
    <w:rsid w:val="003A68DF"/>
    <w:rsid w:val="003A6CB2"/>
    <w:rsid w:val="003A70A2"/>
    <w:rsid w:val="003A70B2"/>
    <w:rsid w:val="003A70D5"/>
    <w:rsid w:val="003B163B"/>
    <w:rsid w:val="003B182F"/>
    <w:rsid w:val="003B223C"/>
    <w:rsid w:val="003B3BC0"/>
    <w:rsid w:val="003B4238"/>
    <w:rsid w:val="003B6FCC"/>
    <w:rsid w:val="003B759D"/>
    <w:rsid w:val="003B7B25"/>
    <w:rsid w:val="003C1B85"/>
    <w:rsid w:val="003C2ABA"/>
    <w:rsid w:val="003C472B"/>
    <w:rsid w:val="003C59A2"/>
    <w:rsid w:val="003C5CA3"/>
    <w:rsid w:val="003C5CB3"/>
    <w:rsid w:val="003C6F3D"/>
    <w:rsid w:val="003C76CC"/>
    <w:rsid w:val="003C7C50"/>
    <w:rsid w:val="003D015D"/>
    <w:rsid w:val="003D126F"/>
    <w:rsid w:val="003D1917"/>
    <w:rsid w:val="003D191D"/>
    <w:rsid w:val="003D1A4E"/>
    <w:rsid w:val="003D2010"/>
    <w:rsid w:val="003D3DB9"/>
    <w:rsid w:val="003D4067"/>
    <w:rsid w:val="003D451F"/>
    <w:rsid w:val="003D4FCD"/>
    <w:rsid w:val="003D5431"/>
    <w:rsid w:val="003D6078"/>
    <w:rsid w:val="003E1211"/>
    <w:rsid w:val="003E1FA5"/>
    <w:rsid w:val="003E3360"/>
    <w:rsid w:val="003E38FC"/>
    <w:rsid w:val="003E3DF9"/>
    <w:rsid w:val="003E4649"/>
    <w:rsid w:val="003E4DC3"/>
    <w:rsid w:val="003E5EFC"/>
    <w:rsid w:val="003E6053"/>
    <w:rsid w:val="003E6380"/>
    <w:rsid w:val="003E63BE"/>
    <w:rsid w:val="003E7BCB"/>
    <w:rsid w:val="003F0C72"/>
    <w:rsid w:val="003F1023"/>
    <w:rsid w:val="003F16DD"/>
    <w:rsid w:val="003F36DD"/>
    <w:rsid w:val="003F37B8"/>
    <w:rsid w:val="003F3CC1"/>
    <w:rsid w:val="003F3D5B"/>
    <w:rsid w:val="003F3FB8"/>
    <w:rsid w:val="003F403E"/>
    <w:rsid w:val="003F44F7"/>
    <w:rsid w:val="003F5380"/>
    <w:rsid w:val="003F6F51"/>
    <w:rsid w:val="003F7EA2"/>
    <w:rsid w:val="004005C3"/>
    <w:rsid w:val="00401265"/>
    <w:rsid w:val="004016CA"/>
    <w:rsid w:val="00403244"/>
    <w:rsid w:val="004047CD"/>
    <w:rsid w:val="00404805"/>
    <w:rsid w:val="00404B3D"/>
    <w:rsid w:val="00404E76"/>
    <w:rsid w:val="00406C36"/>
    <w:rsid w:val="00411735"/>
    <w:rsid w:val="00412055"/>
    <w:rsid w:val="004127CE"/>
    <w:rsid w:val="00412F2C"/>
    <w:rsid w:val="0041404E"/>
    <w:rsid w:val="0041486B"/>
    <w:rsid w:val="00416DEC"/>
    <w:rsid w:val="00417951"/>
    <w:rsid w:val="004226E3"/>
    <w:rsid w:val="004245A5"/>
    <w:rsid w:val="00426CA5"/>
    <w:rsid w:val="00427593"/>
    <w:rsid w:val="00427C4D"/>
    <w:rsid w:val="0043044E"/>
    <w:rsid w:val="00430692"/>
    <w:rsid w:val="0043093F"/>
    <w:rsid w:val="00430E81"/>
    <w:rsid w:val="00431024"/>
    <w:rsid w:val="004318CA"/>
    <w:rsid w:val="00434ECF"/>
    <w:rsid w:val="00435E47"/>
    <w:rsid w:val="004360F9"/>
    <w:rsid w:val="00436368"/>
    <w:rsid w:val="0044095F"/>
    <w:rsid w:val="004425C5"/>
    <w:rsid w:val="00443957"/>
    <w:rsid w:val="00443BF1"/>
    <w:rsid w:val="00444FE7"/>
    <w:rsid w:val="00446472"/>
    <w:rsid w:val="00446AE3"/>
    <w:rsid w:val="00450EDC"/>
    <w:rsid w:val="0045183F"/>
    <w:rsid w:val="00452736"/>
    <w:rsid w:val="00452BC1"/>
    <w:rsid w:val="00452F47"/>
    <w:rsid w:val="00453E0C"/>
    <w:rsid w:val="00456F01"/>
    <w:rsid w:val="00457649"/>
    <w:rsid w:val="004579F2"/>
    <w:rsid w:val="00457BE3"/>
    <w:rsid w:val="00460C22"/>
    <w:rsid w:val="00460F18"/>
    <w:rsid w:val="00462008"/>
    <w:rsid w:val="0046484B"/>
    <w:rsid w:val="00464E07"/>
    <w:rsid w:val="00464EF1"/>
    <w:rsid w:val="00465F33"/>
    <w:rsid w:val="004705BA"/>
    <w:rsid w:val="004708A9"/>
    <w:rsid w:val="004744A2"/>
    <w:rsid w:val="004755A4"/>
    <w:rsid w:val="00475B09"/>
    <w:rsid w:val="00475F31"/>
    <w:rsid w:val="004761F4"/>
    <w:rsid w:val="004765EE"/>
    <w:rsid w:val="004779AC"/>
    <w:rsid w:val="00477FD1"/>
    <w:rsid w:val="00480E30"/>
    <w:rsid w:val="0048123F"/>
    <w:rsid w:val="00482EFA"/>
    <w:rsid w:val="00483748"/>
    <w:rsid w:val="00486A8F"/>
    <w:rsid w:val="00486EC9"/>
    <w:rsid w:val="0048719C"/>
    <w:rsid w:val="00487C32"/>
    <w:rsid w:val="00490ECC"/>
    <w:rsid w:val="00490EFB"/>
    <w:rsid w:val="00492C03"/>
    <w:rsid w:val="00492DD3"/>
    <w:rsid w:val="00493708"/>
    <w:rsid w:val="00494F2D"/>
    <w:rsid w:val="004955DF"/>
    <w:rsid w:val="004958FC"/>
    <w:rsid w:val="00496553"/>
    <w:rsid w:val="00496587"/>
    <w:rsid w:val="004A1628"/>
    <w:rsid w:val="004A24E8"/>
    <w:rsid w:val="004A3346"/>
    <w:rsid w:val="004A3491"/>
    <w:rsid w:val="004A4944"/>
    <w:rsid w:val="004A4A13"/>
    <w:rsid w:val="004A5BB5"/>
    <w:rsid w:val="004A6216"/>
    <w:rsid w:val="004A6853"/>
    <w:rsid w:val="004A69CF"/>
    <w:rsid w:val="004A6B15"/>
    <w:rsid w:val="004B08C6"/>
    <w:rsid w:val="004B1ED6"/>
    <w:rsid w:val="004B1F1E"/>
    <w:rsid w:val="004B4165"/>
    <w:rsid w:val="004B645C"/>
    <w:rsid w:val="004B7DDB"/>
    <w:rsid w:val="004C020F"/>
    <w:rsid w:val="004C0977"/>
    <w:rsid w:val="004C0FC6"/>
    <w:rsid w:val="004C12B0"/>
    <w:rsid w:val="004C23D0"/>
    <w:rsid w:val="004C45C7"/>
    <w:rsid w:val="004C5266"/>
    <w:rsid w:val="004C5833"/>
    <w:rsid w:val="004C5EF9"/>
    <w:rsid w:val="004C6DD8"/>
    <w:rsid w:val="004C79A7"/>
    <w:rsid w:val="004C7C37"/>
    <w:rsid w:val="004D0745"/>
    <w:rsid w:val="004D0C3C"/>
    <w:rsid w:val="004D39DD"/>
    <w:rsid w:val="004D4573"/>
    <w:rsid w:val="004D485B"/>
    <w:rsid w:val="004D53AF"/>
    <w:rsid w:val="004D5F1D"/>
    <w:rsid w:val="004D6157"/>
    <w:rsid w:val="004E0488"/>
    <w:rsid w:val="004E1911"/>
    <w:rsid w:val="004E206B"/>
    <w:rsid w:val="004E247B"/>
    <w:rsid w:val="004E271E"/>
    <w:rsid w:val="004E380A"/>
    <w:rsid w:val="004E3877"/>
    <w:rsid w:val="004E3EF9"/>
    <w:rsid w:val="004E4ED9"/>
    <w:rsid w:val="004E5BA4"/>
    <w:rsid w:val="004E5CCE"/>
    <w:rsid w:val="004E6925"/>
    <w:rsid w:val="004E6ED0"/>
    <w:rsid w:val="004E7AF6"/>
    <w:rsid w:val="004F1509"/>
    <w:rsid w:val="004F1FA9"/>
    <w:rsid w:val="004F3784"/>
    <w:rsid w:val="004F3798"/>
    <w:rsid w:val="004F42B8"/>
    <w:rsid w:val="004F4E2E"/>
    <w:rsid w:val="004F5368"/>
    <w:rsid w:val="004F5EA9"/>
    <w:rsid w:val="004F6604"/>
    <w:rsid w:val="004F7AE7"/>
    <w:rsid w:val="005000CC"/>
    <w:rsid w:val="005004FA"/>
    <w:rsid w:val="00500732"/>
    <w:rsid w:val="005016F2"/>
    <w:rsid w:val="00504E8E"/>
    <w:rsid w:val="00505919"/>
    <w:rsid w:val="005060F9"/>
    <w:rsid w:val="00506310"/>
    <w:rsid w:val="005067F7"/>
    <w:rsid w:val="00506CCA"/>
    <w:rsid w:val="005111C8"/>
    <w:rsid w:val="00512FAA"/>
    <w:rsid w:val="0051384B"/>
    <w:rsid w:val="0051471B"/>
    <w:rsid w:val="005157BB"/>
    <w:rsid w:val="005159A2"/>
    <w:rsid w:val="00515AA9"/>
    <w:rsid w:val="00516488"/>
    <w:rsid w:val="005174DA"/>
    <w:rsid w:val="00520F83"/>
    <w:rsid w:val="00521104"/>
    <w:rsid w:val="0052142B"/>
    <w:rsid w:val="00521647"/>
    <w:rsid w:val="00523B70"/>
    <w:rsid w:val="0052483C"/>
    <w:rsid w:val="00525889"/>
    <w:rsid w:val="00525FA3"/>
    <w:rsid w:val="005304EB"/>
    <w:rsid w:val="00530C59"/>
    <w:rsid w:val="005312E8"/>
    <w:rsid w:val="00531425"/>
    <w:rsid w:val="00531B96"/>
    <w:rsid w:val="0053289E"/>
    <w:rsid w:val="005341D3"/>
    <w:rsid w:val="005348A3"/>
    <w:rsid w:val="00534ED9"/>
    <w:rsid w:val="00536EC2"/>
    <w:rsid w:val="0054130C"/>
    <w:rsid w:val="0054170D"/>
    <w:rsid w:val="005417A3"/>
    <w:rsid w:val="005421C0"/>
    <w:rsid w:val="005423CE"/>
    <w:rsid w:val="005425AC"/>
    <w:rsid w:val="00543956"/>
    <w:rsid w:val="00543C38"/>
    <w:rsid w:val="005448D8"/>
    <w:rsid w:val="00545EC1"/>
    <w:rsid w:val="00546711"/>
    <w:rsid w:val="00546958"/>
    <w:rsid w:val="00547504"/>
    <w:rsid w:val="00547C25"/>
    <w:rsid w:val="00553895"/>
    <w:rsid w:val="00554D41"/>
    <w:rsid w:val="00557E16"/>
    <w:rsid w:val="00560670"/>
    <w:rsid w:val="00560B76"/>
    <w:rsid w:val="00560C71"/>
    <w:rsid w:val="00562714"/>
    <w:rsid w:val="00564AE1"/>
    <w:rsid w:val="00566CCB"/>
    <w:rsid w:val="00566D91"/>
    <w:rsid w:val="00567B2B"/>
    <w:rsid w:val="00570ACE"/>
    <w:rsid w:val="00571C2C"/>
    <w:rsid w:val="00574D44"/>
    <w:rsid w:val="005751C1"/>
    <w:rsid w:val="005763A2"/>
    <w:rsid w:val="00576D18"/>
    <w:rsid w:val="005777C9"/>
    <w:rsid w:val="0058083A"/>
    <w:rsid w:val="00581C6A"/>
    <w:rsid w:val="00581F6A"/>
    <w:rsid w:val="005832B9"/>
    <w:rsid w:val="00583A5C"/>
    <w:rsid w:val="00584A53"/>
    <w:rsid w:val="005902A1"/>
    <w:rsid w:val="0059186A"/>
    <w:rsid w:val="0059249C"/>
    <w:rsid w:val="00594163"/>
    <w:rsid w:val="0059450D"/>
    <w:rsid w:val="00594DA1"/>
    <w:rsid w:val="005953A1"/>
    <w:rsid w:val="005966C4"/>
    <w:rsid w:val="00597A38"/>
    <w:rsid w:val="005A0060"/>
    <w:rsid w:val="005A0CD5"/>
    <w:rsid w:val="005A2BAB"/>
    <w:rsid w:val="005A3328"/>
    <w:rsid w:val="005A4448"/>
    <w:rsid w:val="005A47E1"/>
    <w:rsid w:val="005A48C3"/>
    <w:rsid w:val="005A552B"/>
    <w:rsid w:val="005A5CAB"/>
    <w:rsid w:val="005A5E69"/>
    <w:rsid w:val="005A7F4E"/>
    <w:rsid w:val="005B091B"/>
    <w:rsid w:val="005B1ABA"/>
    <w:rsid w:val="005B1B59"/>
    <w:rsid w:val="005B4164"/>
    <w:rsid w:val="005B560E"/>
    <w:rsid w:val="005B7193"/>
    <w:rsid w:val="005B795F"/>
    <w:rsid w:val="005C0DD4"/>
    <w:rsid w:val="005C165C"/>
    <w:rsid w:val="005C26A0"/>
    <w:rsid w:val="005C2754"/>
    <w:rsid w:val="005C44A4"/>
    <w:rsid w:val="005C55BE"/>
    <w:rsid w:val="005C6F53"/>
    <w:rsid w:val="005C7939"/>
    <w:rsid w:val="005D2973"/>
    <w:rsid w:val="005D3856"/>
    <w:rsid w:val="005D6545"/>
    <w:rsid w:val="005D66A6"/>
    <w:rsid w:val="005D698E"/>
    <w:rsid w:val="005D71BA"/>
    <w:rsid w:val="005E15EA"/>
    <w:rsid w:val="005E1908"/>
    <w:rsid w:val="005E1AF7"/>
    <w:rsid w:val="005E3359"/>
    <w:rsid w:val="005E3622"/>
    <w:rsid w:val="005E4066"/>
    <w:rsid w:val="005E4A40"/>
    <w:rsid w:val="005E4CD9"/>
    <w:rsid w:val="005E4EB6"/>
    <w:rsid w:val="005E7107"/>
    <w:rsid w:val="005F2A42"/>
    <w:rsid w:val="005F2D2E"/>
    <w:rsid w:val="005F44EA"/>
    <w:rsid w:val="005F5122"/>
    <w:rsid w:val="005F565B"/>
    <w:rsid w:val="005F6586"/>
    <w:rsid w:val="005F692E"/>
    <w:rsid w:val="00600589"/>
    <w:rsid w:val="0060118B"/>
    <w:rsid w:val="00601B05"/>
    <w:rsid w:val="00603AFF"/>
    <w:rsid w:val="00604249"/>
    <w:rsid w:val="00604516"/>
    <w:rsid w:val="00604882"/>
    <w:rsid w:val="00605C56"/>
    <w:rsid w:val="006067A3"/>
    <w:rsid w:val="00606AB7"/>
    <w:rsid w:val="006075CF"/>
    <w:rsid w:val="0060771E"/>
    <w:rsid w:val="00607D38"/>
    <w:rsid w:val="00610A8E"/>
    <w:rsid w:val="00613242"/>
    <w:rsid w:val="0061683A"/>
    <w:rsid w:val="0061781E"/>
    <w:rsid w:val="0062101D"/>
    <w:rsid w:val="00622449"/>
    <w:rsid w:val="00623306"/>
    <w:rsid w:val="006235B5"/>
    <w:rsid w:val="00623CD7"/>
    <w:rsid w:val="006245AD"/>
    <w:rsid w:val="00624DA5"/>
    <w:rsid w:val="00625954"/>
    <w:rsid w:val="00626A55"/>
    <w:rsid w:val="0062705B"/>
    <w:rsid w:val="00627124"/>
    <w:rsid w:val="00632F9E"/>
    <w:rsid w:val="00633619"/>
    <w:rsid w:val="00634264"/>
    <w:rsid w:val="0063552C"/>
    <w:rsid w:val="00635A42"/>
    <w:rsid w:val="0063642C"/>
    <w:rsid w:val="00636F7C"/>
    <w:rsid w:val="006378FA"/>
    <w:rsid w:val="006417A4"/>
    <w:rsid w:val="00643A26"/>
    <w:rsid w:val="00643D1D"/>
    <w:rsid w:val="00645573"/>
    <w:rsid w:val="00645AAB"/>
    <w:rsid w:val="00646450"/>
    <w:rsid w:val="00647F7E"/>
    <w:rsid w:val="006508F2"/>
    <w:rsid w:val="0065280C"/>
    <w:rsid w:val="00652F38"/>
    <w:rsid w:val="00653063"/>
    <w:rsid w:val="006534BD"/>
    <w:rsid w:val="006543EB"/>
    <w:rsid w:val="00654AC5"/>
    <w:rsid w:val="006553EE"/>
    <w:rsid w:val="006558D6"/>
    <w:rsid w:val="00655ADA"/>
    <w:rsid w:val="006568F2"/>
    <w:rsid w:val="00657325"/>
    <w:rsid w:val="006579C2"/>
    <w:rsid w:val="006613B1"/>
    <w:rsid w:val="0066234B"/>
    <w:rsid w:val="0066330B"/>
    <w:rsid w:val="00663581"/>
    <w:rsid w:val="00663A62"/>
    <w:rsid w:val="0066574E"/>
    <w:rsid w:val="00665780"/>
    <w:rsid w:val="0066618F"/>
    <w:rsid w:val="006667C1"/>
    <w:rsid w:val="0066755B"/>
    <w:rsid w:val="0067048B"/>
    <w:rsid w:val="00670E58"/>
    <w:rsid w:val="00671028"/>
    <w:rsid w:val="00672012"/>
    <w:rsid w:val="00672298"/>
    <w:rsid w:val="00672E6C"/>
    <w:rsid w:val="006730F1"/>
    <w:rsid w:val="006733E7"/>
    <w:rsid w:val="0067348A"/>
    <w:rsid w:val="00673B01"/>
    <w:rsid w:val="00674355"/>
    <w:rsid w:val="0067551A"/>
    <w:rsid w:val="00676305"/>
    <w:rsid w:val="006767BE"/>
    <w:rsid w:val="0067706F"/>
    <w:rsid w:val="00677531"/>
    <w:rsid w:val="00677931"/>
    <w:rsid w:val="00677DF7"/>
    <w:rsid w:val="00681A28"/>
    <w:rsid w:val="00681B84"/>
    <w:rsid w:val="00683BB9"/>
    <w:rsid w:val="00683ECF"/>
    <w:rsid w:val="0068434A"/>
    <w:rsid w:val="00685B63"/>
    <w:rsid w:val="00685D96"/>
    <w:rsid w:val="00685E6D"/>
    <w:rsid w:val="00686BAC"/>
    <w:rsid w:val="00686D4F"/>
    <w:rsid w:val="00687748"/>
    <w:rsid w:val="00690B69"/>
    <w:rsid w:val="00691600"/>
    <w:rsid w:val="00691D5D"/>
    <w:rsid w:val="00692B16"/>
    <w:rsid w:val="00693149"/>
    <w:rsid w:val="00693B72"/>
    <w:rsid w:val="0069412E"/>
    <w:rsid w:val="0069434F"/>
    <w:rsid w:val="00697328"/>
    <w:rsid w:val="006977A6"/>
    <w:rsid w:val="006A0DF4"/>
    <w:rsid w:val="006A0F84"/>
    <w:rsid w:val="006A20BF"/>
    <w:rsid w:val="006A31F4"/>
    <w:rsid w:val="006A3233"/>
    <w:rsid w:val="006B1653"/>
    <w:rsid w:val="006B260E"/>
    <w:rsid w:val="006B32BC"/>
    <w:rsid w:val="006B3A94"/>
    <w:rsid w:val="006B45E0"/>
    <w:rsid w:val="006B605F"/>
    <w:rsid w:val="006B695F"/>
    <w:rsid w:val="006B6B30"/>
    <w:rsid w:val="006B6C22"/>
    <w:rsid w:val="006B7010"/>
    <w:rsid w:val="006B733B"/>
    <w:rsid w:val="006B7EC6"/>
    <w:rsid w:val="006B7F40"/>
    <w:rsid w:val="006C1A79"/>
    <w:rsid w:val="006C210E"/>
    <w:rsid w:val="006C26B9"/>
    <w:rsid w:val="006C2C4F"/>
    <w:rsid w:val="006C3CA0"/>
    <w:rsid w:val="006C3E41"/>
    <w:rsid w:val="006C430E"/>
    <w:rsid w:val="006C6F1A"/>
    <w:rsid w:val="006D11EB"/>
    <w:rsid w:val="006D2B1E"/>
    <w:rsid w:val="006D339B"/>
    <w:rsid w:val="006D3B48"/>
    <w:rsid w:val="006D45F2"/>
    <w:rsid w:val="006D48AE"/>
    <w:rsid w:val="006D48BF"/>
    <w:rsid w:val="006D4BBC"/>
    <w:rsid w:val="006D4EAF"/>
    <w:rsid w:val="006D6BFF"/>
    <w:rsid w:val="006D72EA"/>
    <w:rsid w:val="006D7B36"/>
    <w:rsid w:val="006E078A"/>
    <w:rsid w:val="006E1EF1"/>
    <w:rsid w:val="006E29B7"/>
    <w:rsid w:val="006E2CBD"/>
    <w:rsid w:val="006E2D73"/>
    <w:rsid w:val="006E2DAE"/>
    <w:rsid w:val="006E4BA4"/>
    <w:rsid w:val="006E5FA6"/>
    <w:rsid w:val="006E6CB1"/>
    <w:rsid w:val="006E7678"/>
    <w:rsid w:val="006E7E28"/>
    <w:rsid w:val="006F0E22"/>
    <w:rsid w:val="006F1053"/>
    <w:rsid w:val="006F2138"/>
    <w:rsid w:val="006F2157"/>
    <w:rsid w:val="006F3A0B"/>
    <w:rsid w:val="006F441C"/>
    <w:rsid w:val="006F637F"/>
    <w:rsid w:val="006F6949"/>
    <w:rsid w:val="006F7177"/>
    <w:rsid w:val="006F7D42"/>
    <w:rsid w:val="006F7DCB"/>
    <w:rsid w:val="007005FE"/>
    <w:rsid w:val="007009EF"/>
    <w:rsid w:val="007009F6"/>
    <w:rsid w:val="00702FD2"/>
    <w:rsid w:val="00703264"/>
    <w:rsid w:val="00703746"/>
    <w:rsid w:val="00704FB2"/>
    <w:rsid w:val="00705E2C"/>
    <w:rsid w:val="0070610F"/>
    <w:rsid w:val="007063A0"/>
    <w:rsid w:val="00710143"/>
    <w:rsid w:val="00710774"/>
    <w:rsid w:val="00710BF2"/>
    <w:rsid w:val="00711587"/>
    <w:rsid w:val="007115E2"/>
    <w:rsid w:val="00712112"/>
    <w:rsid w:val="007140BB"/>
    <w:rsid w:val="00714287"/>
    <w:rsid w:val="0071448B"/>
    <w:rsid w:val="0071533B"/>
    <w:rsid w:val="00715BB3"/>
    <w:rsid w:val="007163A7"/>
    <w:rsid w:val="00720230"/>
    <w:rsid w:val="0072314F"/>
    <w:rsid w:val="007317F6"/>
    <w:rsid w:val="00732581"/>
    <w:rsid w:val="00733590"/>
    <w:rsid w:val="00733C7D"/>
    <w:rsid w:val="007342E3"/>
    <w:rsid w:val="00734CF9"/>
    <w:rsid w:val="007360BC"/>
    <w:rsid w:val="00740806"/>
    <w:rsid w:val="00741F0B"/>
    <w:rsid w:val="007429EB"/>
    <w:rsid w:val="007448DB"/>
    <w:rsid w:val="0074502F"/>
    <w:rsid w:val="0074539D"/>
    <w:rsid w:val="0074692A"/>
    <w:rsid w:val="00747805"/>
    <w:rsid w:val="00747D03"/>
    <w:rsid w:val="007514C8"/>
    <w:rsid w:val="00751EBC"/>
    <w:rsid w:val="007520FC"/>
    <w:rsid w:val="00753210"/>
    <w:rsid w:val="00754CEE"/>
    <w:rsid w:val="00754DCA"/>
    <w:rsid w:val="00755063"/>
    <w:rsid w:val="00757241"/>
    <w:rsid w:val="00757AB3"/>
    <w:rsid w:val="0076051B"/>
    <w:rsid w:val="0076061F"/>
    <w:rsid w:val="00760C84"/>
    <w:rsid w:val="00761869"/>
    <w:rsid w:val="00761ACD"/>
    <w:rsid w:val="00762A5F"/>
    <w:rsid w:val="00763BCE"/>
    <w:rsid w:val="007659A5"/>
    <w:rsid w:val="00766125"/>
    <w:rsid w:val="007662B3"/>
    <w:rsid w:val="00771372"/>
    <w:rsid w:val="00773F02"/>
    <w:rsid w:val="00774227"/>
    <w:rsid w:val="00774425"/>
    <w:rsid w:val="00775602"/>
    <w:rsid w:val="0077700B"/>
    <w:rsid w:val="007800B4"/>
    <w:rsid w:val="007801E7"/>
    <w:rsid w:val="0078070F"/>
    <w:rsid w:val="0078072A"/>
    <w:rsid w:val="00780E5F"/>
    <w:rsid w:val="00784015"/>
    <w:rsid w:val="007849F9"/>
    <w:rsid w:val="00784EF5"/>
    <w:rsid w:val="00785A32"/>
    <w:rsid w:val="00785F8A"/>
    <w:rsid w:val="00786795"/>
    <w:rsid w:val="00786AB5"/>
    <w:rsid w:val="007872F7"/>
    <w:rsid w:val="00787452"/>
    <w:rsid w:val="007875FD"/>
    <w:rsid w:val="0079050A"/>
    <w:rsid w:val="0079241F"/>
    <w:rsid w:val="0079302B"/>
    <w:rsid w:val="007942C9"/>
    <w:rsid w:val="00796072"/>
    <w:rsid w:val="007968F3"/>
    <w:rsid w:val="00796B2E"/>
    <w:rsid w:val="0079706A"/>
    <w:rsid w:val="00797584"/>
    <w:rsid w:val="007A03A4"/>
    <w:rsid w:val="007A0743"/>
    <w:rsid w:val="007A0DED"/>
    <w:rsid w:val="007A14ED"/>
    <w:rsid w:val="007A2FEF"/>
    <w:rsid w:val="007A333C"/>
    <w:rsid w:val="007A3ED1"/>
    <w:rsid w:val="007A5242"/>
    <w:rsid w:val="007A54C6"/>
    <w:rsid w:val="007A5ECC"/>
    <w:rsid w:val="007A6A60"/>
    <w:rsid w:val="007B0BB5"/>
    <w:rsid w:val="007B0D70"/>
    <w:rsid w:val="007B240A"/>
    <w:rsid w:val="007B251E"/>
    <w:rsid w:val="007B3978"/>
    <w:rsid w:val="007B4091"/>
    <w:rsid w:val="007B41E8"/>
    <w:rsid w:val="007B543E"/>
    <w:rsid w:val="007B5E7C"/>
    <w:rsid w:val="007B63B5"/>
    <w:rsid w:val="007B6713"/>
    <w:rsid w:val="007B6A38"/>
    <w:rsid w:val="007C03FA"/>
    <w:rsid w:val="007C13DA"/>
    <w:rsid w:val="007C16F5"/>
    <w:rsid w:val="007C259F"/>
    <w:rsid w:val="007C471F"/>
    <w:rsid w:val="007C47B8"/>
    <w:rsid w:val="007C4F6A"/>
    <w:rsid w:val="007C5125"/>
    <w:rsid w:val="007C5BD7"/>
    <w:rsid w:val="007C7016"/>
    <w:rsid w:val="007C7031"/>
    <w:rsid w:val="007C7EDB"/>
    <w:rsid w:val="007D103E"/>
    <w:rsid w:val="007D13DF"/>
    <w:rsid w:val="007D1481"/>
    <w:rsid w:val="007D2E73"/>
    <w:rsid w:val="007D30D0"/>
    <w:rsid w:val="007D3303"/>
    <w:rsid w:val="007D410D"/>
    <w:rsid w:val="007D4E37"/>
    <w:rsid w:val="007D76C3"/>
    <w:rsid w:val="007E2DB9"/>
    <w:rsid w:val="007E3191"/>
    <w:rsid w:val="007E33AB"/>
    <w:rsid w:val="007E34BB"/>
    <w:rsid w:val="007E39F1"/>
    <w:rsid w:val="007E4613"/>
    <w:rsid w:val="007E4AE4"/>
    <w:rsid w:val="007E569F"/>
    <w:rsid w:val="007F0592"/>
    <w:rsid w:val="007F2658"/>
    <w:rsid w:val="007F3666"/>
    <w:rsid w:val="007F5931"/>
    <w:rsid w:val="007F67B8"/>
    <w:rsid w:val="00800211"/>
    <w:rsid w:val="008025E2"/>
    <w:rsid w:val="008026EA"/>
    <w:rsid w:val="0080270B"/>
    <w:rsid w:val="00802B80"/>
    <w:rsid w:val="00802D61"/>
    <w:rsid w:val="00803DE1"/>
    <w:rsid w:val="00804C48"/>
    <w:rsid w:val="00805E1E"/>
    <w:rsid w:val="00807999"/>
    <w:rsid w:val="00807D90"/>
    <w:rsid w:val="0081025F"/>
    <w:rsid w:val="00811349"/>
    <w:rsid w:val="008121EF"/>
    <w:rsid w:val="0081221B"/>
    <w:rsid w:val="00812D4F"/>
    <w:rsid w:val="00813348"/>
    <w:rsid w:val="008135C4"/>
    <w:rsid w:val="008136EB"/>
    <w:rsid w:val="00814741"/>
    <w:rsid w:val="008149CD"/>
    <w:rsid w:val="00815734"/>
    <w:rsid w:val="008163CF"/>
    <w:rsid w:val="008166F0"/>
    <w:rsid w:val="0081693D"/>
    <w:rsid w:val="0081703F"/>
    <w:rsid w:val="00817A78"/>
    <w:rsid w:val="00820F41"/>
    <w:rsid w:val="00821409"/>
    <w:rsid w:val="0082270C"/>
    <w:rsid w:val="00824305"/>
    <w:rsid w:val="00825AB3"/>
    <w:rsid w:val="008269DF"/>
    <w:rsid w:val="0082787A"/>
    <w:rsid w:val="008304F0"/>
    <w:rsid w:val="00830875"/>
    <w:rsid w:val="00833347"/>
    <w:rsid w:val="008339CA"/>
    <w:rsid w:val="0083530E"/>
    <w:rsid w:val="00835E07"/>
    <w:rsid w:val="00836CA5"/>
    <w:rsid w:val="0083768B"/>
    <w:rsid w:val="00840B95"/>
    <w:rsid w:val="008415AE"/>
    <w:rsid w:val="008416D0"/>
    <w:rsid w:val="00842225"/>
    <w:rsid w:val="00842EE6"/>
    <w:rsid w:val="008437D3"/>
    <w:rsid w:val="0085081B"/>
    <w:rsid w:val="00851702"/>
    <w:rsid w:val="008519F3"/>
    <w:rsid w:val="00851F93"/>
    <w:rsid w:val="00853363"/>
    <w:rsid w:val="0085492E"/>
    <w:rsid w:val="00855B63"/>
    <w:rsid w:val="00856630"/>
    <w:rsid w:val="00856A78"/>
    <w:rsid w:val="00857984"/>
    <w:rsid w:val="00857A53"/>
    <w:rsid w:val="0086061C"/>
    <w:rsid w:val="008638C2"/>
    <w:rsid w:val="0086457F"/>
    <w:rsid w:val="00866166"/>
    <w:rsid w:val="00870E14"/>
    <w:rsid w:val="00870F97"/>
    <w:rsid w:val="00873A83"/>
    <w:rsid w:val="00874043"/>
    <w:rsid w:val="00875230"/>
    <w:rsid w:val="00875E4C"/>
    <w:rsid w:val="00877107"/>
    <w:rsid w:val="008809BF"/>
    <w:rsid w:val="00881DD8"/>
    <w:rsid w:val="00882945"/>
    <w:rsid w:val="00882DA7"/>
    <w:rsid w:val="00882FBD"/>
    <w:rsid w:val="008855EB"/>
    <w:rsid w:val="00885C0E"/>
    <w:rsid w:val="00885CAA"/>
    <w:rsid w:val="0089035A"/>
    <w:rsid w:val="00890AE0"/>
    <w:rsid w:val="00890B65"/>
    <w:rsid w:val="008925F3"/>
    <w:rsid w:val="008927DC"/>
    <w:rsid w:val="00894CC2"/>
    <w:rsid w:val="008952EB"/>
    <w:rsid w:val="0089616A"/>
    <w:rsid w:val="008965D9"/>
    <w:rsid w:val="00896761"/>
    <w:rsid w:val="00896F0E"/>
    <w:rsid w:val="008A1AC3"/>
    <w:rsid w:val="008A23E7"/>
    <w:rsid w:val="008A303D"/>
    <w:rsid w:val="008A38BB"/>
    <w:rsid w:val="008A42A2"/>
    <w:rsid w:val="008A4847"/>
    <w:rsid w:val="008A5B14"/>
    <w:rsid w:val="008B009A"/>
    <w:rsid w:val="008B12B6"/>
    <w:rsid w:val="008B14E8"/>
    <w:rsid w:val="008B209C"/>
    <w:rsid w:val="008B6E21"/>
    <w:rsid w:val="008B7EBD"/>
    <w:rsid w:val="008C1660"/>
    <w:rsid w:val="008C1C58"/>
    <w:rsid w:val="008C37AD"/>
    <w:rsid w:val="008C5863"/>
    <w:rsid w:val="008D165A"/>
    <w:rsid w:val="008D29DF"/>
    <w:rsid w:val="008D305D"/>
    <w:rsid w:val="008D4747"/>
    <w:rsid w:val="008D5578"/>
    <w:rsid w:val="008D57DE"/>
    <w:rsid w:val="008D621B"/>
    <w:rsid w:val="008D68F3"/>
    <w:rsid w:val="008D6932"/>
    <w:rsid w:val="008D6E0B"/>
    <w:rsid w:val="008D710A"/>
    <w:rsid w:val="008D745E"/>
    <w:rsid w:val="008E0EEE"/>
    <w:rsid w:val="008E17F0"/>
    <w:rsid w:val="008E39E8"/>
    <w:rsid w:val="008E3CB6"/>
    <w:rsid w:val="008E4D7A"/>
    <w:rsid w:val="008E7339"/>
    <w:rsid w:val="008F0490"/>
    <w:rsid w:val="008F077D"/>
    <w:rsid w:val="008F085F"/>
    <w:rsid w:val="008F0F12"/>
    <w:rsid w:val="008F19FB"/>
    <w:rsid w:val="008F27CE"/>
    <w:rsid w:val="008F2D90"/>
    <w:rsid w:val="008F35DC"/>
    <w:rsid w:val="008F432A"/>
    <w:rsid w:val="008F437C"/>
    <w:rsid w:val="008F4669"/>
    <w:rsid w:val="008F5E2A"/>
    <w:rsid w:val="008F6AEE"/>
    <w:rsid w:val="0090033C"/>
    <w:rsid w:val="00900636"/>
    <w:rsid w:val="00901B07"/>
    <w:rsid w:val="00901ECE"/>
    <w:rsid w:val="00903797"/>
    <w:rsid w:val="00903C35"/>
    <w:rsid w:val="00903E00"/>
    <w:rsid w:val="009055F3"/>
    <w:rsid w:val="00906615"/>
    <w:rsid w:val="00906E73"/>
    <w:rsid w:val="009075D7"/>
    <w:rsid w:val="009107B3"/>
    <w:rsid w:val="0091260B"/>
    <w:rsid w:val="00913423"/>
    <w:rsid w:val="00913736"/>
    <w:rsid w:val="00915567"/>
    <w:rsid w:val="00916117"/>
    <w:rsid w:val="00917180"/>
    <w:rsid w:val="009209BD"/>
    <w:rsid w:val="0092291C"/>
    <w:rsid w:val="00922BD7"/>
    <w:rsid w:val="00924120"/>
    <w:rsid w:val="009256C8"/>
    <w:rsid w:val="00927F74"/>
    <w:rsid w:val="00931D6A"/>
    <w:rsid w:val="0093232C"/>
    <w:rsid w:val="0093320E"/>
    <w:rsid w:val="0093416B"/>
    <w:rsid w:val="0093583F"/>
    <w:rsid w:val="00936B7A"/>
    <w:rsid w:val="009378AE"/>
    <w:rsid w:val="009405D8"/>
    <w:rsid w:val="0094107C"/>
    <w:rsid w:val="0094168B"/>
    <w:rsid w:val="00942648"/>
    <w:rsid w:val="00943490"/>
    <w:rsid w:val="00943851"/>
    <w:rsid w:val="00943902"/>
    <w:rsid w:val="009447C5"/>
    <w:rsid w:val="009449A7"/>
    <w:rsid w:val="009458F6"/>
    <w:rsid w:val="00945F4C"/>
    <w:rsid w:val="009467E5"/>
    <w:rsid w:val="00946E1A"/>
    <w:rsid w:val="0094784B"/>
    <w:rsid w:val="00947C4B"/>
    <w:rsid w:val="009500B0"/>
    <w:rsid w:val="00950A7E"/>
    <w:rsid w:val="00950FB7"/>
    <w:rsid w:val="00950FC7"/>
    <w:rsid w:val="009524F4"/>
    <w:rsid w:val="00952795"/>
    <w:rsid w:val="009534E8"/>
    <w:rsid w:val="00953964"/>
    <w:rsid w:val="00954C0D"/>
    <w:rsid w:val="00954C4E"/>
    <w:rsid w:val="0095562F"/>
    <w:rsid w:val="009565E2"/>
    <w:rsid w:val="00956929"/>
    <w:rsid w:val="009602E4"/>
    <w:rsid w:val="00960359"/>
    <w:rsid w:val="00960F5F"/>
    <w:rsid w:val="009636D3"/>
    <w:rsid w:val="00963E59"/>
    <w:rsid w:val="00965D17"/>
    <w:rsid w:val="009678A1"/>
    <w:rsid w:val="0097061F"/>
    <w:rsid w:val="009711C2"/>
    <w:rsid w:val="00974114"/>
    <w:rsid w:val="00975568"/>
    <w:rsid w:val="00980119"/>
    <w:rsid w:val="00980AEC"/>
    <w:rsid w:val="0098153B"/>
    <w:rsid w:val="00982842"/>
    <w:rsid w:val="009831C2"/>
    <w:rsid w:val="00983A61"/>
    <w:rsid w:val="00986E26"/>
    <w:rsid w:val="00990323"/>
    <w:rsid w:val="009906BE"/>
    <w:rsid w:val="00990E20"/>
    <w:rsid w:val="00991826"/>
    <w:rsid w:val="00991E20"/>
    <w:rsid w:val="009926B7"/>
    <w:rsid w:val="00992CA9"/>
    <w:rsid w:val="0099344B"/>
    <w:rsid w:val="00993D1E"/>
    <w:rsid w:val="00993D3D"/>
    <w:rsid w:val="0099470A"/>
    <w:rsid w:val="00995BBF"/>
    <w:rsid w:val="009968F5"/>
    <w:rsid w:val="00997D63"/>
    <w:rsid w:val="009A1441"/>
    <w:rsid w:val="009A1C2B"/>
    <w:rsid w:val="009A241D"/>
    <w:rsid w:val="009A3827"/>
    <w:rsid w:val="009A392A"/>
    <w:rsid w:val="009A5872"/>
    <w:rsid w:val="009A6D90"/>
    <w:rsid w:val="009A702A"/>
    <w:rsid w:val="009A762C"/>
    <w:rsid w:val="009A7707"/>
    <w:rsid w:val="009B1609"/>
    <w:rsid w:val="009B568B"/>
    <w:rsid w:val="009C040F"/>
    <w:rsid w:val="009C184A"/>
    <w:rsid w:val="009C47A8"/>
    <w:rsid w:val="009C71E8"/>
    <w:rsid w:val="009D0110"/>
    <w:rsid w:val="009D2558"/>
    <w:rsid w:val="009D28B6"/>
    <w:rsid w:val="009D2CA2"/>
    <w:rsid w:val="009D4BD7"/>
    <w:rsid w:val="009D543F"/>
    <w:rsid w:val="009D5DEE"/>
    <w:rsid w:val="009D5E85"/>
    <w:rsid w:val="009D6DE9"/>
    <w:rsid w:val="009D7C85"/>
    <w:rsid w:val="009D7F6C"/>
    <w:rsid w:val="009E0089"/>
    <w:rsid w:val="009E1409"/>
    <w:rsid w:val="009E14A0"/>
    <w:rsid w:val="009E19BE"/>
    <w:rsid w:val="009E283E"/>
    <w:rsid w:val="009E2B43"/>
    <w:rsid w:val="009E318A"/>
    <w:rsid w:val="009E35D6"/>
    <w:rsid w:val="009E39E3"/>
    <w:rsid w:val="009E54DA"/>
    <w:rsid w:val="009E6212"/>
    <w:rsid w:val="009E633F"/>
    <w:rsid w:val="009E64CE"/>
    <w:rsid w:val="009E7C48"/>
    <w:rsid w:val="009E7F4D"/>
    <w:rsid w:val="009F1754"/>
    <w:rsid w:val="009F214E"/>
    <w:rsid w:val="009F26BE"/>
    <w:rsid w:val="009F29DA"/>
    <w:rsid w:val="009F2BAE"/>
    <w:rsid w:val="009F3ECF"/>
    <w:rsid w:val="009F4CC2"/>
    <w:rsid w:val="009F4FF6"/>
    <w:rsid w:val="009F6EF4"/>
    <w:rsid w:val="009F7224"/>
    <w:rsid w:val="009F7E08"/>
    <w:rsid w:val="009F7F11"/>
    <w:rsid w:val="00A00813"/>
    <w:rsid w:val="00A015A8"/>
    <w:rsid w:val="00A015E4"/>
    <w:rsid w:val="00A03E83"/>
    <w:rsid w:val="00A04C83"/>
    <w:rsid w:val="00A05F73"/>
    <w:rsid w:val="00A064DA"/>
    <w:rsid w:val="00A069A6"/>
    <w:rsid w:val="00A0751D"/>
    <w:rsid w:val="00A10017"/>
    <w:rsid w:val="00A102E1"/>
    <w:rsid w:val="00A105A2"/>
    <w:rsid w:val="00A107CC"/>
    <w:rsid w:val="00A11A5C"/>
    <w:rsid w:val="00A11AEC"/>
    <w:rsid w:val="00A12E84"/>
    <w:rsid w:val="00A13A01"/>
    <w:rsid w:val="00A14D65"/>
    <w:rsid w:val="00A153EA"/>
    <w:rsid w:val="00A168FB"/>
    <w:rsid w:val="00A1694E"/>
    <w:rsid w:val="00A17181"/>
    <w:rsid w:val="00A2426D"/>
    <w:rsid w:val="00A2495C"/>
    <w:rsid w:val="00A249F0"/>
    <w:rsid w:val="00A25265"/>
    <w:rsid w:val="00A30330"/>
    <w:rsid w:val="00A30693"/>
    <w:rsid w:val="00A31C00"/>
    <w:rsid w:val="00A321D1"/>
    <w:rsid w:val="00A328B9"/>
    <w:rsid w:val="00A33EAF"/>
    <w:rsid w:val="00A34775"/>
    <w:rsid w:val="00A36047"/>
    <w:rsid w:val="00A367F3"/>
    <w:rsid w:val="00A3725B"/>
    <w:rsid w:val="00A4073B"/>
    <w:rsid w:val="00A42641"/>
    <w:rsid w:val="00A4328A"/>
    <w:rsid w:val="00A44AAD"/>
    <w:rsid w:val="00A4587E"/>
    <w:rsid w:val="00A46474"/>
    <w:rsid w:val="00A46D93"/>
    <w:rsid w:val="00A50807"/>
    <w:rsid w:val="00A516FE"/>
    <w:rsid w:val="00A5421A"/>
    <w:rsid w:val="00A55D8F"/>
    <w:rsid w:val="00A57A8B"/>
    <w:rsid w:val="00A57D6A"/>
    <w:rsid w:val="00A60E16"/>
    <w:rsid w:val="00A615E2"/>
    <w:rsid w:val="00A636B4"/>
    <w:rsid w:val="00A63BAA"/>
    <w:rsid w:val="00A64293"/>
    <w:rsid w:val="00A64A62"/>
    <w:rsid w:val="00A64D68"/>
    <w:rsid w:val="00A703FF"/>
    <w:rsid w:val="00A704BB"/>
    <w:rsid w:val="00A7064A"/>
    <w:rsid w:val="00A7198E"/>
    <w:rsid w:val="00A71EC0"/>
    <w:rsid w:val="00A72067"/>
    <w:rsid w:val="00A72452"/>
    <w:rsid w:val="00A72628"/>
    <w:rsid w:val="00A731DB"/>
    <w:rsid w:val="00A747CF"/>
    <w:rsid w:val="00A749C1"/>
    <w:rsid w:val="00A75426"/>
    <w:rsid w:val="00A7718C"/>
    <w:rsid w:val="00A7783E"/>
    <w:rsid w:val="00A7790C"/>
    <w:rsid w:val="00A77BC9"/>
    <w:rsid w:val="00A77C05"/>
    <w:rsid w:val="00A80E02"/>
    <w:rsid w:val="00A81500"/>
    <w:rsid w:val="00A81674"/>
    <w:rsid w:val="00A827BB"/>
    <w:rsid w:val="00A83717"/>
    <w:rsid w:val="00A846BC"/>
    <w:rsid w:val="00A84E97"/>
    <w:rsid w:val="00A8544A"/>
    <w:rsid w:val="00A85C6F"/>
    <w:rsid w:val="00A872EA"/>
    <w:rsid w:val="00A8749C"/>
    <w:rsid w:val="00A9001D"/>
    <w:rsid w:val="00A90731"/>
    <w:rsid w:val="00A922A1"/>
    <w:rsid w:val="00A928E8"/>
    <w:rsid w:val="00A92EE5"/>
    <w:rsid w:val="00A93322"/>
    <w:rsid w:val="00A94B66"/>
    <w:rsid w:val="00A95A15"/>
    <w:rsid w:val="00A967DC"/>
    <w:rsid w:val="00A968F2"/>
    <w:rsid w:val="00A97805"/>
    <w:rsid w:val="00A97AD1"/>
    <w:rsid w:val="00A97DFE"/>
    <w:rsid w:val="00A97FC4"/>
    <w:rsid w:val="00AA0662"/>
    <w:rsid w:val="00AA2677"/>
    <w:rsid w:val="00AA2C56"/>
    <w:rsid w:val="00AA3B12"/>
    <w:rsid w:val="00AA4033"/>
    <w:rsid w:val="00AA4A4C"/>
    <w:rsid w:val="00AA61E2"/>
    <w:rsid w:val="00AA6AF9"/>
    <w:rsid w:val="00AA7F39"/>
    <w:rsid w:val="00AB0863"/>
    <w:rsid w:val="00AB0D2F"/>
    <w:rsid w:val="00AB109E"/>
    <w:rsid w:val="00AB12E6"/>
    <w:rsid w:val="00AB2CC0"/>
    <w:rsid w:val="00AB41BF"/>
    <w:rsid w:val="00AB47C1"/>
    <w:rsid w:val="00AB6600"/>
    <w:rsid w:val="00AB66F4"/>
    <w:rsid w:val="00AB6C4C"/>
    <w:rsid w:val="00AB7D96"/>
    <w:rsid w:val="00AC0A05"/>
    <w:rsid w:val="00AC0B07"/>
    <w:rsid w:val="00AC1B11"/>
    <w:rsid w:val="00AC1BBF"/>
    <w:rsid w:val="00AC2F02"/>
    <w:rsid w:val="00AC3FA3"/>
    <w:rsid w:val="00AC6B01"/>
    <w:rsid w:val="00AC6DAC"/>
    <w:rsid w:val="00AC736D"/>
    <w:rsid w:val="00AC79B0"/>
    <w:rsid w:val="00AC7D66"/>
    <w:rsid w:val="00AD1FED"/>
    <w:rsid w:val="00AD2F55"/>
    <w:rsid w:val="00AD359A"/>
    <w:rsid w:val="00AD3E32"/>
    <w:rsid w:val="00AD4D0A"/>
    <w:rsid w:val="00AD534D"/>
    <w:rsid w:val="00AD6965"/>
    <w:rsid w:val="00AD69BC"/>
    <w:rsid w:val="00AD788F"/>
    <w:rsid w:val="00AE0165"/>
    <w:rsid w:val="00AE0310"/>
    <w:rsid w:val="00AE0716"/>
    <w:rsid w:val="00AE14E2"/>
    <w:rsid w:val="00AE398E"/>
    <w:rsid w:val="00AE48EB"/>
    <w:rsid w:val="00AE4ED5"/>
    <w:rsid w:val="00AE510C"/>
    <w:rsid w:val="00AE63B8"/>
    <w:rsid w:val="00AE695C"/>
    <w:rsid w:val="00AE6E8D"/>
    <w:rsid w:val="00AE73AD"/>
    <w:rsid w:val="00AE77B1"/>
    <w:rsid w:val="00AF21D2"/>
    <w:rsid w:val="00AF229E"/>
    <w:rsid w:val="00AF527A"/>
    <w:rsid w:val="00B00104"/>
    <w:rsid w:val="00B008B2"/>
    <w:rsid w:val="00B01AA2"/>
    <w:rsid w:val="00B01F6E"/>
    <w:rsid w:val="00B044FF"/>
    <w:rsid w:val="00B048A5"/>
    <w:rsid w:val="00B04BA5"/>
    <w:rsid w:val="00B06CE7"/>
    <w:rsid w:val="00B071DF"/>
    <w:rsid w:val="00B120FF"/>
    <w:rsid w:val="00B12C5A"/>
    <w:rsid w:val="00B12F55"/>
    <w:rsid w:val="00B13347"/>
    <w:rsid w:val="00B139FD"/>
    <w:rsid w:val="00B14D8C"/>
    <w:rsid w:val="00B15016"/>
    <w:rsid w:val="00B152A8"/>
    <w:rsid w:val="00B152F0"/>
    <w:rsid w:val="00B15861"/>
    <w:rsid w:val="00B161AF"/>
    <w:rsid w:val="00B178BF"/>
    <w:rsid w:val="00B2322D"/>
    <w:rsid w:val="00B25044"/>
    <w:rsid w:val="00B25694"/>
    <w:rsid w:val="00B2681A"/>
    <w:rsid w:val="00B26C0F"/>
    <w:rsid w:val="00B26FBD"/>
    <w:rsid w:val="00B27445"/>
    <w:rsid w:val="00B27449"/>
    <w:rsid w:val="00B27ECB"/>
    <w:rsid w:val="00B32A18"/>
    <w:rsid w:val="00B33381"/>
    <w:rsid w:val="00B33461"/>
    <w:rsid w:val="00B33C23"/>
    <w:rsid w:val="00B34060"/>
    <w:rsid w:val="00B34321"/>
    <w:rsid w:val="00B371FD"/>
    <w:rsid w:val="00B40261"/>
    <w:rsid w:val="00B40F75"/>
    <w:rsid w:val="00B4227B"/>
    <w:rsid w:val="00B42EE9"/>
    <w:rsid w:val="00B449D4"/>
    <w:rsid w:val="00B44F7A"/>
    <w:rsid w:val="00B4554D"/>
    <w:rsid w:val="00B4573F"/>
    <w:rsid w:val="00B4589C"/>
    <w:rsid w:val="00B4602A"/>
    <w:rsid w:val="00B468FD"/>
    <w:rsid w:val="00B46B90"/>
    <w:rsid w:val="00B46EFC"/>
    <w:rsid w:val="00B50DB4"/>
    <w:rsid w:val="00B51BFF"/>
    <w:rsid w:val="00B51D5F"/>
    <w:rsid w:val="00B52088"/>
    <w:rsid w:val="00B5252C"/>
    <w:rsid w:val="00B52DDB"/>
    <w:rsid w:val="00B5418E"/>
    <w:rsid w:val="00B555A4"/>
    <w:rsid w:val="00B55AE1"/>
    <w:rsid w:val="00B55BD2"/>
    <w:rsid w:val="00B62841"/>
    <w:rsid w:val="00B62EB8"/>
    <w:rsid w:val="00B62F06"/>
    <w:rsid w:val="00B65F08"/>
    <w:rsid w:val="00B6614E"/>
    <w:rsid w:val="00B66409"/>
    <w:rsid w:val="00B66AA6"/>
    <w:rsid w:val="00B677A3"/>
    <w:rsid w:val="00B7025C"/>
    <w:rsid w:val="00B7044A"/>
    <w:rsid w:val="00B71633"/>
    <w:rsid w:val="00B76E3F"/>
    <w:rsid w:val="00B76F70"/>
    <w:rsid w:val="00B775FE"/>
    <w:rsid w:val="00B80DF4"/>
    <w:rsid w:val="00B82CBF"/>
    <w:rsid w:val="00B82D7E"/>
    <w:rsid w:val="00B85B9A"/>
    <w:rsid w:val="00B9111C"/>
    <w:rsid w:val="00B926B0"/>
    <w:rsid w:val="00B92F7C"/>
    <w:rsid w:val="00B9344B"/>
    <w:rsid w:val="00B94904"/>
    <w:rsid w:val="00B94ED7"/>
    <w:rsid w:val="00B965CE"/>
    <w:rsid w:val="00BA0936"/>
    <w:rsid w:val="00BA131F"/>
    <w:rsid w:val="00BA1AB0"/>
    <w:rsid w:val="00BA1B65"/>
    <w:rsid w:val="00BA25CD"/>
    <w:rsid w:val="00BA28CC"/>
    <w:rsid w:val="00BA2DD7"/>
    <w:rsid w:val="00BA540B"/>
    <w:rsid w:val="00BA77CD"/>
    <w:rsid w:val="00BA7C87"/>
    <w:rsid w:val="00BB011F"/>
    <w:rsid w:val="00BB21E4"/>
    <w:rsid w:val="00BB2D60"/>
    <w:rsid w:val="00BB4B67"/>
    <w:rsid w:val="00BB4C1C"/>
    <w:rsid w:val="00BB4CA5"/>
    <w:rsid w:val="00BB5033"/>
    <w:rsid w:val="00BB54A3"/>
    <w:rsid w:val="00BB5776"/>
    <w:rsid w:val="00BC0333"/>
    <w:rsid w:val="00BC0F73"/>
    <w:rsid w:val="00BC17AD"/>
    <w:rsid w:val="00BC2450"/>
    <w:rsid w:val="00BC375A"/>
    <w:rsid w:val="00BC5DF1"/>
    <w:rsid w:val="00BC6691"/>
    <w:rsid w:val="00BC6763"/>
    <w:rsid w:val="00BC67B4"/>
    <w:rsid w:val="00BC7DCE"/>
    <w:rsid w:val="00BC7FC2"/>
    <w:rsid w:val="00BD0A18"/>
    <w:rsid w:val="00BD0AC4"/>
    <w:rsid w:val="00BD238C"/>
    <w:rsid w:val="00BD2C69"/>
    <w:rsid w:val="00BD44B0"/>
    <w:rsid w:val="00BD5794"/>
    <w:rsid w:val="00BD5A96"/>
    <w:rsid w:val="00BD68B4"/>
    <w:rsid w:val="00BD769E"/>
    <w:rsid w:val="00BE0D35"/>
    <w:rsid w:val="00BE1B9D"/>
    <w:rsid w:val="00BE3139"/>
    <w:rsid w:val="00BE3D52"/>
    <w:rsid w:val="00BE54CD"/>
    <w:rsid w:val="00BE62A6"/>
    <w:rsid w:val="00BE67D1"/>
    <w:rsid w:val="00BF1DD1"/>
    <w:rsid w:val="00BF1E67"/>
    <w:rsid w:val="00BF208F"/>
    <w:rsid w:val="00BF2891"/>
    <w:rsid w:val="00BF3F83"/>
    <w:rsid w:val="00BF47CF"/>
    <w:rsid w:val="00BF4826"/>
    <w:rsid w:val="00BF5286"/>
    <w:rsid w:val="00BF5955"/>
    <w:rsid w:val="00C013EB"/>
    <w:rsid w:val="00C0180B"/>
    <w:rsid w:val="00C02406"/>
    <w:rsid w:val="00C0257B"/>
    <w:rsid w:val="00C02A9A"/>
    <w:rsid w:val="00C02D65"/>
    <w:rsid w:val="00C03E2E"/>
    <w:rsid w:val="00C05DE3"/>
    <w:rsid w:val="00C06077"/>
    <w:rsid w:val="00C07BBD"/>
    <w:rsid w:val="00C1056A"/>
    <w:rsid w:val="00C120A8"/>
    <w:rsid w:val="00C127A9"/>
    <w:rsid w:val="00C141E2"/>
    <w:rsid w:val="00C16233"/>
    <w:rsid w:val="00C17BE8"/>
    <w:rsid w:val="00C17C4B"/>
    <w:rsid w:val="00C21B94"/>
    <w:rsid w:val="00C21D0C"/>
    <w:rsid w:val="00C23282"/>
    <w:rsid w:val="00C23CFA"/>
    <w:rsid w:val="00C25061"/>
    <w:rsid w:val="00C2549D"/>
    <w:rsid w:val="00C25948"/>
    <w:rsid w:val="00C25952"/>
    <w:rsid w:val="00C25DBD"/>
    <w:rsid w:val="00C26327"/>
    <w:rsid w:val="00C27380"/>
    <w:rsid w:val="00C3063F"/>
    <w:rsid w:val="00C314AC"/>
    <w:rsid w:val="00C33213"/>
    <w:rsid w:val="00C332DD"/>
    <w:rsid w:val="00C3341B"/>
    <w:rsid w:val="00C335FC"/>
    <w:rsid w:val="00C33CF7"/>
    <w:rsid w:val="00C34723"/>
    <w:rsid w:val="00C34BAD"/>
    <w:rsid w:val="00C363A1"/>
    <w:rsid w:val="00C366A3"/>
    <w:rsid w:val="00C419C6"/>
    <w:rsid w:val="00C42745"/>
    <w:rsid w:val="00C43F50"/>
    <w:rsid w:val="00C449F8"/>
    <w:rsid w:val="00C45F46"/>
    <w:rsid w:val="00C46906"/>
    <w:rsid w:val="00C50149"/>
    <w:rsid w:val="00C50CB8"/>
    <w:rsid w:val="00C50EFB"/>
    <w:rsid w:val="00C51253"/>
    <w:rsid w:val="00C516D0"/>
    <w:rsid w:val="00C52D65"/>
    <w:rsid w:val="00C52FBD"/>
    <w:rsid w:val="00C54A6A"/>
    <w:rsid w:val="00C5665A"/>
    <w:rsid w:val="00C56A76"/>
    <w:rsid w:val="00C570E4"/>
    <w:rsid w:val="00C60449"/>
    <w:rsid w:val="00C6125E"/>
    <w:rsid w:val="00C618C1"/>
    <w:rsid w:val="00C61B14"/>
    <w:rsid w:val="00C62036"/>
    <w:rsid w:val="00C65DA5"/>
    <w:rsid w:val="00C6648F"/>
    <w:rsid w:val="00C672C5"/>
    <w:rsid w:val="00C700DD"/>
    <w:rsid w:val="00C740E3"/>
    <w:rsid w:val="00C741CF"/>
    <w:rsid w:val="00C756A2"/>
    <w:rsid w:val="00C77234"/>
    <w:rsid w:val="00C772F3"/>
    <w:rsid w:val="00C7756E"/>
    <w:rsid w:val="00C77A6B"/>
    <w:rsid w:val="00C77EBB"/>
    <w:rsid w:val="00C8013F"/>
    <w:rsid w:val="00C80FAE"/>
    <w:rsid w:val="00C83338"/>
    <w:rsid w:val="00C8360A"/>
    <w:rsid w:val="00C842F0"/>
    <w:rsid w:val="00C8653A"/>
    <w:rsid w:val="00C87B93"/>
    <w:rsid w:val="00C90F1B"/>
    <w:rsid w:val="00C92060"/>
    <w:rsid w:val="00C93ACA"/>
    <w:rsid w:val="00C94080"/>
    <w:rsid w:val="00C967FE"/>
    <w:rsid w:val="00C97795"/>
    <w:rsid w:val="00CA03A7"/>
    <w:rsid w:val="00CA172D"/>
    <w:rsid w:val="00CA2501"/>
    <w:rsid w:val="00CA2E4B"/>
    <w:rsid w:val="00CA6B3B"/>
    <w:rsid w:val="00CB2221"/>
    <w:rsid w:val="00CB27DA"/>
    <w:rsid w:val="00CB291B"/>
    <w:rsid w:val="00CB2D34"/>
    <w:rsid w:val="00CB4E1E"/>
    <w:rsid w:val="00CB5ECC"/>
    <w:rsid w:val="00CC093C"/>
    <w:rsid w:val="00CC15BD"/>
    <w:rsid w:val="00CC37DD"/>
    <w:rsid w:val="00CC3D6C"/>
    <w:rsid w:val="00CC4914"/>
    <w:rsid w:val="00CC4C27"/>
    <w:rsid w:val="00CC5304"/>
    <w:rsid w:val="00CC5469"/>
    <w:rsid w:val="00CC5C95"/>
    <w:rsid w:val="00CC7464"/>
    <w:rsid w:val="00CC7AA9"/>
    <w:rsid w:val="00CC7C2E"/>
    <w:rsid w:val="00CC7FD0"/>
    <w:rsid w:val="00CD24BB"/>
    <w:rsid w:val="00CD2612"/>
    <w:rsid w:val="00CD2A7E"/>
    <w:rsid w:val="00CD32EC"/>
    <w:rsid w:val="00CD3318"/>
    <w:rsid w:val="00CD3F0C"/>
    <w:rsid w:val="00CD4DA7"/>
    <w:rsid w:val="00CD4EEB"/>
    <w:rsid w:val="00CD50F9"/>
    <w:rsid w:val="00CD54C8"/>
    <w:rsid w:val="00CD6093"/>
    <w:rsid w:val="00CD7CAF"/>
    <w:rsid w:val="00CE1DFE"/>
    <w:rsid w:val="00CE3848"/>
    <w:rsid w:val="00CE3EB8"/>
    <w:rsid w:val="00CE41D3"/>
    <w:rsid w:val="00CE45E6"/>
    <w:rsid w:val="00CE4A32"/>
    <w:rsid w:val="00CE50E2"/>
    <w:rsid w:val="00CE55F6"/>
    <w:rsid w:val="00CE6F55"/>
    <w:rsid w:val="00CE73AD"/>
    <w:rsid w:val="00CF2E1F"/>
    <w:rsid w:val="00CF3AA1"/>
    <w:rsid w:val="00CF4CEE"/>
    <w:rsid w:val="00CF63EF"/>
    <w:rsid w:val="00CF6590"/>
    <w:rsid w:val="00CF778F"/>
    <w:rsid w:val="00D004F2"/>
    <w:rsid w:val="00D017B5"/>
    <w:rsid w:val="00D01F97"/>
    <w:rsid w:val="00D02D44"/>
    <w:rsid w:val="00D031FB"/>
    <w:rsid w:val="00D0347E"/>
    <w:rsid w:val="00D0460B"/>
    <w:rsid w:val="00D04F6E"/>
    <w:rsid w:val="00D055AC"/>
    <w:rsid w:val="00D06E1D"/>
    <w:rsid w:val="00D07D3C"/>
    <w:rsid w:val="00D11271"/>
    <w:rsid w:val="00D1130B"/>
    <w:rsid w:val="00D114F3"/>
    <w:rsid w:val="00D13D2C"/>
    <w:rsid w:val="00D142EB"/>
    <w:rsid w:val="00D1519E"/>
    <w:rsid w:val="00D169C4"/>
    <w:rsid w:val="00D17640"/>
    <w:rsid w:val="00D2092E"/>
    <w:rsid w:val="00D20953"/>
    <w:rsid w:val="00D20E84"/>
    <w:rsid w:val="00D21EA6"/>
    <w:rsid w:val="00D223A6"/>
    <w:rsid w:val="00D23518"/>
    <w:rsid w:val="00D300DD"/>
    <w:rsid w:val="00D302AB"/>
    <w:rsid w:val="00D314A1"/>
    <w:rsid w:val="00D32D34"/>
    <w:rsid w:val="00D32FA4"/>
    <w:rsid w:val="00D33CA2"/>
    <w:rsid w:val="00D34814"/>
    <w:rsid w:val="00D34B17"/>
    <w:rsid w:val="00D34C70"/>
    <w:rsid w:val="00D34E54"/>
    <w:rsid w:val="00D37774"/>
    <w:rsid w:val="00D37D27"/>
    <w:rsid w:val="00D37D76"/>
    <w:rsid w:val="00D40524"/>
    <w:rsid w:val="00D416CF"/>
    <w:rsid w:val="00D42033"/>
    <w:rsid w:val="00D4217A"/>
    <w:rsid w:val="00D426D2"/>
    <w:rsid w:val="00D468C2"/>
    <w:rsid w:val="00D47804"/>
    <w:rsid w:val="00D51D8B"/>
    <w:rsid w:val="00D53717"/>
    <w:rsid w:val="00D5493B"/>
    <w:rsid w:val="00D54BA3"/>
    <w:rsid w:val="00D54CB7"/>
    <w:rsid w:val="00D550CB"/>
    <w:rsid w:val="00D5553F"/>
    <w:rsid w:val="00D55D98"/>
    <w:rsid w:val="00D55F4C"/>
    <w:rsid w:val="00D56CAB"/>
    <w:rsid w:val="00D615C9"/>
    <w:rsid w:val="00D61F80"/>
    <w:rsid w:val="00D6347B"/>
    <w:rsid w:val="00D63532"/>
    <w:rsid w:val="00D66CF5"/>
    <w:rsid w:val="00D677B9"/>
    <w:rsid w:val="00D67F16"/>
    <w:rsid w:val="00D71F85"/>
    <w:rsid w:val="00D72B5C"/>
    <w:rsid w:val="00D76B3A"/>
    <w:rsid w:val="00D76DA9"/>
    <w:rsid w:val="00D77374"/>
    <w:rsid w:val="00D81A4A"/>
    <w:rsid w:val="00D82A40"/>
    <w:rsid w:val="00D83015"/>
    <w:rsid w:val="00D83D95"/>
    <w:rsid w:val="00D8440F"/>
    <w:rsid w:val="00D84F3C"/>
    <w:rsid w:val="00D850DA"/>
    <w:rsid w:val="00D86B4A"/>
    <w:rsid w:val="00D86C08"/>
    <w:rsid w:val="00D90ABF"/>
    <w:rsid w:val="00D91C64"/>
    <w:rsid w:val="00D924A5"/>
    <w:rsid w:val="00D935CD"/>
    <w:rsid w:val="00D95280"/>
    <w:rsid w:val="00D96732"/>
    <w:rsid w:val="00D96C87"/>
    <w:rsid w:val="00D97D41"/>
    <w:rsid w:val="00DA013F"/>
    <w:rsid w:val="00DA037F"/>
    <w:rsid w:val="00DA0902"/>
    <w:rsid w:val="00DA2634"/>
    <w:rsid w:val="00DA2BE2"/>
    <w:rsid w:val="00DA2E24"/>
    <w:rsid w:val="00DA3575"/>
    <w:rsid w:val="00DA358C"/>
    <w:rsid w:val="00DA4CDE"/>
    <w:rsid w:val="00DA73BB"/>
    <w:rsid w:val="00DA7D28"/>
    <w:rsid w:val="00DB259A"/>
    <w:rsid w:val="00DB3E6D"/>
    <w:rsid w:val="00DB78B2"/>
    <w:rsid w:val="00DC05B9"/>
    <w:rsid w:val="00DC1278"/>
    <w:rsid w:val="00DC13B6"/>
    <w:rsid w:val="00DC1AC5"/>
    <w:rsid w:val="00DC69BE"/>
    <w:rsid w:val="00DC7C19"/>
    <w:rsid w:val="00DC7CFC"/>
    <w:rsid w:val="00DD1B00"/>
    <w:rsid w:val="00DD2AC8"/>
    <w:rsid w:val="00DD2CF4"/>
    <w:rsid w:val="00DD2EB4"/>
    <w:rsid w:val="00DD3144"/>
    <w:rsid w:val="00DD3C49"/>
    <w:rsid w:val="00DD41DF"/>
    <w:rsid w:val="00DD54A1"/>
    <w:rsid w:val="00DD5DDE"/>
    <w:rsid w:val="00DD6BAF"/>
    <w:rsid w:val="00DD6F1D"/>
    <w:rsid w:val="00DE060F"/>
    <w:rsid w:val="00DE06A7"/>
    <w:rsid w:val="00DE0C30"/>
    <w:rsid w:val="00DE25B8"/>
    <w:rsid w:val="00DE2CE5"/>
    <w:rsid w:val="00DE30EF"/>
    <w:rsid w:val="00DE40DA"/>
    <w:rsid w:val="00DE4241"/>
    <w:rsid w:val="00DE480A"/>
    <w:rsid w:val="00DE49C7"/>
    <w:rsid w:val="00DE4FC6"/>
    <w:rsid w:val="00DE6695"/>
    <w:rsid w:val="00DF1D96"/>
    <w:rsid w:val="00DF698F"/>
    <w:rsid w:val="00DF6D30"/>
    <w:rsid w:val="00DF7176"/>
    <w:rsid w:val="00E0163F"/>
    <w:rsid w:val="00E0299F"/>
    <w:rsid w:val="00E02E0C"/>
    <w:rsid w:val="00E043B7"/>
    <w:rsid w:val="00E043B8"/>
    <w:rsid w:val="00E048D9"/>
    <w:rsid w:val="00E054E3"/>
    <w:rsid w:val="00E05F24"/>
    <w:rsid w:val="00E06947"/>
    <w:rsid w:val="00E06CB1"/>
    <w:rsid w:val="00E07482"/>
    <w:rsid w:val="00E10495"/>
    <w:rsid w:val="00E1184C"/>
    <w:rsid w:val="00E11BD1"/>
    <w:rsid w:val="00E136D2"/>
    <w:rsid w:val="00E13FAE"/>
    <w:rsid w:val="00E14110"/>
    <w:rsid w:val="00E1788A"/>
    <w:rsid w:val="00E17AA8"/>
    <w:rsid w:val="00E2108E"/>
    <w:rsid w:val="00E212B1"/>
    <w:rsid w:val="00E21E3D"/>
    <w:rsid w:val="00E241B1"/>
    <w:rsid w:val="00E25239"/>
    <w:rsid w:val="00E2584F"/>
    <w:rsid w:val="00E25862"/>
    <w:rsid w:val="00E269F9"/>
    <w:rsid w:val="00E273B7"/>
    <w:rsid w:val="00E27771"/>
    <w:rsid w:val="00E307D3"/>
    <w:rsid w:val="00E31A9E"/>
    <w:rsid w:val="00E32FB4"/>
    <w:rsid w:val="00E3342B"/>
    <w:rsid w:val="00E33B57"/>
    <w:rsid w:val="00E34121"/>
    <w:rsid w:val="00E418C1"/>
    <w:rsid w:val="00E4211A"/>
    <w:rsid w:val="00E42336"/>
    <w:rsid w:val="00E43F2F"/>
    <w:rsid w:val="00E442CD"/>
    <w:rsid w:val="00E457EB"/>
    <w:rsid w:val="00E465AC"/>
    <w:rsid w:val="00E47186"/>
    <w:rsid w:val="00E4769B"/>
    <w:rsid w:val="00E5083C"/>
    <w:rsid w:val="00E52A8D"/>
    <w:rsid w:val="00E5630D"/>
    <w:rsid w:val="00E57C0B"/>
    <w:rsid w:val="00E6142C"/>
    <w:rsid w:val="00E63D32"/>
    <w:rsid w:val="00E66503"/>
    <w:rsid w:val="00E66589"/>
    <w:rsid w:val="00E67DF2"/>
    <w:rsid w:val="00E72033"/>
    <w:rsid w:val="00E74548"/>
    <w:rsid w:val="00E767F4"/>
    <w:rsid w:val="00E77269"/>
    <w:rsid w:val="00E80078"/>
    <w:rsid w:val="00E80736"/>
    <w:rsid w:val="00E80A72"/>
    <w:rsid w:val="00E81A56"/>
    <w:rsid w:val="00E83591"/>
    <w:rsid w:val="00E8391E"/>
    <w:rsid w:val="00E83E4E"/>
    <w:rsid w:val="00E84911"/>
    <w:rsid w:val="00E84EDA"/>
    <w:rsid w:val="00E91F9E"/>
    <w:rsid w:val="00E923B1"/>
    <w:rsid w:val="00E92B75"/>
    <w:rsid w:val="00E930FA"/>
    <w:rsid w:val="00E93D01"/>
    <w:rsid w:val="00E95088"/>
    <w:rsid w:val="00E95B58"/>
    <w:rsid w:val="00E96B82"/>
    <w:rsid w:val="00E97719"/>
    <w:rsid w:val="00E9777C"/>
    <w:rsid w:val="00EA18F5"/>
    <w:rsid w:val="00EA2D6A"/>
    <w:rsid w:val="00EA3889"/>
    <w:rsid w:val="00EA41C2"/>
    <w:rsid w:val="00EA51D6"/>
    <w:rsid w:val="00EA6D54"/>
    <w:rsid w:val="00EA7D3D"/>
    <w:rsid w:val="00EA7D64"/>
    <w:rsid w:val="00EB06A1"/>
    <w:rsid w:val="00EB082A"/>
    <w:rsid w:val="00EB2146"/>
    <w:rsid w:val="00EB27F1"/>
    <w:rsid w:val="00EB2AA1"/>
    <w:rsid w:val="00EB352A"/>
    <w:rsid w:val="00EB4126"/>
    <w:rsid w:val="00EB48D8"/>
    <w:rsid w:val="00EB4A5A"/>
    <w:rsid w:val="00EB50B6"/>
    <w:rsid w:val="00EB60DF"/>
    <w:rsid w:val="00EB6F4A"/>
    <w:rsid w:val="00EB751C"/>
    <w:rsid w:val="00EB770C"/>
    <w:rsid w:val="00EC0605"/>
    <w:rsid w:val="00EC0B7E"/>
    <w:rsid w:val="00EC30E2"/>
    <w:rsid w:val="00EC4608"/>
    <w:rsid w:val="00EC55A8"/>
    <w:rsid w:val="00EC63C2"/>
    <w:rsid w:val="00EC68A0"/>
    <w:rsid w:val="00EC699F"/>
    <w:rsid w:val="00EC77DC"/>
    <w:rsid w:val="00EC7EB6"/>
    <w:rsid w:val="00ED368B"/>
    <w:rsid w:val="00ED3F28"/>
    <w:rsid w:val="00ED43B6"/>
    <w:rsid w:val="00ED4AE5"/>
    <w:rsid w:val="00ED62A0"/>
    <w:rsid w:val="00ED73C7"/>
    <w:rsid w:val="00ED762F"/>
    <w:rsid w:val="00EE15D5"/>
    <w:rsid w:val="00EE2145"/>
    <w:rsid w:val="00EE3AAD"/>
    <w:rsid w:val="00EE4A4C"/>
    <w:rsid w:val="00EE6FC0"/>
    <w:rsid w:val="00EE7675"/>
    <w:rsid w:val="00EF1604"/>
    <w:rsid w:val="00EF65EF"/>
    <w:rsid w:val="00EF6B75"/>
    <w:rsid w:val="00EF7F45"/>
    <w:rsid w:val="00F0038C"/>
    <w:rsid w:val="00F00CCD"/>
    <w:rsid w:val="00F00EA1"/>
    <w:rsid w:val="00F0253D"/>
    <w:rsid w:val="00F04A27"/>
    <w:rsid w:val="00F04E1B"/>
    <w:rsid w:val="00F05184"/>
    <w:rsid w:val="00F072E4"/>
    <w:rsid w:val="00F07CC6"/>
    <w:rsid w:val="00F10864"/>
    <w:rsid w:val="00F10E47"/>
    <w:rsid w:val="00F1121D"/>
    <w:rsid w:val="00F12FBE"/>
    <w:rsid w:val="00F14F6D"/>
    <w:rsid w:val="00F14FEC"/>
    <w:rsid w:val="00F15543"/>
    <w:rsid w:val="00F15FE8"/>
    <w:rsid w:val="00F174E9"/>
    <w:rsid w:val="00F17AEC"/>
    <w:rsid w:val="00F20725"/>
    <w:rsid w:val="00F21252"/>
    <w:rsid w:val="00F21C16"/>
    <w:rsid w:val="00F22F29"/>
    <w:rsid w:val="00F23B40"/>
    <w:rsid w:val="00F25B99"/>
    <w:rsid w:val="00F2611F"/>
    <w:rsid w:val="00F26BCC"/>
    <w:rsid w:val="00F2748C"/>
    <w:rsid w:val="00F27BC4"/>
    <w:rsid w:val="00F3012E"/>
    <w:rsid w:val="00F3091F"/>
    <w:rsid w:val="00F30D9A"/>
    <w:rsid w:val="00F31A95"/>
    <w:rsid w:val="00F3316A"/>
    <w:rsid w:val="00F34817"/>
    <w:rsid w:val="00F355AC"/>
    <w:rsid w:val="00F35A33"/>
    <w:rsid w:val="00F36734"/>
    <w:rsid w:val="00F41244"/>
    <w:rsid w:val="00F41FC1"/>
    <w:rsid w:val="00F42547"/>
    <w:rsid w:val="00F42D7C"/>
    <w:rsid w:val="00F43C11"/>
    <w:rsid w:val="00F43E79"/>
    <w:rsid w:val="00F45DA7"/>
    <w:rsid w:val="00F45E24"/>
    <w:rsid w:val="00F4736E"/>
    <w:rsid w:val="00F504EB"/>
    <w:rsid w:val="00F50A34"/>
    <w:rsid w:val="00F52F68"/>
    <w:rsid w:val="00F5367F"/>
    <w:rsid w:val="00F53985"/>
    <w:rsid w:val="00F53E33"/>
    <w:rsid w:val="00F53FD3"/>
    <w:rsid w:val="00F54280"/>
    <w:rsid w:val="00F561A8"/>
    <w:rsid w:val="00F561EB"/>
    <w:rsid w:val="00F571EB"/>
    <w:rsid w:val="00F60C0C"/>
    <w:rsid w:val="00F611D0"/>
    <w:rsid w:val="00F6215E"/>
    <w:rsid w:val="00F636F7"/>
    <w:rsid w:val="00F63B10"/>
    <w:rsid w:val="00F63DBC"/>
    <w:rsid w:val="00F63E34"/>
    <w:rsid w:val="00F6459C"/>
    <w:rsid w:val="00F64F5F"/>
    <w:rsid w:val="00F6520F"/>
    <w:rsid w:val="00F70620"/>
    <w:rsid w:val="00F7082D"/>
    <w:rsid w:val="00F70DF9"/>
    <w:rsid w:val="00F71A52"/>
    <w:rsid w:val="00F71AC9"/>
    <w:rsid w:val="00F71E7A"/>
    <w:rsid w:val="00F71FE9"/>
    <w:rsid w:val="00F736A7"/>
    <w:rsid w:val="00F73D26"/>
    <w:rsid w:val="00F7459A"/>
    <w:rsid w:val="00F74811"/>
    <w:rsid w:val="00F762D5"/>
    <w:rsid w:val="00F80897"/>
    <w:rsid w:val="00F817A7"/>
    <w:rsid w:val="00F81BD2"/>
    <w:rsid w:val="00F8387D"/>
    <w:rsid w:val="00F8413A"/>
    <w:rsid w:val="00F85703"/>
    <w:rsid w:val="00F866EB"/>
    <w:rsid w:val="00F87157"/>
    <w:rsid w:val="00F91C2E"/>
    <w:rsid w:val="00F9348E"/>
    <w:rsid w:val="00F93955"/>
    <w:rsid w:val="00F9456B"/>
    <w:rsid w:val="00FA0DE4"/>
    <w:rsid w:val="00FA12D6"/>
    <w:rsid w:val="00FA14D5"/>
    <w:rsid w:val="00FA16ED"/>
    <w:rsid w:val="00FA24B0"/>
    <w:rsid w:val="00FA2DFF"/>
    <w:rsid w:val="00FA4016"/>
    <w:rsid w:val="00FA5372"/>
    <w:rsid w:val="00FA60ED"/>
    <w:rsid w:val="00FA64F5"/>
    <w:rsid w:val="00FA6B59"/>
    <w:rsid w:val="00FA7443"/>
    <w:rsid w:val="00FA746C"/>
    <w:rsid w:val="00FA7EF0"/>
    <w:rsid w:val="00FB026C"/>
    <w:rsid w:val="00FB0C60"/>
    <w:rsid w:val="00FB1676"/>
    <w:rsid w:val="00FB2A61"/>
    <w:rsid w:val="00FB2AAB"/>
    <w:rsid w:val="00FB2D1D"/>
    <w:rsid w:val="00FB3F11"/>
    <w:rsid w:val="00FB6F58"/>
    <w:rsid w:val="00FB71C7"/>
    <w:rsid w:val="00FC1186"/>
    <w:rsid w:val="00FC15AE"/>
    <w:rsid w:val="00FC3939"/>
    <w:rsid w:val="00FC4A26"/>
    <w:rsid w:val="00FC5BA5"/>
    <w:rsid w:val="00FC68A7"/>
    <w:rsid w:val="00FC68FF"/>
    <w:rsid w:val="00FC69F9"/>
    <w:rsid w:val="00FC6EC6"/>
    <w:rsid w:val="00FD0A2F"/>
    <w:rsid w:val="00FD10B2"/>
    <w:rsid w:val="00FD1D4E"/>
    <w:rsid w:val="00FD1E47"/>
    <w:rsid w:val="00FD1F68"/>
    <w:rsid w:val="00FD471C"/>
    <w:rsid w:val="00FD6BE6"/>
    <w:rsid w:val="00FD79C3"/>
    <w:rsid w:val="00FD7CD9"/>
    <w:rsid w:val="00FE0577"/>
    <w:rsid w:val="00FE24CF"/>
    <w:rsid w:val="00FE3297"/>
    <w:rsid w:val="00FE3877"/>
    <w:rsid w:val="00FE3AA1"/>
    <w:rsid w:val="00FE3E71"/>
    <w:rsid w:val="00FE4031"/>
    <w:rsid w:val="00FE4900"/>
    <w:rsid w:val="00FE4AEA"/>
    <w:rsid w:val="00FE4BF9"/>
    <w:rsid w:val="00FE4CFC"/>
    <w:rsid w:val="00FE5547"/>
    <w:rsid w:val="00FE5EBC"/>
    <w:rsid w:val="00FE6167"/>
    <w:rsid w:val="00FE6208"/>
    <w:rsid w:val="00FE637A"/>
    <w:rsid w:val="00FE6EB3"/>
    <w:rsid w:val="00FF16CC"/>
    <w:rsid w:val="00FF3AD6"/>
    <w:rsid w:val="00FF3B21"/>
    <w:rsid w:val="00FF4550"/>
    <w:rsid w:val="00FF4D48"/>
    <w:rsid w:val="00FF4F83"/>
    <w:rsid w:val="00FF5A55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E4C"/>
  </w:style>
  <w:style w:type="paragraph" w:styleId="Titre1">
    <w:name w:val="heading 1"/>
    <w:basedOn w:val="Normal"/>
    <w:next w:val="Normal"/>
    <w:qFormat/>
    <w:rsid w:val="00875E4C"/>
    <w:pPr>
      <w:keepNext/>
      <w:outlineLvl w:val="0"/>
    </w:pPr>
    <w:rPr>
      <w:sz w:val="24"/>
      <w:szCs w:val="24"/>
    </w:rPr>
  </w:style>
  <w:style w:type="paragraph" w:styleId="Titre2">
    <w:name w:val="heading 2"/>
    <w:basedOn w:val="Normal"/>
    <w:next w:val="Normal"/>
    <w:qFormat/>
    <w:rsid w:val="00875E4C"/>
    <w:pPr>
      <w:keepNext/>
      <w:jc w:val="center"/>
      <w:outlineLvl w:val="1"/>
    </w:pPr>
    <w:rPr>
      <w:sz w:val="36"/>
      <w:szCs w:val="36"/>
    </w:rPr>
  </w:style>
  <w:style w:type="paragraph" w:styleId="Titre3">
    <w:name w:val="heading 3"/>
    <w:basedOn w:val="Normal"/>
    <w:next w:val="Normal"/>
    <w:qFormat/>
    <w:rsid w:val="00875E4C"/>
    <w:pPr>
      <w:keepNext/>
      <w:jc w:val="center"/>
      <w:outlineLvl w:val="2"/>
    </w:pPr>
    <w:rPr>
      <w:sz w:val="32"/>
      <w:szCs w:val="32"/>
    </w:rPr>
  </w:style>
  <w:style w:type="paragraph" w:styleId="Titre4">
    <w:name w:val="heading 4"/>
    <w:basedOn w:val="Normal"/>
    <w:next w:val="Normal"/>
    <w:qFormat/>
    <w:rsid w:val="00875E4C"/>
    <w:pPr>
      <w:keepNext/>
      <w:jc w:val="center"/>
      <w:outlineLvl w:val="3"/>
    </w:pPr>
    <w:rPr>
      <w:color w:val="FF0000"/>
      <w:sz w:val="28"/>
      <w:szCs w:val="28"/>
    </w:rPr>
  </w:style>
  <w:style w:type="paragraph" w:styleId="Titre5">
    <w:name w:val="heading 5"/>
    <w:basedOn w:val="Normal"/>
    <w:next w:val="Normal"/>
    <w:qFormat/>
    <w:rsid w:val="00875E4C"/>
    <w:pPr>
      <w:keepNext/>
      <w:jc w:val="center"/>
      <w:outlineLvl w:val="4"/>
    </w:pPr>
    <w:rPr>
      <w:b/>
      <w:bCs/>
      <w:sz w:val="24"/>
      <w:szCs w:val="24"/>
    </w:rPr>
  </w:style>
  <w:style w:type="paragraph" w:styleId="Titre6">
    <w:name w:val="heading 6"/>
    <w:basedOn w:val="Normal"/>
    <w:next w:val="Normal"/>
    <w:qFormat/>
    <w:rsid w:val="00875E4C"/>
    <w:pPr>
      <w:keepNext/>
      <w:tabs>
        <w:tab w:val="left" w:pos="851"/>
      </w:tabs>
      <w:outlineLvl w:val="5"/>
    </w:pPr>
    <w:rPr>
      <w:b/>
      <w:bCs/>
      <w:sz w:val="24"/>
      <w:szCs w:val="24"/>
    </w:rPr>
  </w:style>
  <w:style w:type="paragraph" w:styleId="Titre7">
    <w:name w:val="heading 7"/>
    <w:basedOn w:val="Normal"/>
    <w:next w:val="Normal"/>
    <w:qFormat/>
    <w:rsid w:val="00875E4C"/>
    <w:pPr>
      <w:keepNext/>
      <w:jc w:val="center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875E4C"/>
    <w:pPr>
      <w:keepNext/>
      <w:jc w:val="center"/>
      <w:outlineLvl w:val="7"/>
    </w:pPr>
    <w:rPr>
      <w:b/>
      <w:bCs/>
      <w:sz w:val="40"/>
      <w:szCs w:val="40"/>
    </w:rPr>
  </w:style>
  <w:style w:type="paragraph" w:styleId="Titre9">
    <w:name w:val="heading 9"/>
    <w:basedOn w:val="Normal"/>
    <w:next w:val="Normal"/>
    <w:qFormat/>
    <w:rsid w:val="00875E4C"/>
    <w:pPr>
      <w:keepNext/>
      <w:jc w:val="center"/>
      <w:outlineLvl w:val="8"/>
    </w:pPr>
    <w:rPr>
      <w:b/>
      <w:bCs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875E4C"/>
    <w:pPr>
      <w:spacing w:line="360" w:lineRule="atLeast"/>
      <w:jc w:val="both"/>
    </w:pPr>
    <w:rPr>
      <w:sz w:val="28"/>
      <w:szCs w:val="28"/>
    </w:rPr>
  </w:style>
  <w:style w:type="paragraph" w:styleId="Corpsdetexte3">
    <w:name w:val="Body Text 3"/>
    <w:basedOn w:val="Normal"/>
    <w:rsid w:val="00875E4C"/>
    <w:pPr>
      <w:framePr w:w="4253" w:hSpace="180" w:vSpace="180" w:wrap="auto" w:hAnchor="margin" w:xAlign="right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line="360" w:lineRule="atLeast"/>
      <w:jc w:val="both"/>
    </w:pPr>
    <w:rPr>
      <w:rFonts w:ascii="Times" w:hAnsi="Times"/>
      <w:sz w:val="24"/>
      <w:szCs w:val="24"/>
    </w:rPr>
  </w:style>
  <w:style w:type="paragraph" w:styleId="Lgende">
    <w:name w:val="caption"/>
    <w:basedOn w:val="Normal"/>
    <w:next w:val="Normal"/>
    <w:qFormat/>
    <w:rsid w:val="00875E4C"/>
    <w:pPr>
      <w:framePr w:w="5954" w:hSpace="180" w:vSpace="180" w:wrap="auto" w:vAnchor="text" w:hAnchor="page" w:x="5761" w:y="821"/>
      <w:tabs>
        <w:tab w:val="left" w:pos="7020"/>
      </w:tabs>
      <w:jc w:val="center"/>
    </w:pPr>
    <w:rPr>
      <w:rFonts w:ascii="Times" w:hAnsi="Times"/>
      <w:b/>
      <w:bCs/>
      <w:sz w:val="24"/>
      <w:szCs w:val="24"/>
    </w:rPr>
  </w:style>
  <w:style w:type="paragraph" w:styleId="En-tte">
    <w:name w:val="header"/>
    <w:basedOn w:val="Normal"/>
    <w:link w:val="En-tteCar"/>
    <w:rsid w:val="00875E4C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875E4C"/>
    <w:pPr>
      <w:jc w:val="both"/>
    </w:pPr>
    <w:rPr>
      <w:sz w:val="24"/>
      <w:szCs w:val="24"/>
    </w:rPr>
  </w:style>
  <w:style w:type="character" w:styleId="Numrodepage">
    <w:name w:val="page number"/>
    <w:basedOn w:val="Policepardfaut"/>
    <w:rsid w:val="00875E4C"/>
    <w:rPr>
      <w:rFonts w:ascii="Times New Roman" w:hAnsi="Times New Roman" w:cs="Times New Roman"/>
    </w:rPr>
  </w:style>
  <w:style w:type="paragraph" w:styleId="Pieddepage">
    <w:name w:val="footer"/>
    <w:basedOn w:val="Normal"/>
    <w:link w:val="PieddepageCar"/>
    <w:rsid w:val="00875E4C"/>
    <w:pPr>
      <w:tabs>
        <w:tab w:val="center" w:pos="4536"/>
        <w:tab w:val="right" w:pos="9072"/>
      </w:tabs>
    </w:pPr>
  </w:style>
  <w:style w:type="paragraph" w:customStyle="1" w:styleId="Textedebulles1">
    <w:name w:val="Texte de bulles1"/>
    <w:basedOn w:val="Normal"/>
    <w:rsid w:val="00875E4C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semiHidden/>
    <w:rsid w:val="00416DEC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rsid w:val="003A094C"/>
    <w:pPr>
      <w:spacing w:after="120" w:line="480" w:lineRule="auto"/>
    </w:pPr>
  </w:style>
  <w:style w:type="character" w:customStyle="1" w:styleId="En-tteCar">
    <w:name w:val="En-tête Car"/>
    <w:basedOn w:val="Policepardfaut"/>
    <w:link w:val="En-tte"/>
    <w:rsid w:val="00C419C6"/>
  </w:style>
  <w:style w:type="paragraph" w:styleId="Paragraphedeliste">
    <w:name w:val="List Paragraph"/>
    <w:basedOn w:val="Normal"/>
    <w:uiPriority w:val="34"/>
    <w:qFormat/>
    <w:rsid w:val="003453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2648"/>
    <w:pPr>
      <w:spacing w:before="100" w:beforeAutospacing="1" w:after="100" w:afterAutospacing="1"/>
    </w:pPr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E31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E4C"/>
  </w:style>
  <w:style w:type="paragraph" w:styleId="Titre1">
    <w:name w:val="heading 1"/>
    <w:basedOn w:val="Normal"/>
    <w:next w:val="Normal"/>
    <w:qFormat/>
    <w:rsid w:val="00875E4C"/>
    <w:pPr>
      <w:keepNext/>
      <w:outlineLvl w:val="0"/>
    </w:pPr>
    <w:rPr>
      <w:sz w:val="24"/>
      <w:szCs w:val="24"/>
    </w:rPr>
  </w:style>
  <w:style w:type="paragraph" w:styleId="Titre2">
    <w:name w:val="heading 2"/>
    <w:basedOn w:val="Normal"/>
    <w:next w:val="Normal"/>
    <w:qFormat/>
    <w:rsid w:val="00875E4C"/>
    <w:pPr>
      <w:keepNext/>
      <w:jc w:val="center"/>
      <w:outlineLvl w:val="1"/>
    </w:pPr>
    <w:rPr>
      <w:sz w:val="36"/>
      <w:szCs w:val="36"/>
    </w:rPr>
  </w:style>
  <w:style w:type="paragraph" w:styleId="Titre3">
    <w:name w:val="heading 3"/>
    <w:basedOn w:val="Normal"/>
    <w:next w:val="Normal"/>
    <w:qFormat/>
    <w:rsid w:val="00875E4C"/>
    <w:pPr>
      <w:keepNext/>
      <w:jc w:val="center"/>
      <w:outlineLvl w:val="2"/>
    </w:pPr>
    <w:rPr>
      <w:sz w:val="32"/>
      <w:szCs w:val="32"/>
    </w:rPr>
  </w:style>
  <w:style w:type="paragraph" w:styleId="Titre4">
    <w:name w:val="heading 4"/>
    <w:basedOn w:val="Normal"/>
    <w:next w:val="Normal"/>
    <w:qFormat/>
    <w:rsid w:val="00875E4C"/>
    <w:pPr>
      <w:keepNext/>
      <w:jc w:val="center"/>
      <w:outlineLvl w:val="3"/>
    </w:pPr>
    <w:rPr>
      <w:color w:val="FF0000"/>
      <w:sz w:val="28"/>
      <w:szCs w:val="28"/>
    </w:rPr>
  </w:style>
  <w:style w:type="paragraph" w:styleId="Titre5">
    <w:name w:val="heading 5"/>
    <w:basedOn w:val="Normal"/>
    <w:next w:val="Normal"/>
    <w:qFormat/>
    <w:rsid w:val="00875E4C"/>
    <w:pPr>
      <w:keepNext/>
      <w:jc w:val="center"/>
      <w:outlineLvl w:val="4"/>
    </w:pPr>
    <w:rPr>
      <w:b/>
      <w:bCs/>
      <w:sz w:val="24"/>
      <w:szCs w:val="24"/>
    </w:rPr>
  </w:style>
  <w:style w:type="paragraph" w:styleId="Titre6">
    <w:name w:val="heading 6"/>
    <w:basedOn w:val="Normal"/>
    <w:next w:val="Normal"/>
    <w:qFormat/>
    <w:rsid w:val="00875E4C"/>
    <w:pPr>
      <w:keepNext/>
      <w:tabs>
        <w:tab w:val="left" w:pos="851"/>
      </w:tabs>
      <w:outlineLvl w:val="5"/>
    </w:pPr>
    <w:rPr>
      <w:b/>
      <w:bCs/>
      <w:sz w:val="24"/>
      <w:szCs w:val="24"/>
    </w:rPr>
  </w:style>
  <w:style w:type="paragraph" w:styleId="Titre7">
    <w:name w:val="heading 7"/>
    <w:basedOn w:val="Normal"/>
    <w:next w:val="Normal"/>
    <w:qFormat/>
    <w:rsid w:val="00875E4C"/>
    <w:pPr>
      <w:keepNext/>
      <w:jc w:val="center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875E4C"/>
    <w:pPr>
      <w:keepNext/>
      <w:jc w:val="center"/>
      <w:outlineLvl w:val="7"/>
    </w:pPr>
    <w:rPr>
      <w:b/>
      <w:bCs/>
      <w:sz w:val="40"/>
      <w:szCs w:val="40"/>
    </w:rPr>
  </w:style>
  <w:style w:type="paragraph" w:styleId="Titre9">
    <w:name w:val="heading 9"/>
    <w:basedOn w:val="Normal"/>
    <w:next w:val="Normal"/>
    <w:qFormat/>
    <w:rsid w:val="00875E4C"/>
    <w:pPr>
      <w:keepNext/>
      <w:jc w:val="center"/>
      <w:outlineLvl w:val="8"/>
    </w:pPr>
    <w:rPr>
      <w:b/>
      <w:bCs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875E4C"/>
    <w:pPr>
      <w:spacing w:line="360" w:lineRule="atLeast"/>
      <w:jc w:val="both"/>
    </w:pPr>
    <w:rPr>
      <w:sz w:val="28"/>
      <w:szCs w:val="28"/>
    </w:rPr>
  </w:style>
  <w:style w:type="paragraph" w:styleId="Corpsdetexte3">
    <w:name w:val="Body Text 3"/>
    <w:basedOn w:val="Normal"/>
    <w:rsid w:val="00875E4C"/>
    <w:pPr>
      <w:framePr w:w="4253" w:hSpace="180" w:vSpace="180" w:wrap="auto" w:hAnchor="margin" w:xAlign="right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line="360" w:lineRule="atLeast"/>
      <w:jc w:val="both"/>
    </w:pPr>
    <w:rPr>
      <w:rFonts w:ascii="Times" w:hAnsi="Times"/>
      <w:sz w:val="24"/>
      <w:szCs w:val="24"/>
    </w:rPr>
  </w:style>
  <w:style w:type="paragraph" w:styleId="Lgende">
    <w:name w:val="caption"/>
    <w:basedOn w:val="Normal"/>
    <w:next w:val="Normal"/>
    <w:qFormat/>
    <w:rsid w:val="00875E4C"/>
    <w:pPr>
      <w:framePr w:w="5954" w:hSpace="180" w:vSpace="180" w:wrap="auto" w:vAnchor="text" w:hAnchor="page" w:x="5761" w:y="821"/>
      <w:tabs>
        <w:tab w:val="left" w:pos="7020"/>
      </w:tabs>
      <w:jc w:val="center"/>
    </w:pPr>
    <w:rPr>
      <w:rFonts w:ascii="Times" w:hAnsi="Times"/>
      <w:b/>
      <w:bCs/>
      <w:sz w:val="24"/>
      <w:szCs w:val="24"/>
    </w:rPr>
  </w:style>
  <w:style w:type="paragraph" w:styleId="En-tte">
    <w:name w:val="header"/>
    <w:basedOn w:val="Normal"/>
    <w:link w:val="En-tteCar"/>
    <w:rsid w:val="00875E4C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875E4C"/>
    <w:pPr>
      <w:jc w:val="both"/>
    </w:pPr>
    <w:rPr>
      <w:sz w:val="24"/>
      <w:szCs w:val="24"/>
    </w:rPr>
  </w:style>
  <w:style w:type="character" w:styleId="Numrodepage">
    <w:name w:val="page number"/>
    <w:basedOn w:val="Policepardfaut"/>
    <w:rsid w:val="00875E4C"/>
    <w:rPr>
      <w:rFonts w:ascii="Times New Roman" w:hAnsi="Times New Roman" w:cs="Times New Roman"/>
    </w:rPr>
  </w:style>
  <w:style w:type="paragraph" w:styleId="Pieddepage">
    <w:name w:val="footer"/>
    <w:basedOn w:val="Normal"/>
    <w:link w:val="PieddepageCar"/>
    <w:rsid w:val="00875E4C"/>
    <w:pPr>
      <w:tabs>
        <w:tab w:val="center" w:pos="4536"/>
        <w:tab w:val="right" w:pos="9072"/>
      </w:tabs>
    </w:pPr>
  </w:style>
  <w:style w:type="paragraph" w:customStyle="1" w:styleId="Textedebulles1">
    <w:name w:val="Texte de bulles1"/>
    <w:basedOn w:val="Normal"/>
    <w:rsid w:val="00875E4C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semiHidden/>
    <w:rsid w:val="00416DEC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rsid w:val="003A094C"/>
    <w:pPr>
      <w:spacing w:after="120" w:line="480" w:lineRule="auto"/>
    </w:pPr>
  </w:style>
  <w:style w:type="character" w:customStyle="1" w:styleId="En-tteCar">
    <w:name w:val="En-tête Car"/>
    <w:basedOn w:val="Policepardfaut"/>
    <w:link w:val="En-tte"/>
    <w:rsid w:val="00C419C6"/>
  </w:style>
  <w:style w:type="paragraph" w:styleId="Paragraphedeliste">
    <w:name w:val="List Paragraph"/>
    <w:basedOn w:val="Normal"/>
    <w:uiPriority w:val="34"/>
    <w:qFormat/>
    <w:rsid w:val="003453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2648"/>
    <w:pPr>
      <w:spacing w:before="100" w:beforeAutospacing="1" w:after="100" w:afterAutospacing="1"/>
    </w:pPr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E31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2305">
      <w:bodyDiv w:val="1"/>
      <w:marLeft w:val="0"/>
      <w:marRight w:val="0"/>
      <w:marTop w:val="4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81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674">
              <w:marLeft w:val="0"/>
              <w:marRight w:val="0"/>
              <w:marTop w:val="0"/>
              <w:marBottom w:val="272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  <w:divsChild>
                <w:div w:id="3913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484012">
      <w:bodyDiv w:val="1"/>
      <w:marLeft w:val="0"/>
      <w:marRight w:val="0"/>
      <w:marTop w:val="4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13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3562">
              <w:marLeft w:val="0"/>
              <w:marRight w:val="0"/>
              <w:marTop w:val="0"/>
              <w:marBottom w:val="272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  <w:divsChild>
                <w:div w:id="17215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9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3304">
          <w:marLeft w:val="1701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8127">
      <w:bodyDiv w:val="1"/>
      <w:marLeft w:val="0"/>
      <w:marRight w:val="0"/>
      <w:marTop w:val="4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2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291">
              <w:marLeft w:val="0"/>
              <w:marRight w:val="0"/>
              <w:marTop w:val="0"/>
              <w:marBottom w:val="272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  <w:divsChild>
                <w:div w:id="15179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1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5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2802">
                      <w:marLeft w:val="0"/>
                      <w:marRight w:val="0"/>
                      <w:marTop w:val="3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5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1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28541">
      <w:bodyDiv w:val="1"/>
      <w:marLeft w:val="0"/>
      <w:marRight w:val="0"/>
      <w:marTop w:val="4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65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2309">
              <w:marLeft w:val="0"/>
              <w:marRight w:val="0"/>
              <w:marTop w:val="0"/>
              <w:marBottom w:val="272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  <w:divsChild>
                <w:div w:id="5719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406343">
      <w:bodyDiv w:val="1"/>
      <w:marLeft w:val="0"/>
      <w:marRight w:val="0"/>
      <w:marTop w:val="4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2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4636">
              <w:marLeft w:val="0"/>
              <w:marRight w:val="0"/>
              <w:marTop w:val="0"/>
              <w:marBottom w:val="272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  <w:divsChild>
                <w:div w:id="8218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chart" Target="charts/chart1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chart" Target="charts/chart18.xml"/><Relationship Id="rId10" Type="http://schemas.openxmlformats.org/officeDocument/2006/relationships/image" Target="media/image2.jpeg"/><Relationship Id="rId19" Type="http://schemas.openxmlformats.org/officeDocument/2006/relationships/chart" Target="charts/chart9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chart" Target="charts/chart17.xml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8.xml"/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9.xml"/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0.xml"/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1.xml"/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2.xml"/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3.xml"/><Relationship Id="rId1" Type="http://schemas.openxmlformats.org/officeDocument/2006/relationships/oleObject" Target="file:///\\SRV2011\Travail2\Secretaires\Etudes%20et%20Conjonctures\Barometres%20syndicats\SNPI\Notes%20trimestrielles\Ann&#233;e%2013\Note%20N&#176;%2048%20JFM%2013\Feuille%20de%20calcul.xlsx" TargetMode="External"/></Relationships>
</file>

<file path=word/charts/_rels/chart1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4.xml"/><Relationship Id="rId1" Type="http://schemas.openxmlformats.org/officeDocument/2006/relationships/oleObject" Target="file:///\\SRV2011\Travail2\Secretaires\Etudes%20et%20Conjonctures\Barometres%20syndicats\SNPI\Notes%20trimestrielles\Ann&#233;e%2013\Note%20N&#176;%2048%20JFM%2013\Feuille%20de%20calcul.xlsx" TargetMode="External"/></Relationships>
</file>

<file path=word/charts/_rels/chart1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5.xml"/><Relationship Id="rId1" Type="http://schemas.openxmlformats.org/officeDocument/2006/relationships/package" Target="../embeddings/Microsoft_Excel_Worksheet1.xlsx"/></Relationships>
</file>

<file path=word/charts/_rels/chart1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6.xml"/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C:\Documents%20and%20Settings\ki2\Mes%20documents\TAF%20KIKI\SNPI\SNPI%20SEC\Ann&#233;e%202013\Note%20N&#176;%2048%20OND%2013\Feuille%20de%20calcu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2708333333334104E-2"/>
          <c:y val="2.8571428571428612E-2"/>
          <c:w val="0.86914617227898394"/>
          <c:h val="0.89411764705882424"/>
        </c:manualLayout>
      </c:layout>
      <c:lineChart>
        <c:grouping val="standard"/>
        <c:varyColors val="0"/>
        <c:ser>
          <c:idx val="1"/>
          <c:order val="0"/>
          <c:tx>
            <c:strRef>
              <c:f>'Fc1'!$A$28</c:f>
              <c:strCache>
                <c:ptCount val="1"/>
                <c:pt idx="0">
                  <c:v>Perspectives chômage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'Fc1'!$B$27:$J$27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'Fc1'!$B$28:$J$28</c:f>
              <c:numCache>
                <c:formatCode>General</c:formatCode>
                <c:ptCount val="9"/>
                <c:pt idx="0">
                  <c:v>2680</c:v>
                </c:pt>
                <c:pt idx="1">
                  <c:v>2720</c:v>
                </c:pt>
                <c:pt idx="2">
                  <c:v>2762.5</c:v>
                </c:pt>
                <c:pt idx="3">
                  <c:v>2898.8</c:v>
                </c:pt>
                <c:pt idx="4">
                  <c:v>2905.6</c:v>
                </c:pt>
                <c:pt idx="5">
                  <c:v>2742</c:v>
                </c:pt>
                <c:pt idx="6">
                  <c:v>2991</c:v>
                </c:pt>
                <c:pt idx="7">
                  <c:v>3181.6</c:v>
                </c:pt>
                <c:pt idx="8" formatCode="#,##0.0">
                  <c:v>3308.1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843008"/>
        <c:axId val="68844928"/>
      </c:lineChart>
      <c:catAx>
        <c:axId val="68843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68844928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68844928"/>
        <c:scaling>
          <c:orientation val="minMax"/>
          <c:max val="3400"/>
          <c:min val="2500"/>
        </c:scaling>
        <c:delete val="0"/>
        <c:axPos val="l"/>
        <c:numFmt formatCode="General" sourceLinked="1"/>
        <c:majorTickMark val="out"/>
        <c:minorTickMark val="none"/>
        <c:tickLblPos val="low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68843008"/>
        <c:crosses val="autoZero"/>
        <c:crossBetween val="between"/>
        <c:majorUnit val="100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6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624999999999988E-2"/>
          <c:y val="8.7581699346405209E-2"/>
          <c:w val="0.8446315789473684"/>
          <c:h val="0.71388235294117663"/>
        </c:manualLayout>
      </c:layout>
      <c:barChart>
        <c:barDir val="col"/>
        <c:grouping val="clustered"/>
        <c:varyColors val="0"/>
        <c:ser>
          <c:idx val="1"/>
          <c:order val="0"/>
          <c:spPr>
            <a:solidFill>
              <a:srgbClr val="FFCC99"/>
            </a:solidFill>
            <a:ln w="12700">
              <a:noFill/>
              <a:prstDash val="solid"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8"/>
            <c:invertIfNegative val="0"/>
            <c:bubble3D val="0"/>
            <c:spPr>
              <a:solidFill>
                <a:srgbClr val="FF0000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9.2502923976608246E-3"/>
                  <c:y val="3.9594462456899815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ysClr val="windowText" lastClr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0135672514619882E-2"/>
                  <c:y val="-1.21105450054037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5.0581871345029413E-3"/>
                  <c:y val="3.7316118935837245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8.3271929824561396E-3"/>
                  <c:y val="-1.914054860789464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4.5201754385965475E-3"/>
                  <c:y val="-2.0901857856003462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ysClr val="windowText" lastClr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6.9648118497722599E-3"/>
                  <c:y val="7.647573465081570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1.1745577257388281E-2"/>
                  <c:y val="3.6060113895684711E-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2.1632163742690082E-2"/>
                  <c:y val="9.680613452730173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1.1140350877192983E-2"/>
                  <c:y val="1.0061036488086051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2.3544329478596081E-3"/>
                  <c:y val="1.710716845878136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1.1559492563430497E-3"/>
                  <c:y val="4.728291316526577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4.1881014873142034E-3"/>
                  <c:y val="-3.540616246498644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 val="2.6159230096238287E-3"/>
                  <c:y val="7.8487836079313734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'Fc1'!$A$216:$I$216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'Fc1'!$A$217:$I$217</c:f>
              <c:numCache>
                <c:formatCode>0%</c:formatCode>
                <c:ptCount val="9"/>
                <c:pt idx="0">
                  <c:v>3.0000000000000002E-2</c:v>
                </c:pt>
                <c:pt idx="1">
                  <c:v>1.0000000000000005E-2</c:v>
                </c:pt>
                <c:pt idx="2" formatCode="0.0%">
                  <c:v>2.5000000000000001E-2</c:v>
                </c:pt>
                <c:pt idx="3">
                  <c:v>4.0000000000000034E-4</c:v>
                </c:pt>
                <c:pt idx="4" formatCode="0.0%">
                  <c:v>1.4999999999999998E-2</c:v>
                </c:pt>
                <c:pt idx="5" formatCode="0.0%">
                  <c:v>-2.5000000000000001E-2</c:v>
                </c:pt>
                <c:pt idx="6" formatCode="0.0%">
                  <c:v>-2.5000000000000001E-2</c:v>
                </c:pt>
                <c:pt idx="7">
                  <c:v>-2.0000000000000011E-2</c:v>
                </c:pt>
                <c:pt idx="8">
                  <c:v>-2.0000000000000011E-2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85804160"/>
        <c:axId val="85806080"/>
      </c:barChart>
      <c:lineChart>
        <c:grouping val="standard"/>
        <c:varyColors val="0"/>
        <c:ser>
          <c:idx val="0"/>
          <c:order val="1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dLbls>
            <c:delete val="1"/>
          </c:dLbls>
          <c:cat>
            <c:strRef>
              <c:f>'Fc1'!$A$216:$I$216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'Fc1'!$A$218:$I$218</c:f>
              <c:numCache>
                <c:formatCode>0.00%</c:formatCode>
                <c:ptCount val="9"/>
                <c:pt idx="0" formatCode="0.0%">
                  <c:v>2.5000000000000001E-2</c:v>
                </c:pt>
                <c:pt idx="1">
                  <c:v>2.5000000000000001E-2</c:v>
                </c:pt>
                <c:pt idx="2" formatCode="0%">
                  <c:v>3.0000000000000002E-2</c:v>
                </c:pt>
                <c:pt idx="3" formatCode="0%">
                  <c:v>2.0000000000000011E-2</c:v>
                </c:pt>
                <c:pt idx="4" formatCode="0%">
                  <c:v>1.0000000000000005E-2</c:v>
                </c:pt>
                <c:pt idx="5" formatCode="0%">
                  <c:v>0</c:v>
                </c:pt>
                <c:pt idx="6" formatCode="0.0%">
                  <c:v>-1.0000000000000005E-2</c:v>
                </c:pt>
                <c:pt idx="7" formatCode="0.0%">
                  <c:v>-1.4999999999999998E-2</c:v>
                </c:pt>
                <c:pt idx="8" formatCode="0.0%">
                  <c:v>-2.5000000000000001E-2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5804160"/>
        <c:axId val="85806080"/>
      </c:lineChart>
      <c:catAx>
        <c:axId val="85804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85806080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85806080"/>
        <c:scaling>
          <c:orientation val="minMax"/>
          <c:max val="0.2"/>
          <c:min val="-0.30000000000000032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10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fr-FR"/>
                  <a:t>%</a:t>
                </a:r>
              </a:p>
            </c:rich>
          </c:tx>
          <c:layout>
            <c:manualLayout>
              <c:xMode val="edge"/>
              <c:yMode val="edge"/>
              <c:x val="0.12287777777777778"/>
              <c:y val="5.2287581699346853E-3"/>
            </c:manualLayout>
          </c:layout>
          <c:overlay val="0"/>
          <c:spPr>
            <a:noFill/>
            <a:ln w="25400">
              <a:noFill/>
            </a:ln>
          </c:spPr>
        </c:title>
        <c:numFmt formatCode="0%" sourceLinked="0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85804160"/>
        <c:crosses val="autoZero"/>
        <c:crossBetween val="between"/>
        <c:majorUnit val="0.1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6458333333333336E-2"/>
          <c:y val="0.23723762263289991"/>
          <c:w val="0.84814713399051378"/>
          <c:h val="0.48771161305042232"/>
        </c:manualLayout>
      </c:layout>
      <c:lineChart>
        <c:grouping val="standard"/>
        <c:varyColors val="0"/>
        <c:ser>
          <c:idx val="1"/>
          <c:order val="0"/>
          <c:tx>
            <c:strRef>
              <c:f>'Fc1'!$A$260</c:f>
              <c:strCache>
                <c:ptCount val="1"/>
                <c:pt idx="0">
                  <c:v>Hausse</c:v>
                </c:pt>
              </c:strCache>
            </c:strRef>
          </c:tx>
          <c:spPr>
            <a:ln w="12700">
              <a:solidFill>
                <a:srgbClr val="00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0000FF"/>
              </a:solidFill>
              <a:ln>
                <a:solidFill>
                  <a:srgbClr val="0000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7.8594377510040184E-2"/>
                  <c:y val="-7.3288521861596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6.5300292077400512E-2"/>
                  <c:y val="-8.24782024198194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6.7061275404648929E-2"/>
                  <c:y val="-9.40115217887292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6.1530668127053684E-2"/>
                  <c:y val="-8.70781640099865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5.334702446148229E-2"/>
                  <c:y val="-8.8363100953844226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0000FF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25937500000000002"/>
                  <c:y val="8.0672268907563044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FF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'Fc1'!$B$259:$F$259</c:f>
              <c:strCache>
                <c:ptCount val="5"/>
                <c:pt idx="0">
                  <c:v>JFM
12</c:v>
                </c:pt>
                <c:pt idx="1">
                  <c:v>AMJ             12</c:v>
                </c:pt>
                <c:pt idx="2">
                  <c:v>JAS
12</c:v>
                </c:pt>
                <c:pt idx="3">
                  <c:v>OND
12</c:v>
                </c:pt>
                <c:pt idx="4">
                  <c:v>JFM
13</c:v>
                </c:pt>
              </c:strCache>
            </c:strRef>
          </c:cat>
          <c:val>
            <c:numRef>
              <c:f>'Fc1'!$B$260:$F$260</c:f>
              <c:numCache>
                <c:formatCode>0%</c:formatCode>
                <c:ptCount val="5"/>
                <c:pt idx="0">
                  <c:v>0.42000000000000032</c:v>
                </c:pt>
                <c:pt idx="1">
                  <c:v>0.45</c:v>
                </c:pt>
                <c:pt idx="2">
                  <c:v>0.51</c:v>
                </c:pt>
                <c:pt idx="3">
                  <c:v>0.5</c:v>
                </c:pt>
                <c:pt idx="4">
                  <c:v>0.59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'Fc1'!$A$261</c:f>
              <c:strCache>
                <c:ptCount val="1"/>
                <c:pt idx="0">
                  <c:v>Baisse</c:v>
                </c:pt>
              </c:strCache>
            </c:strRef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7.9164232688329103E-2"/>
                  <c:y val="-4.585212214326873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6.1436351466471951E-2"/>
                  <c:y val="-6.66323538825939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5.7249908725812267E-2"/>
                  <c:y val="-5.646189824321241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8158086893026912E-2"/>
                  <c:y val="-4.99819473785289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8.4574662285506804E-3"/>
                  <c:y val="-1.1071762371167021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FF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FF00FF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'Fc1'!$B$259:$F$259</c:f>
              <c:strCache>
                <c:ptCount val="5"/>
                <c:pt idx="0">
                  <c:v>JFM
12</c:v>
                </c:pt>
                <c:pt idx="1">
                  <c:v>AMJ             12</c:v>
                </c:pt>
                <c:pt idx="2">
                  <c:v>JAS
12</c:v>
                </c:pt>
                <c:pt idx="3">
                  <c:v>OND
12</c:v>
                </c:pt>
                <c:pt idx="4">
                  <c:v>JFM
13</c:v>
                </c:pt>
              </c:strCache>
            </c:strRef>
          </c:cat>
          <c:val>
            <c:numRef>
              <c:f>'Fc1'!$B$261:$F$261</c:f>
              <c:numCache>
                <c:formatCode>0%</c:formatCode>
                <c:ptCount val="5"/>
                <c:pt idx="0">
                  <c:v>8.0000000000000043E-2</c:v>
                </c:pt>
                <c:pt idx="1">
                  <c:v>0.05</c:v>
                </c:pt>
                <c:pt idx="2">
                  <c:v>8.0000000000000043E-2</c:v>
                </c:pt>
                <c:pt idx="3">
                  <c:v>0.11</c:v>
                </c:pt>
                <c:pt idx="4">
                  <c:v>6.0000000000000032E-2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4064640"/>
        <c:axId val="94066176"/>
      </c:lineChart>
      <c:catAx>
        <c:axId val="94064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94066176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94066176"/>
        <c:scaling>
          <c:orientation val="minMax"/>
          <c:max val="0.8"/>
          <c:min val="0"/>
        </c:scaling>
        <c:delete val="0"/>
        <c:axPos val="l"/>
        <c:numFmt formatCode="0%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94064640"/>
        <c:crosses val="autoZero"/>
        <c:crossBetween val="between"/>
        <c:majorUnit val="0.2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866922234392114"/>
          <c:y val="0.23723740414801242"/>
          <c:w val="0.84814713399051345"/>
          <c:h val="0.48771161305042232"/>
        </c:manualLayout>
      </c:layout>
      <c:lineChart>
        <c:grouping val="standard"/>
        <c:varyColors val="0"/>
        <c:ser>
          <c:idx val="1"/>
          <c:order val="0"/>
          <c:tx>
            <c:strRef>
              <c:f>'Fc1'!$A$243</c:f>
              <c:strCache>
                <c:ptCount val="1"/>
                <c:pt idx="0">
                  <c:v>Hausse</c:v>
                </c:pt>
              </c:strCache>
            </c:strRef>
          </c:tx>
          <c:spPr>
            <a:ln w="12700">
              <a:solidFill>
                <a:srgbClr val="00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0000FF"/>
              </a:solidFill>
              <a:ln>
                <a:solidFill>
                  <a:srgbClr val="0000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5.9274674455397434E-2"/>
                  <c:y val="-7.0329112480036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5.7572410855544348E-2"/>
                  <c:y val="-8.31218156553967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6.7061275404648929E-2"/>
                  <c:y val="-8.81833153208797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6.5394608737982321E-2"/>
                  <c:y val="-7.906232309196710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5.334702446148229E-2"/>
                  <c:y val="-7.3071895424836622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0000FF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25937500000000002"/>
                  <c:y val="8.0672268907563044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FF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'Fc1'!$B$242:$F$242</c:f>
              <c:strCache>
                <c:ptCount val="5"/>
                <c:pt idx="0">
                  <c:v>JFM
12</c:v>
                </c:pt>
                <c:pt idx="1">
                  <c:v>AMJ             12</c:v>
                </c:pt>
                <c:pt idx="2">
                  <c:v>JAS
12</c:v>
                </c:pt>
                <c:pt idx="3">
                  <c:v>OND
12</c:v>
                </c:pt>
                <c:pt idx="4">
                  <c:v>JFM
13</c:v>
                </c:pt>
              </c:strCache>
            </c:strRef>
          </c:cat>
          <c:val>
            <c:numRef>
              <c:f>'Fc1'!$B$243:$F$243</c:f>
              <c:numCache>
                <c:formatCode>0%</c:formatCode>
                <c:ptCount val="5"/>
                <c:pt idx="0">
                  <c:v>0.69000000000000061</c:v>
                </c:pt>
                <c:pt idx="1">
                  <c:v>0.58000000000000007</c:v>
                </c:pt>
                <c:pt idx="2">
                  <c:v>0.62000000000000122</c:v>
                </c:pt>
                <c:pt idx="3">
                  <c:v>0.66000000000000159</c:v>
                </c:pt>
                <c:pt idx="4">
                  <c:v>0.68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'Fc1'!$A$244</c:f>
              <c:strCache>
                <c:ptCount val="1"/>
                <c:pt idx="0">
                  <c:v>Baisse</c:v>
                </c:pt>
              </c:strCache>
            </c:strRef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5.2116648411829183E-2"/>
                  <c:y val="-5.37404148010916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7.689211391018691E-2"/>
                  <c:y val="-6.80809016519993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6.8841730558598033E-2"/>
                  <c:y val="-5.858525037311508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5.2022027503955334E-2"/>
                  <c:y val="-6.43739385517990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4.7096872337836888E-2"/>
                  <c:y val="-5.7984149040193507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FF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FF00FF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'Fc1'!$B$242:$F$242</c:f>
              <c:strCache>
                <c:ptCount val="5"/>
                <c:pt idx="0">
                  <c:v>JFM
12</c:v>
                </c:pt>
                <c:pt idx="1">
                  <c:v>AMJ             12</c:v>
                </c:pt>
                <c:pt idx="2">
                  <c:v>JAS
12</c:v>
                </c:pt>
                <c:pt idx="3">
                  <c:v>OND
12</c:v>
                </c:pt>
                <c:pt idx="4">
                  <c:v>JFM
13</c:v>
                </c:pt>
              </c:strCache>
            </c:strRef>
          </c:cat>
          <c:val>
            <c:numRef>
              <c:f>'Fc1'!$B$244:$F$244</c:f>
              <c:numCache>
                <c:formatCode>0%</c:formatCode>
                <c:ptCount val="5"/>
                <c:pt idx="0">
                  <c:v>9.0000000000000024E-2</c:v>
                </c:pt>
                <c:pt idx="1">
                  <c:v>0.14000000000000001</c:v>
                </c:pt>
                <c:pt idx="2">
                  <c:v>0.14000000000000001</c:v>
                </c:pt>
                <c:pt idx="3">
                  <c:v>0.14000000000000001</c:v>
                </c:pt>
                <c:pt idx="4">
                  <c:v>7.0000000000000021E-2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265728"/>
        <c:axId val="74267264"/>
      </c:lineChart>
      <c:catAx>
        <c:axId val="74265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74267264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74267264"/>
        <c:scaling>
          <c:orientation val="minMax"/>
          <c:max val="0.8"/>
          <c:min val="0"/>
        </c:scaling>
        <c:delete val="0"/>
        <c:axPos val="l"/>
        <c:numFmt formatCode="0%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74265728"/>
        <c:crosses val="autoZero"/>
        <c:crossBetween val="between"/>
        <c:majorUnit val="0.2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6458333333333336E-2"/>
          <c:y val="0.15031086014145711"/>
          <c:w val="0.848147133990514"/>
          <c:h val="0.57463837554186625"/>
        </c:manualLayout>
      </c:layout>
      <c:lineChart>
        <c:grouping val="standard"/>
        <c:varyColors val="0"/>
        <c:ser>
          <c:idx val="1"/>
          <c:order val="0"/>
          <c:tx>
            <c:strRef>
              <c:f>'Fc1'!$A$278</c:f>
              <c:strCache>
                <c:ptCount val="1"/>
                <c:pt idx="0">
                  <c:v>Hausse</c:v>
                </c:pt>
              </c:strCache>
            </c:strRef>
          </c:tx>
          <c:spPr>
            <a:ln w="12700">
              <a:solidFill>
                <a:srgbClr val="00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0000FF"/>
              </a:solidFill>
              <a:ln>
                <a:solidFill>
                  <a:srgbClr val="0000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7.086649628818352E-2"/>
                  <c:y val="-7.29019516124840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6.5300292077400512E-2"/>
                  <c:y val="-6.248330344845508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5.1605512960934651E-2"/>
                  <c:y val="-9.40120921743102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6.1530668127053684E-2"/>
                  <c:y val="-0.1000861282226785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5.334702446148229E-2"/>
                  <c:y val="-0.10787531371206936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0000FF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25937500000000002"/>
                  <c:y val="8.0672268907563044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FF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'Fc1'!$B$277:$F$277</c:f>
              <c:strCache>
                <c:ptCount val="5"/>
                <c:pt idx="0">
                  <c:v>JFM
12</c:v>
                </c:pt>
                <c:pt idx="1">
                  <c:v>AMJ             12</c:v>
                </c:pt>
                <c:pt idx="2">
                  <c:v>JAS
12</c:v>
                </c:pt>
                <c:pt idx="3">
                  <c:v>OND
12</c:v>
                </c:pt>
                <c:pt idx="4">
                  <c:v>JFM
13</c:v>
                </c:pt>
              </c:strCache>
            </c:strRef>
          </c:cat>
          <c:val>
            <c:numRef>
              <c:f>'Fc1'!$B$278:$F$278</c:f>
              <c:numCache>
                <c:formatCode>0%</c:formatCode>
                <c:ptCount val="5"/>
                <c:pt idx="0">
                  <c:v>0.17</c:v>
                </c:pt>
                <c:pt idx="1">
                  <c:v>0.23</c:v>
                </c:pt>
                <c:pt idx="2">
                  <c:v>0.2</c:v>
                </c:pt>
                <c:pt idx="3">
                  <c:v>0.23</c:v>
                </c:pt>
                <c:pt idx="4">
                  <c:v>0.29000000000000031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'Fc1'!$A$279</c:f>
              <c:strCache>
                <c:ptCount val="1"/>
                <c:pt idx="0">
                  <c:v>Baisse</c:v>
                </c:pt>
              </c:strCache>
            </c:strRef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9.8484239990264094E-2"/>
                  <c:y val="4.67503443257711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5.7572410855544091E-2"/>
                  <c:y val="5.208284607988358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5.7249908725812267E-2"/>
                  <c:y val="5.574907097008912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5.9749908725812338E-2"/>
                  <c:y val="6.25191653023569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8.4574662285506804E-3"/>
                  <c:y val="9.5033912840102926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FF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FF00FF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'Fc1'!$B$277:$F$277</c:f>
              <c:strCache>
                <c:ptCount val="5"/>
                <c:pt idx="0">
                  <c:v>JFM
12</c:v>
                </c:pt>
                <c:pt idx="1">
                  <c:v>AMJ             12</c:v>
                </c:pt>
                <c:pt idx="2">
                  <c:v>JAS
12</c:v>
                </c:pt>
                <c:pt idx="3">
                  <c:v>OND
12</c:v>
                </c:pt>
                <c:pt idx="4">
                  <c:v>JFM
13</c:v>
                </c:pt>
              </c:strCache>
            </c:strRef>
          </c:cat>
          <c:val>
            <c:numRef>
              <c:f>'Fc1'!$B$279:$F$279</c:f>
              <c:numCache>
                <c:formatCode>0%</c:formatCode>
                <c:ptCount val="5"/>
                <c:pt idx="0">
                  <c:v>9.0000000000000024E-2</c:v>
                </c:pt>
                <c:pt idx="1">
                  <c:v>7.0000000000000021E-2</c:v>
                </c:pt>
                <c:pt idx="2">
                  <c:v>9.0000000000000024E-2</c:v>
                </c:pt>
                <c:pt idx="3">
                  <c:v>0.12000000000000002</c:v>
                </c:pt>
                <c:pt idx="4">
                  <c:v>0.05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5181056"/>
        <c:axId val="95211520"/>
      </c:lineChart>
      <c:catAx>
        <c:axId val="95181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95211520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95211520"/>
        <c:scaling>
          <c:orientation val="minMax"/>
          <c:max val="0.4"/>
          <c:min val="0"/>
        </c:scaling>
        <c:delete val="0"/>
        <c:axPos val="l"/>
        <c:numFmt formatCode="0%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95181056"/>
        <c:crosses val="autoZero"/>
        <c:crossBetween val="between"/>
        <c:majorUnit val="0.1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7584515366430568E-2"/>
          <c:y val="0.13366745823438736"/>
          <c:w val="0.82124674940898368"/>
          <c:h val="0.70752239303420406"/>
        </c:manualLayout>
      </c:layout>
      <c:lineChart>
        <c:grouping val="standard"/>
        <c:varyColors val="0"/>
        <c:ser>
          <c:idx val="1"/>
          <c:order val="0"/>
          <c:tx>
            <c:strRef>
              <c:f>'Fc1'!$A$319</c:f>
              <c:strCache>
                <c:ptCount val="1"/>
                <c:pt idx="0">
                  <c:v>Maison 4-5 pièces</c:v>
                </c:pt>
              </c:strCache>
            </c:strRef>
          </c:tx>
          <c:spPr>
            <a:ln w="12700">
              <a:solidFill>
                <a:srgbClr val="9999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9999FF"/>
              </a:solidFill>
              <a:ln>
                <a:solidFill>
                  <a:srgbClr val="9999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9.0689420803782506E-2"/>
                  <c:y val="-1.22932367149758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2328605200945641E-3"/>
                  <c:y val="2.754589371980686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5.8573581560283694E-2"/>
                  <c:y val="7.191932367149758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5433806146572102E-2"/>
                  <c:y val="7.166473429951697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9.1778959810874701E-3"/>
                  <c:y val="9.1376811594203067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00" b="1">
                      <a:solidFill>
                        <a:srgbClr val="9999FF"/>
                      </a:solidFill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25937500000000002"/>
                  <c:y val="8.0672268907563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00">
                    <a:solidFill>
                      <a:srgbClr val="9999FF"/>
                    </a:solidFill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'Fc1'!$B$318:$F$318</c:f>
              <c:strCache>
                <c:ptCount val="5"/>
                <c:pt idx="0">
                  <c:v>JFM
12</c:v>
                </c:pt>
                <c:pt idx="1">
                  <c:v>AMJ             12</c:v>
                </c:pt>
                <c:pt idx="2">
                  <c:v>JAS
12</c:v>
                </c:pt>
                <c:pt idx="3">
                  <c:v>OND
12</c:v>
                </c:pt>
                <c:pt idx="4">
                  <c:v>JFM
13</c:v>
                </c:pt>
              </c:strCache>
            </c:strRef>
          </c:cat>
          <c:val>
            <c:numRef>
              <c:f>'Fc1'!$B$319:$F$319</c:f>
              <c:numCache>
                <c:formatCode>General</c:formatCode>
                <c:ptCount val="5"/>
                <c:pt idx="0">
                  <c:v>-20</c:v>
                </c:pt>
                <c:pt idx="1">
                  <c:v>-26</c:v>
                </c:pt>
                <c:pt idx="2">
                  <c:v>-21</c:v>
                </c:pt>
                <c:pt idx="3">
                  <c:v>-29</c:v>
                </c:pt>
                <c:pt idx="4">
                  <c:v>-39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'Fc1'!$A$320</c:f>
              <c:strCache>
                <c:ptCount val="1"/>
                <c:pt idx="0">
                  <c:v>3 pièces</c:v>
                </c:pt>
              </c:strCache>
            </c:strRef>
          </c:tx>
          <c:spPr>
            <a:ln w="12700">
              <a:solidFill>
                <a:srgbClr val="8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800080"/>
              </a:solidFill>
              <a:ln>
                <a:solidFill>
                  <a:srgbClr val="800080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7.292198581560283E-2"/>
                  <c:y val="7.07579710144929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5.5401300236406804E-2"/>
                  <c:y val="5.7309661835749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9.7408392434988177E-3"/>
                  <c:y val="-4.21115942028987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1.8528368794326305E-4"/>
                  <c:y val="-3.572173913043480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3.7529550827423296E-3"/>
                  <c:y val="5.6053140096618416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00" b="1">
                      <a:solidFill>
                        <a:srgbClr val="800080"/>
                      </a:solidFill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00">
                    <a:solidFill>
                      <a:srgbClr val="800080"/>
                    </a:solidFill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'Fc1'!$B$318:$F$318</c:f>
              <c:strCache>
                <c:ptCount val="5"/>
                <c:pt idx="0">
                  <c:v>JFM
12</c:v>
                </c:pt>
                <c:pt idx="1">
                  <c:v>AMJ             12</c:v>
                </c:pt>
                <c:pt idx="2">
                  <c:v>JAS
12</c:v>
                </c:pt>
                <c:pt idx="3">
                  <c:v>OND
12</c:v>
                </c:pt>
                <c:pt idx="4">
                  <c:v>JFM
13</c:v>
                </c:pt>
              </c:strCache>
            </c:strRef>
          </c:cat>
          <c:val>
            <c:numRef>
              <c:f>'Fc1'!$B$320:$F$320</c:f>
              <c:numCache>
                <c:formatCode>General</c:formatCode>
                <c:ptCount val="5"/>
                <c:pt idx="0">
                  <c:v>-27</c:v>
                </c:pt>
                <c:pt idx="1">
                  <c:v>-28</c:v>
                </c:pt>
                <c:pt idx="2">
                  <c:v>-18</c:v>
                </c:pt>
                <c:pt idx="3">
                  <c:v>-26</c:v>
                </c:pt>
                <c:pt idx="4">
                  <c:v>-41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'Fc1'!$A$321</c:f>
              <c:strCache>
                <c:ptCount val="1"/>
                <c:pt idx="0">
                  <c:v>Studio</c:v>
                </c:pt>
              </c:strCache>
            </c:strRef>
          </c:tx>
          <c:spPr>
            <a:ln w="12700">
              <a:solidFill>
                <a:srgbClr val="008080"/>
              </a:solidFill>
              <a:prstDash val="solid"/>
            </a:ln>
          </c:spPr>
          <c:marker>
            <c:symbol val="triangle"/>
            <c:size val="5"/>
            <c:spPr>
              <a:solidFill>
                <a:srgbClr val="008080"/>
              </a:solidFill>
              <a:ln>
                <a:solidFill>
                  <a:srgbClr val="008080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5.6284869976359245E-2"/>
                  <c:y val="-6.39603864734299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4.0662825059101834E-2"/>
                  <c:y val="-7.10188405797101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6.6936465721040186E-2"/>
                  <c:y val="-7.5218840579710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7.1077127659574468E-2"/>
                  <c:y val="-5.15917874396135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1.0374704491725771E-2"/>
                  <c:y val="-1.1516425120772947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00" b="1">
                      <a:solidFill>
                        <a:srgbClr val="008080"/>
                      </a:solidFill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00">
                    <a:solidFill>
                      <a:srgbClr val="008080"/>
                    </a:solidFill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'Fc1'!$B$318:$F$318</c:f>
              <c:strCache>
                <c:ptCount val="5"/>
                <c:pt idx="0">
                  <c:v>JFM
12</c:v>
                </c:pt>
                <c:pt idx="1">
                  <c:v>AMJ             12</c:v>
                </c:pt>
                <c:pt idx="2">
                  <c:v>JAS
12</c:v>
                </c:pt>
                <c:pt idx="3">
                  <c:v>OND
12</c:v>
                </c:pt>
                <c:pt idx="4">
                  <c:v>JFM
13</c:v>
                </c:pt>
              </c:strCache>
            </c:strRef>
          </c:cat>
          <c:val>
            <c:numRef>
              <c:f>'Fc1'!$B$321:$F$321</c:f>
              <c:numCache>
                <c:formatCode>General</c:formatCode>
                <c:ptCount val="5"/>
                <c:pt idx="0">
                  <c:v>-20</c:v>
                </c:pt>
                <c:pt idx="1">
                  <c:v>-26</c:v>
                </c:pt>
                <c:pt idx="2">
                  <c:v>-16</c:v>
                </c:pt>
                <c:pt idx="3">
                  <c:v>-23</c:v>
                </c:pt>
                <c:pt idx="4">
                  <c:v>-35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3844992"/>
        <c:axId val="93846528"/>
      </c:lineChart>
      <c:catAx>
        <c:axId val="93844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fr-FR"/>
          </a:p>
        </c:txPr>
        <c:crossAx val="93846528"/>
        <c:crossesAt val="0"/>
        <c:auto val="0"/>
        <c:lblAlgn val="ctr"/>
        <c:lblOffset val="100"/>
        <c:tickLblSkip val="1"/>
        <c:tickMarkSkip val="1"/>
        <c:noMultiLvlLbl val="0"/>
      </c:catAx>
      <c:valAx>
        <c:axId val="93846528"/>
        <c:scaling>
          <c:orientation val="minMax"/>
          <c:max val="0"/>
          <c:min val="-8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fr-FR"/>
          </a:p>
        </c:txPr>
        <c:crossAx val="93844992"/>
        <c:crosses val="autoZero"/>
        <c:crossBetween val="between"/>
        <c:majorUnit val="10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ysClr val="windowText" lastClr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5090425531915046E-2"/>
          <c:y val="0.11924592759238428"/>
          <c:w val="0.82124674940898368"/>
          <c:h val="0.72194392367620708"/>
        </c:manualLayout>
      </c:layout>
      <c:lineChart>
        <c:grouping val="standard"/>
        <c:varyColors val="0"/>
        <c:ser>
          <c:idx val="1"/>
          <c:order val="0"/>
          <c:tx>
            <c:strRef>
              <c:f>'Fc1'!$A$298</c:f>
              <c:strCache>
                <c:ptCount val="1"/>
                <c:pt idx="0">
                  <c:v>Maison 4-5 pièces</c:v>
                </c:pt>
              </c:strCache>
            </c:strRef>
          </c:tx>
          <c:spPr>
            <a:ln w="12700">
              <a:solidFill>
                <a:srgbClr val="9999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9999FF"/>
              </a:solidFill>
              <a:ln>
                <a:solidFill>
                  <a:srgbClr val="9999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6.8171690307328794E-2"/>
                  <c:y val="4.90594202898550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6.6320330969267136E-2"/>
                  <c:y val="6.4358454106280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8.8597222222222771E-2"/>
                  <c:y val="3.510821256038655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12049290780141859"/>
                  <c:y val="3.485314009661840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9.1778959810874701E-3"/>
                  <c:y val="2.7542995169082152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00" b="1">
                      <a:solidFill>
                        <a:srgbClr val="9999FF"/>
                      </a:solidFill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25937500000000002"/>
                  <c:y val="8.0672268907563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00">
                    <a:solidFill>
                      <a:srgbClr val="9999FF"/>
                    </a:solidFill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'Fc1'!$B$297:$F$297</c:f>
              <c:strCache>
                <c:ptCount val="5"/>
                <c:pt idx="0">
                  <c:v>JFM
12</c:v>
                </c:pt>
                <c:pt idx="1">
                  <c:v>AMJ             12</c:v>
                </c:pt>
                <c:pt idx="2">
                  <c:v>JAS
12</c:v>
                </c:pt>
                <c:pt idx="3">
                  <c:v>OND
12</c:v>
                </c:pt>
                <c:pt idx="4">
                  <c:v>JFM
13</c:v>
                </c:pt>
              </c:strCache>
            </c:strRef>
          </c:cat>
          <c:val>
            <c:numRef>
              <c:f>'Fc1'!$B$298:$F$298</c:f>
              <c:numCache>
                <c:formatCode>General</c:formatCode>
                <c:ptCount val="5"/>
                <c:pt idx="0">
                  <c:v>-45</c:v>
                </c:pt>
                <c:pt idx="1">
                  <c:v>-47</c:v>
                </c:pt>
                <c:pt idx="2">
                  <c:v>-52</c:v>
                </c:pt>
                <c:pt idx="3">
                  <c:v>-56.5</c:v>
                </c:pt>
                <c:pt idx="4">
                  <c:v>-70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'Fc1'!$A$299</c:f>
              <c:strCache>
                <c:ptCount val="1"/>
                <c:pt idx="0">
                  <c:v>3 pièces</c:v>
                </c:pt>
              </c:strCache>
            </c:strRef>
          </c:tx>
          <c:spPr>
            <a:ln w="12700">
              <a:solidFill>
                <a:srgbClr val="8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800080"/>
              </a:solidFill>
              <a:ln>
                <a:solidFill>
                  <a:srgbClr val="800080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9.168676122931442E-2"/>
                  <c:y val="-2.1271014492753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2.1624704491725801E-2"/>
                  <c:y val="-4.69898550724635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2.8505614657210406E-2"/>
                  <c:y val="-4.211159420289881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8.6132978723404266E-2"/>
                  <c:y val="-3.572173913043478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7.5059101654846739E-3"/>
                  <c:y val="-5.2995169082125614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00" b="1">
                      <a:solidFill>
                        <a:srgbClr val="800080"/>
                      </a:solidFill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00">
                    <a:solidFill>
                      <a:srgbClr val="800080"/>
                    </a:solidFill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'Fc1'!$B$297:$F$297</c:f>
              <c:strCache>
                <c:ptCount val="5"/>
                <c:pt idx="0">
                  <c:v>JFM
12</c:v>
                </c:pt>
                <c:pt idx="1">
                  <c:v>AMJ             12</c:v>
                </c:pt>
                <c:pt idx="2">
                  <c:v>JAS
12</c:v>
                </c:pt>
                <c:pt idx="3">
                  <c:v>OND
12</c:v>
                </c:pt>
                <c:pt idx="4">
                  <c:v>JFM
13</c:v>
                </c:pt>
              </c:strCache>
            </c:strRef>
          </c:cat>
          <c:val>
            <c:numRef>
              <c:f>'Fc1'!$B$299:$F$299</c:f>
              <c:numCache>
                <c:formatCode>General</c:formatCode>
                <c:ptCount val="5"/>
                <c:pt idx="0">
                  <c:v>-41</c:v>
                </c:pt>
                <c:pt idx="1">
                  <c:v>-47</c:v>
                </c:pt>
                <c:pt idx="2">
                  <c:v>-46</c:v>
                </c:pt>
                <c:pt idx="3">
                  <c:v>-49.5</c:v>
                </c:pt>
                <c:pt idx="4">
                  <c:v>-66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'Fc1'!$A$300</c:f>
              <c:strCache>
                <c:ptCount val="1"/>
                <c:pt idx="0">
                  <c:v>Studio</c:v>
                </c:pt>
              </c:strCache>
            </c:strRef>
          </c:tx>
          <c:spPr>
            <a:ln w="12700">
              <a:solidFill>
                <a:srgbClr val="008080"/>
              </a:solidFill>
              <a:prstDash val="solid"/>
            </a:ln>
          </c:spPr>
          <c:marker>
            <c:symbol val="triangle"/>
            <c:size val="5"/>
            <c:spPr>
              <a:solidFill>
                <a:srgbClr val="008080"/>
              </a:solidFill>
              <a:ln>
                <a:solidFill>
                  <a:srgbClr val="008080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7.5049645390070877E-2"/>
                  <c:y val="-4.555458937198068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1.0639184397163168E-2"/>
                  <c:y val="-5.874879227053140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2.9406914893617041E-2"/>
                  <c:y val="-5.68130434782608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1052895981087467E-2"/>
                  <c:y val="-5.7726570048309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1.4127659574468085E-2"/>
                  <c:y val="-2.9922222222222222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00" b="1">
                      <a:solidFill>
                        <a:srgbClr val="008080"/>
                      </a:solidFill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00">
                    <a:solidFill>
                      <a:srgbClr val="008080"/>
                    </a:solidFill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'Fc1'!$B$297:$F$297</c:f>
              <c:strCache>
                <c:ptCount val="5"/>
                <c:pt idx="0">
                  <c:v>JFM
12</c:v>
                </c:pt>
                <c:pt idx="1">
                  <c:v>AMJ             12</c:v>
                </c:pt>
                <c:pt idx="2">
                  <c:v>JAS
12</c:v>
                </c:pt>
                <c:pt idx="3">
                  <c:v>OND
12</c:v>
                </c:pt>
                <c:pt idx="4">
                  <c:v>JFM
13</c:v>
                </c:pt>
              </c:strCache>
            </c:strRef>
          </c:cat>
          <c:val>
            <c:numRef>
              <c:f>'Fc1'!$B$300:$F$300</c:f>
              <c:numCache>
                <c:formatCode>General</c:formatCode>
                <c:ptCount val="5"/>
                <c:pt idx="0">
                  <c:v>-31</c:v>
                </c:pt>
                <c:pt idx="1">
                  <c:v>-36</c:v>
                </c:pt>
                <c:pt idx="2">
                  <c:v>-38</c:v>
                </c:pt>
                <c:pt idx="3">
                  <c:v>-39.5</c:v>
                </c:pt>
                <c:pt idx="4">
                  <c:v>-61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5245056"/>
        <c:axId val="95246592"/>
      </c:lineChart>
      <c:catAx>
        <c:axId val="95245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fr-FR"/>
          </a:p>
        </c:txPr>
        <c:crossAx val="95246592"/>
        <c:crossesAt val="0"/>
        <c:auto val="0"/>
        <c:lblAlgn val="ctr"/>
        <c:lblOffset val="100"/>
        <c:tickLblSkip val="1"/>
        <c:tickMarkSkip val="1"/>
        <c:noMultiLvlLbl val="0"/>
      </c:catAx>
      <c:valAx>
        <c:axId val="95246592"/>
        <c:scaling>
          <c:orientation val="minMax"/>
          <c:max val="0"/>
          <c:min val="-80"/>
        </c:scaling>
        <c:delete val="0"/>
        <c:axPos val="l"/>
        <c:numFmt formatCode="#,##0" sourceLinked="0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fr-FR"/>
          </a:p>
        </c:txPr>
        <c:crossAx val="95245056"/>
        <c:crosses val="autoZero"/>
        <c:crossBetween val="between"/>
        <c:majorUnit val="10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ysClr val="windowText" lastClr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253316295484968"/>
          <c:y val="0.17011304280034348"/>
          <c:w val="0.848147133990513"/>
          <c:h val="0.57463837554186625"/>
        </c:manualLayout>
      </c:layout>
      <c:lineChart>
        <c:grouping val="standard"/>
        <c:varyColors val="0"/>
        <c:ser>
          <c:idx val="1"/>
          <c:order val="0"/>
          <c:tx>
            <c:strRef>
              <c:f>'Fc1'!$A$368</c:f>
              <c:strCache>
                <c:ptCount val="1"/>
                <c:pt idx="0">
                  <c:v>Hausse</c:v>
                </c:pt>
              </c:strCache>
            </c:strRef>
          </c:tx>
          <c:spPr>
            <a:ln w="12700">
              <a:solidFill>
                <a:srgbClr val="00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0000FF"/>
              </a:solidFill>
              <a:ln>
                <a:solidFill>
                  <a:srgbClr val="0000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5.5410733844468943E-2"/>
                  <c:y val="-6.6301291546477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6.1436351466471951E-2"/>
                  <c:y val="-6.248330344845508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5.5469453571863211E-2"/>
                  <c:y val="-6.761050908240431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6.5394608737982321E-2"/>
                  <c:y val="-5.38816558821237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3.0163380795910941E-2"/>
                  <c:y val="-8.1472414958030995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0000FF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25937500000000002"/>
                  <c:y val="8.0672268907563044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FF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'Fc1'!$B$367:$F$367</c:f>
              <c:strCache>
                <c:ptCount val="5"/>
                <c:pt idx="0">
                  <c:v>AMJ
12</c:v>
                </c:pt>
                <c:pt idx="1">
                  <c:v>JAS              12</c:v>
                </c:pt>
                <c:pt idx="2">
                  <c:v>OND
12</c:v>
                </c:pt>
                <c:pt idx="3">
                  <c:v>JFM
13</c:v>
                </c:pt>
                <c:pt idx="4">
                  <c:v>AMJ
13</c:v>
                </c:pt>
              </c:strCache>
            </c:strRef>
          </c:cat>
          <c:val>
            <c:numRef>
              <c:f>'Fc1'!$B$368:$F$368</c:f>
              <c:numCache>
                <c:formatCode>0%</c:formatCode>
                <c:ptCount val="5"/>
                <c:pt idx="0">
                  <c:v>0.1</c:v>
                </c:pt>
                <c:pt idx="1">
                  <c:v>0.03</c:v>
                </c:pt>
                <c:pt idx="2">
                  <c:v>0.09</c:v>
                </c:pt>
                <c:pt idx="3">
                  <c:v>0.11</c:v>
                </c:pt>
                <c:pt idx="4">
                  <c:v>0.17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'Fc1'!$A$369</c:f>
              <c:strCache>
                <c:ptCount val="1"/>
                <c:pt idx="0">
                  <c:v>Baisse</c:v>
                </c:pt>
              </c:strCache>
            </c:strRef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6.7572410855543746E-2"/>
                  <c:y val="-5.88607364673475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6.5300292077400512E-2"/>
                  <c:y val="-7.993087497726174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7.2705671169527003E-2"/>
                  <c:y val="-7.626413035004288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7.134173055859809E-2"/>
                  <c:y val="-7.60946960837819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5.0960812948764762E-2"/>
                  <c:y val="-7.6305189574075505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FF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FF00FF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'Fc1'!$B$367:$F$367</c:f>
              <c:strCache>
                <c:ptCount val="5"/>
                <c:pt idx="0">
                  <c:v>AMJ
12</c:v>
                </c:pt>
                <c:pt idx="1">
                  <c:v>JAS              12</c:v>
                </c:pt>
                <c:pt idx="2">
                  <c:v>OND
12</c:v>
                </c:pt>
                <c:pt idx="3">
                  <c:v>JFM
13</c:v>
                </c:pt>
                <c:pt idx="4">
                  <c:v>AMJ
13</c:v>
                </c:pt>
              </c:strCache>
            </c:strRef>
          </c:cat>
          <c:val>
            <c:numRef>
              <c:f>'Fc1'!$B$369:$F$369</c:f>
              <c:numCache>
                <c:formatCode>0%</c:formatCode>
                <c:ptCount val="5"/>
                <c:pt idx="0">
                  <c:v>0.32</c:v>
                </c:pt>
                <c:pt idx="1">
                  <c:v>0.37</c:v>
                </c:pt>
                <c:pt idx="2">
                  <c:v>0.51</c:v>
                </c:pt>
                <c:pt idx="3">
                  <c:v>0.44</c:v>
                </c:pt>
                <c:pt idx="4">
                  <c:v>0.38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5388800"/>
        <c:axId val="95390336"/>
      </c:lineChart>
      <c:catAx>
        <c:axId val="95388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95390336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95390336"/>
        <c:scaling>
          <c:orientation val="minMax"/>
          <c:max val="0.80000000000000104"/>
          <c:min val="0"/>
        </c:scaling>
        <c:delete val="0"/>
        <c:axPos val="l"/>
        <c:numFmt formatCode="0%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95388800"/>
        <c:crosses val="autoZero"/>
        <c:crossBetween val="between"/>
        <c:majorUnit val="0.2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6458333333333336E-2"/>
          <c:y val="0.18991502299836432"/>
          <c:w val="0.84814713399051278"/>
          <c:h val="0.5350344325771208"/>
        </c:manualLayout>
      </c:layout>
      <c:lineChart>
        <c:grouping val="standard"/>
        <c:varyColors val="0"/>
        <c:ser>
          <c:idx val="1"/>
          <c:order val="0"/>
          <c:tx>
            <c:strRef>
              <c:f>'Fc1'!$A$348</c:f>
              <c:strCache>
                <c:ptCount val="1"/>
                <c:pt idx="0">
                  <c:v>Hausse</c:v>
                </c:pt>
              </c:strCache>
            </c:strRef>
          </c:tx>
          <c:spPr>
            <a:ln w="12700">
              <a:solidFill>
                <a:srgbClr val="00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0000FF"/>
              </a:solidFill>
              <a:ln>
                <a:solidFill>
                  <a:srgbClr val="0000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6.3138615066325912E-2"/>
                  <c:y val="-6.6301291546477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5.7572410855543765E-2"/>
                  <c:y val="-6.2483303448455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6.3197334793720333E-2"/>
                  <c:y val="-8.081130947740444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6.5394608737982293E-2"/>
                  <c:y val="-6.70829760141369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4.1755202628696614E-2"/>
                  <c:y val="-7.4871754892024633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0000FF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25937500000000002"/>
                  <c:y val="8.0672268907563044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FF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'Fc1'!$B$347:$F$347</c:f>
              <c:strCache>
                <c:ptCount val="5"/>
                <c:pt idx="0">
                  <c:v>AMJ
12</c:v>
                </c:pt>
                <c:pt idx="1">
                  <c:v>JAS              12</c:v>
                </c:pt>
                <c:pt idx="2">
                  <c:v>OND
12</c:v>
                </c:pt>
                <c:pt idx="3">
                  <c:v>JFM
13</c:v>
                </c:pt>
                <c:pt idx="4">
                  <c:v>AMJ
13</c:v>
                </c:pt>
              </c:strCache>
            </c:strRef>
          </c:cat>
          <c:val>
            <c:numRef>
              <c:f>'Fc1'!$B$348:$F$348</c:f>
              <c:numCache>
                <c:formatCode>0%</c:formatCode>
                <c:ptCount val="5"/>
                <c:pt idx="0">
                  <c:v>0.09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0.12</c:v>
                </c:pt>
                <c:pt idx="4">
                  <c:v>0.21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'Fc1'!$A$349</c:f>
              <c:strCache>
                <c:ptCount val="1"/>
                <c:pt idx="0">
                  <c:v>Baisse</c:v>
                </c:pt>
              </c:strCache>
            </c:strRef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5.9844833880978499E-2"/>
                  <c:y val="-5.225955666432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7.6892113910186508E-2"/>
                  <c:y val="-7.99303552402485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6.4977789947669493E-2"/>
                  <c:y val="8.215119149710249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7.5205671169526866E-2"/>
                  <c:y val="-7.609469608378194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3.9368991115979066E-2"/>
                  <c:y val="-8.2906369377095779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FF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FF00FF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'Fc1'!$B$347:$F$347</c:f>
              <c:strCache>
                <c:ptCount val="5"/>
                <c:pt idx="0">
                  <c:v>AMJ
12</c:v>
                </c:pt>
                <c:pt idx="1">
                  <c:v>JAS              12</c:v>
                </c:pt>
                <c:pt idx="2">
                  <c:v>OND
12</c:v>
                </c:pt>
                <c:pt idx="3">
                  <c:v>JFM
13</c:v>
                </c:pt>
                <c:pt idx="4">
                  <c:v>AMJ
13</c:v>
                </c:pt>
              </c:strCache>
            </c:strRef>
          </c:cat>
          <c:val>
            <c:numRef>
              <c:f>'Fc1'!$B$349:$F$349</c:f>
              <c:numCache>
                <c:formatCode>0%</c:formatCode>
                <c:ptCount val="5"/>
                <c:pt idx="0">
                  <c:v>0.56999999999999995</c:v>
                </c:pt>
                <c:pt idx="1">
                  <c:v>0.55000000000000004</c:v>
                </c:pt>
                <c:pt idx="2">
                  <c:v>0.72</c:v>
                </c:pt>
                <c:pt idx="3">
                  <c:v>0.56999999999999995</c:v>
                </c:pt>
                <c:pt idx="4">
                  <c:v>0.42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5451392"/>
        <c:axId val="95465472"/>
      </c:lineChart>
      <c:catAx>
        <c:axId val="95451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95465472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95465472"/>
        <c:scaling>
          <c:orientation val="minMax"/>
          <c:max val="0.80000000000000104"/>
          <c:min val="0"/>
        </c:scaling>
        <c:delete val="0"/>
        <c:axPos val="l"/>
        <c:numFmt formatCode="0%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95451392"/>
        <c:crosses val="autoZero"/>
        <c:crossBetween val="between"/>
        <c:majorUnit val="0.2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796840958605801"/>
          <c:y val="9.4651072124757693E-2"/>
          <c:w val="0.85666000968289013"/>
          <c:h val="0.56513499025341163"/>
        </c:manualLayout>
      </c:layout>
      <c:lineChart>
        <c:grouping val="standard"/>
        <c:varyColors val="0"/>
        <c:ser>
          <c:idx val="1"/>
          <c:order val="0"/>
          <c:tx>
            <c:strRef>
              <c:f>'Fc1'!$A$389</c:f>
              <c:strCache>
                <c:ptCount val="1"/>
                <c:pt idx="0">
                  <c:v>résultats trimestriels</c:v>
                </c:pt>
              </c:strCache>
            </c:strRef>
          </c:tx>
          <c:spPr>
            <a:ln w="12700">
              <a:solidFill>
                <a:srgbClr val="FF0000"/>
              </a:solidFill>
              <a:prstDash val="lgDash"/>
            </a:ln>
          </c:spPr>
          <c:marker>
            <c:symbol val="square"/>
            <c:size val="5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6.5329218106995879E-2"/>
                  <c:y val="6.807992202729044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6.1486322924231548E-2"/>
                  <c:y val="6.18908382066277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6.5329218106995879E-2"/>
                  <c:y val="7.42690058479532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7.3015008472524817E-2"/>
                  <c:y val="8.04580896686159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6.5329218106995879E-2"/>
                  <c:y val="7.42690058479532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6.1486322924231673E-2"/>
                  <c:y val="8.04580896686159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6.1486322924231673E-2"/>
                  <c:y val="8.045760233918129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5.3800532558702492E-2"/>
                  <c:y val="6.18908382066277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7.6857903655289444E-3"/>
                  <c:y val="8.0458089668615923E-2"/>
                </c:manualLayout>
              </c:layout>
              <c:spPr/>
              <c:txPr>
                <a:bodyPr/>
                <a:lstStyle/>
                <a:p>
                  <a:pPr>
                    <a:defRPr b="1">
                      <a:solidFill>
                        <a:srgbClr val="FF0000"/>
                      </a:solidFill>
                    </a:defRPr>
                  </a:pPr>
                  <a:endParaRPr lang="fr-F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>
                    <a:solidFill>
                      <a:srgbClr val="FF0000"/>
                    </a:solidFill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'Fc1'!$B$388:$J$388</c:f>
              <c:strCache>
                <c:ptCount val="9"/>
                <c:pt idx="0">
                  <c:v>AMJ 
11</c:v>
                </c:pt>
                <c:pt idx="1">
                  <c:v>JAS</c:v>
                </c:pt>
                <c:pt idx="2">
                  <c:v>OND</c:v>
                </c:pt>
                <c:pt idx="3">
                  <c:v>JFM
12</c:v>
                </c:pt>
                <c:pt idx="4">
                  <c:v>AMJ</c:v>
                </c:pt>
                <c:pt idx="5">
                  <c:v>JAS</c:v>
                </c:pt>
                <c:pt idx="6">
                  <c:v>OND</c:v>
                </c:pt>
                <c:pt idx="7">
                  <c:v>JFM
13</c:v>
                </c:pt>
                <c:pt idx="8">
                  <c:v>AMJ</c:v>
                </c:pt>
              </c:strCache>
            </c:strRef>
          </c:cat>
          <c:val>
            <c:numRef>
              <c:f>'Fc1'!$B$389:$J$389</c:f>
              <c:numCache>
                <c:formatCode>0%</c:formatCode>
                <c:ptCount val="9"/>
                <c:pt idx="0">
                  <c:v>0.16</c:v>
                </c:pt>
                <c:pt idx="1">
                  <c:v>0.16</c:v>
                </c:pt>
                <c:pt idx="2">
                  <c:v>0.15</c:v>
                </c:pt>
                <c:pt idx="3">
                  <c:v>0.12</c:v>
                </c:pt>
                <c:pt idx="4">
                  <c:v>0.11</c:v>
                </c:pt>
                <c:pt idx="5">
                  <c:v>0.12</c:v>
                </c:pt>
                <c:pt idx="6">
                  <c:v>0.11</c:v>
                </c:pt>
                <c:pt idx="7">
                  <c:v>0.09</c:v>
                </c:pt>
                <c:pt idx="8">
                  <c:v>0.11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'Fc1'!$A$390</c:f>
              <c:strCache>
                <c:ptCount val="1"/>
                <c:pt idx="0">
                  <c:v>données lissées</c:v>
                </c:pt>
              </c:strCache>
            </c:strRef>
          </c:tx>
          <c:spPr>
            <a:ln w="25400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dLbls>
            <c:delete val="1"/>
          </c:dLbls>
          <c:cat>
            <c:strRef>
              <c:f>'Fc1'!$B$388:$J$388</c:f>
              <c:strCache>
                <c:ptCount val="9"/>
                <c:pt idx="0">
                  <c:v>AMJ 
11</c:v>
                </c:pt>
                <c:pt idx="1">
                  <c:v>JAS</c:v>
                </c:pt>
                <c:pt idx="2">
                  <c:v>OND</c:v>
                </c:pt>
                <c:pt idx="3">
                  <c:v>JFM
12</c:v>
                </c:pt>
                <c:pt idx="4">
                  <c:v>AMJ</c:v>
                </c:pt>
                <c:pt idx="5">
                  <c:v>JAS</c:v>
                </c:pt>
                <c:pt idx="6">
                  <c:v>OND</c:v>
                </c:pt>
                <c:pt idx="7">
                  <c:v>JFM
13</c:v>
                </c:pt>
                <c:pt idx="8">
                  <c:v>AMJ</c:v>
                </c:pt>
              </c:strCache>
            </c:strRef>
          </c:cat>
          <c:val>
            <c:numRef>
              <c:f>'Fc1'!$B$390:$J$390</c:f>
              <c:numCache>
                <c:formatCode>0%</c:formatCode>
                <c:ptCount val="9"/>
                <c:pt idx="0" formatCode="0.0%">
                  <c:v>0.17249999999999999</c:v>
                </c:pt>
                <c:pt idx="1">
                  <c:v>0.16800000000000001</c:v>
                </c:pt>
                <c:pt idx="2">
                  <c:v>0.16</c:v>
                </c:pt>
                <c:pt idx="3">
                  <c:v>0.14499999999999999</c:v>
                </c:pt>
                <c:pt idx="4">
                  <c:v>0.13500000000000001</c:v>
                </c:pt>
                <c:pt idx="5" formatCode="0.0%">
                  <c:v>0.125</c:v>
                </c:pt>
                <c:pt idx="6" formatCode="0.0%">
                  <c:v>0.115</c:v>
                </c:pt>
                <c:pt idx="7" formatCode="0.0%">
                  <c:v>0.11</c:v>
                </c:pt>
                <c:pt idx="8" formatCode="0.0%">
                  <c:v>0.11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6728960"/>
        <c:axId val="96735232"/>
      </c:lineChart>
      <c:catAx>
        <c:axId val="96728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96735232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96735232"/>
        <c:scaling>
          <c:orientation val="minMax"/>
          <c:max val="0.2"/>
          <c:min val="0"/>
        </c:scaling>
        <c:delete val="0"/>
        <c:axPos val="l"/>
        <c:numFmt formatCode="0%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96728960"/>
        <c:crosses val="autoZero"/>
        <c:crossBetween val="between"/>
        <c:majorUnit val="0.05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14028776325344952"/>
          <c:y val="0.90510916179337231"/>
          <c:w val="0.81071108690390004"/>
          <c:h val="7.7470760233918134E-2"/>
        </c:manualLayout>
      </c:layout>
      <c:overlay val="0"/>
      <c:spPr>
        <a:solidFill>
          <a:srgbClr val="FFFFFF"/>
        </a:solidFill>
        <a:ln w="12700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fr-FR"/>
        </a:p>
      </c:txPr>
    </c:legend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6458333333333336E-2"/>
          <c:y val="9.1288986354775739E-2"/>
          <c:w val="0.84279428816581736"/>
          <c:h val="0.60253703703703698"/>
        </c:manualLayout>
      </c:layout>
      <c:barChart>
        <c:barDir val="col"/>
        <c:grouping val="clustered"/>
        <c:varyColors val="0"/>
        <c:ser>
          <c:idx val="1"/>
          <c:order val="0"/>
          <c:spPr>
            <a:solidFill>
              <a:srgbClr val="C0C0C0"/>
            </a:solidFill>
            <a:ln w="12700">
              <a:noFill/>
              <a:prstDash val="solid"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9999FF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invertIfNegative val="0"/>
            <c:bubble3D val="0"/>
            <c:spPr>
              <a:solidFill>
                <a:srgbClr val="CCFFCC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invertIfNegative val="0"/>
            <c:bubble3D val="0"/>
            <c:spPr>
              <a:solidFill>
                <a:srgbClr val="FFCC99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6.0225885225885225E-3"/>
                  <c:y val="-1.002923976608187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0"/>
                  <c:y val="-2.4756335282651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"/>
                  <c:y val="-2.47563352826511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37916666666667165"/>
                  <c:y val="1.680672268907581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23958333333333501"/>
                  <c:y val="2.016806722689075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'Fc1'!$A$410:$D$410</c:f>
              <c:strCache>
                <c:ptCount val="4"/>
                <c:pt idx="0">
                  <c:v>Négociateurs salariés</c:v>
                </c:pt>
                <c:pt idx="1">
                  <c:v>Agents commerciaux</c:v>
                </c:pt>
                <c:pt idx="2">
                  <c:v>Personnels administratifs</c:v>
                </c:pt>
                <c:pt idx="3">
                  <c:v>Tous types 
de postes confondus</c:v>
                </c:pt>
              </c:strCache>
            </c:strRef>
          </c:cat>
          <c:val>
            <c:numRef>
              <c:f>'Fc1'!$A$411:$D$411</c:f>
              <c:numCache>
                <c:formatCode>0%</c:formatCode>
                <c:ptCount val="4"/>
                <c:pt idx="0">
                  <c:v>0.05</c:v>
                </c:pt>
                <c:pt idx="1">
                  <c:v>7.0000000000000021E-2</c:v>
                </c:pt>
                <c:pt idx="2">
                  <c:v>2.0000000000000011E-2</c:v>
                </c:pt>
                <c:pt idx="3">
                  <c:v>0.11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0"/>
        <c:axId val="96807168"/>
        <c:axId val="96808960"/>
      </c:barChart>
      <c:catAx>
        <c:axId val="96807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96808960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96808960"/>
        <c:scaling>
          <c:orientation val="minMax"/>
          <c:max val="0.12000000000000002"/>
          <c:min val="0"/>
        </c:scaling>
        <c:delete val="0"/>
        <c:axPos val="l"/>
        <c:numFmt formatCode="0%" sourceLinked="0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96807168"/>
        <c:crosses val="autoZero"/>
        <c:crossBetween val="between"/>
        <c:majorUnit val="2.0000000000000011E-2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2708333333334084E-2"/>
          <c:y val="2.8571428571428591E-2"/>
          <c:w val="0.86914617227898372"/>
          <c:h val="0.89411764705882368"/>
        </c:manualLayout>
      </c:layout>
      <c:lineChart>
        <c:grouping val="standard"/>
        <c:varyColors val="0"/>
        <c:ser>
          <c:idx val="1"/>
          <c:order val="0"/>
          <c:tx>
            <c:strRef>
              <c:f>'Fc1'!$A$5</c:f>
              <c:strCache>
                <c:ptCount val="1"/>
                <c:pt idx="0">
                  <c:v>Confiance des ménages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00FF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'Fc1'!$B$4:$J$4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'Fc1'!$B$5:$J$5</c:f>
              <c:numCache>
                <c:formatCode>General</c:formatCode>
                <c:ptCount val="9"/>
                <c:pt idx="0">
                  <c:v>86</c:v>
                </c:pt>
                <c:pt idx="1">
                  <c:v>84</c:v>
                </c:pt>
                <c:pt idx="2">
                  <c:v>84</c:v>
                </c:pt>
                <c:pt idx="3">
                  <c:v>82</c:v>
                </c:pt>
                <c:pt idx="4">
                  <c:v>84</c:v>
                </c:pt>
                <c:pt idx="5">
                  <c:v>90</c:v>
                </c:pt>
                <c:pt idx="6">
                  <c:v>86</c:v>
                </c:pt>
                <c:pt idx="7">
                  <c:v>85</c:v>
                </c:pt>
                <c:pt idx="8">
                  <c:v>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88832"/>
        <c:axId val="56095104"/>
      </c:lineChart>
      <c:catAx>
        <c:axId val="5608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56095104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56095104"/>
        <c:scaling>
          <c:orientation val="minMax"/>
          <c:max val="95"/>
          <c:min val="75"/>
        </c:scaling>
        <c:delete val="0"/>
        <c:axPos val="l"/>
        <c:numFmt formatCode="General" sourceLinked="1"/>
        <c:majorTickMark val="out"/>
        <c:minorTickMark val="none"/>
        <c:tickLblPos val="low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56088832"/>
        <c:crosses val="autoZero"/>
        <c:crossBetween val="between"/>
        <c:majorUnit val="5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6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0208333333333351E-2"/>
          <c:y val="3.5294117647058851E-2"/>
          <c:w val="0.85312902005297064"/>
          <c:h val="0.8873949579831993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'Fc1'!$A$74</c:f>
              <c:strCache>
                <c:ptCount val="1"/>
                <c:pt idx="0">
                  <c:v>Coût du crédit immobilier</c:v>
                </c:pt>
              </c:strCache>
            </c:strRef>
          </c:tx>
          <c:spPr>
            <a:solidFill>
              <a:srgbClr val="CCFFCC"/>
            </a:solidFill>
            <a:ln w="12700">
              <a:noFill/>
              <a:prstDash val="solid"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008080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Pt>
            <c:idx val="8"/>
            <c:invertIfNegative val="0"/>
            <c:bubble3D val="0"/>
            <c:spPr>
              <a:solidFill>
                <a:srgbClr val="008080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Lbls>
            <c:dLbl>
              <c:idx val="0"/>
              <c:spPr/>
              <c:txPr>
                <a:bodyPr/>
                <a:lstStyle/>
                <a:p>
                  <a:pPr>
                    <a:defRPr sz="900">
                      <a:solidFill>
                        <a:srgbClr val="FF0000"/>
                      </a:solidFill>
                    </a:defRPr>
                  </a:pPr>
                  <a:endParaRPr lang="fr-F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3.5460992907801452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7.0921985815602913E-3"/>
                  <c:y val="0"/>
                </c:manualLayout>
              </c:layout>
              <c:spPr/>
              <c:txPr>
                <a:bodyPr/>
                <a:lstStyle/>
                <a:p>
                  <a:pPr>
                    <a:defRPr sz="900">
                      <a:solidFill>
                        <a:sysClr val="windowText" lastClr="000000"/>
                      </a:solidFill>
                    </a:defRPr>
                  </a:pPr>
                  <a:endParaRPr lang="fr-F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7.0921985815602913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0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1.063829787234024E-2"/>
                  <c:y val="0"/>
                </c:manualLayout>
              </c:layout>
              <c:spPr/>
              <c:txPr>
                <a:bodyPr/>
                <a:lstStyle/>
                <a:p>
                  <a:pPr>
                    <a:defRPr sz="900" b="1">
                      <a:solidFill>
                        <a:srgbClr val="FF0000"/>
                      </a:solidFill>
                    </a:defRPr>
                  </a:pPr>
                  <a:endParaRPr lang="fr-F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900"/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'Fc1'!$B$73:$J$73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'Fc1'!$B$74:$J$74</c:f>
              <c:numCache>
                <c:formatCode>0.00%</c:formatCode>
                <c:ptCount val="9"/>
                <c:pt idx="0">
                  <c:v>4.2100000000000012E-2</c:v>
                </c:pt>
                <c:pt idx="1">
                  <c:v>4.4800000000000034E-2</c:v>
                </c:pt>
                <c:pt idx="2">
                  <c:v>4.6699999999999998E-2</c:v>
                </c:pt>
                <c:pt idx="3">
                  <c:v>4.6800000000000001E-2</c:v>
                </c:pt>
                <c:pt idx="4">
                  <c:v>4.7400000000000032E-2</c:v>
                </c:pt>
                <c:pt idx="5">
                  <c:v>4.7699999999999999E-2</c:v>
                </c:pt>
                <c:pt idx="6">
                  <c:v>4.4900000000000023E-2</c:v>
                </c:pt>
                <c:pt idx="7">
                  <c:v>4.2900000000000021E-2</c:v>
                </c:pt>
                <c:pt idx="8">
                  <c:v>4.0700000000000014E-2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76179328"/>
        <c:axId val="76180864"/>
      </c:barChart>
      <c:catAx>
        <c:axId val="76179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76180864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76180864"/>
        <c:scaling>
          <c:orientation val="minMax"/>
          <c:max val="6.0000000000000032E-2"/>
          <c:min val="0"/>
        </c:scaling>
        <c:delete val="0"/>
        <c:axPos val="l"/>
        <c:numFmt formatCode="0%" sourceLinked="0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76179328"/>
        <c:crosses val="autoZero"/>
        <c:crossBetween val="between"/>
        <c:majorUnit val="1.0000000000000005E-2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5"/>
          <c:y val="2.8571428571428591E-2"/>
          <c:w val="0.8642071468453375"/>
          <c:h val="0.89075630252100868"/>
        </c:manualLayout>
      </c:layout>
      <c:lineChart>
        <c:grouping val="standard"/>
        <c:varyColors val="0"/>
        <c:ser>
          <c:idx val="1"/>
          <c:order val="0"/>
          <c:tx>
            <c:strRef>
              <c:f>'Fc1'!$A$53</c:f>
              <c:strCache>
                <c:ptCount val="1"/>
                <c:pt idx="0">
                  <c:v>Perspectives chômage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CC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8"/>
              <c:layout>
                <c:manualLayout>
                  <c:x val="-3.2311557788945117E-3"/>
                  <c:y val="-6.2847222222222304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23958333333333501"/>
                  <c:y val="2.0168067226890758E-2"/>
                </c:manualLayout>
              </c:layout>
              <c:tx>
                <c:rich>
                  <a:bodyPr/>
                  <a:lstStyle/>
                  <a:p>
                    <a:pPr>
                      <a:defRPr sz="1000" b="1" i="0" u="none" strike="noStrike" baseline="0">
                        <a:solidFill>
                          <a:srgbClr val="FF0000"/>
                        </a:solidFill>
                        <a:latin typeface="Times New Roman"/>
                        <a:ea typeface="Times New Roman"/>
                        <a:cs typeface="Times New Roman"/>
                      </a:defRPr>
                    </a:pPr>
                    <a:r>
                      <a:rPr b="1"/>
                      <a:t>5,5%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</c:dLbl>
            <c:numFmt formatCode="0%" sourceLinked="0"/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1" i="0" u="none" strike="noStrike" baseline="0">
                    <a:solidFill>
                      <a:srgbClr val="FF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'Fc1'!$B$52:$J$52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'Fc1'!$B$53:$J$53</c:f>
              <c:numCache>
                <c:formatCode>0%</c:formatCode>
                <c:ptCount val="9"/>
                <c:pt idx="0">
                  <c:v>8.0000000000000043E-2</c:v>
                </c:pt>
                <c:pt idx="1">
                  <c:v>9.0000000000000024E-2</c:v>
                </c:pt>
                <c:pt idx="2" formatCode="0.0%">
                  <c:v>8.5000000000000006E-2</c:v>
                </c:pt>
                <c:pt idx="3" formatCode="0.0%">
                  <c:v>7.5000000000000011E-2</c:v>
                </c:pt>
                <c:pt idx="4">
                  <c:v>6.0000000000000032E-2</c:v>
                </c:pt>
                <c:pt idx="5">
                  <c:v>4.0000000000000022E-2</c:v>
                </c:pt>
                <c:pt idx="6" formatCode="0.0%">
                  <c:v>3.500000000000001E-2</c:v>
                </c:pt>
                <c:pt idx="7" formatCode="0.0%">
                  <c:v>3.500000000000001E-2</c:v>
                </c:pt>
                <c:pt idx="8" formatCode="0.0%">
                  <c:v>2.5000000000000001E-2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6204672"/>
        <c:axId val="76747136"/>
      </c:lineChart>
      <c:catAx>
        <c:axId val="76204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76747136"/>
        <c:crossesAt val="0"/>
        <c:auto val="0"/>
        <c:lblAlgn val="ctr"/>
        <c:lblOffset val="100"/>
        <c:tickLblSkip val="1"/>
        <c:tickMarkSkip val="1"/>
        <c:noMultiLvlLbl val="0"/>
      </c:catAx>
      <c:valAx>
        <c:axId val="76747136"/>
        <c:scaling>
          <c:orientation val="minMax"/>
          <c:max val="0.1"/>
          <c:min val="0"/>
        </c:scaling>
        <c:delete val="0"/>
        <c:axPos val="l"/>
        <c:numFmt formatCode="0%" sourceLinked="0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76204672"/>
        <c:crosses val="autoZero"/>
        <c:crossBetween val="between"/>
        <c:majorUnit val="2.0000000000000011E-2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6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624999999999988E-2"/>
          <c:y val="5.3485663082437303E-2"/>
          <c:w val="0.90267532291878672"/>
          <c:h val="0.77367598566309337"/>
        </c:manualLayout>
      </c:layout>
      <c:barChart>
        <c:barDir val="col"/>
        <c:grouping val="clustered"/>
        <c:varyColors val="0"/>
        <c:ser>
          <c:idx val="1"/>
          <c:order val="0"/>
          <c:spPr>
            <a:solidFill>
              <a:srgbClr val="FFCC99"/>
            </a:solidFill>
            <a:ln w="12700">
              <a:noFill/>
              <a:prstDash val="solid"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2"/>
            <c:invertIfNegative val="0"/>
            <c:bubble3D val="0"/>
            <c:spPr>
              <a:solidFill>
                <a:srgbClr val="FF0000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3"/>
            <c:invertIfNegative val="0"/>
            <c:bubble3D val="0"/>
            <c:spPr>
              <a:solidFill>
                <a:srgbClr val="FF0000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2.5732061946304196E-4"/>
                  <c:y val="3.5422939068100452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1.0047677013592861E-3"/>
                  <c:y val="1.267956989247312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2.3686346114830652E-3"/>
                  <c:y val="1.697025089605746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2.0618678703809758E-3"/>
                  <c:y val="-2.930316304318605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1.9690533852350584E-3"/>
                  <c:y val="2.8248277838990261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ysClr val="windowText" lastClr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6845878136200793E-3"/>
                  <c:y val="2.678136200716857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2.7608710353689164E-3"/>
                  <c:y val="2.311899641577060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1.0087238790829784E-2"/>
                  <c:y val="-1.856953405017922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2.4472509636844011E-3"/>
                  <c:y val="-8.9799283154121858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ysClr val="windowText" lastClr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2.0743783838614375E-4"/>
                  <c:y val="7.9969184739278765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3.3030702644214691E-3"/>
                  <c:y val="9.280645161290323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4.1881382295259348E-3"/>
                  <c:y val="5.5634408602150956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 val="2.6160498053685319E-3"/>
                  <c:y val="1.6946960128277479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'Fc1'!$A$97:$M$97</c:f>
              <c:strCache>
                <c:ptCount val="13"/>
                <c:pt idx="0">
                  <c:v>JFM
10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11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12</c:v>
                </c:pt>
                <c:pt idx="9">
                  <c:v>AMJ</c:v>
                </c:pt>
                <c:pt idx="10">
                  <c:v>JAS</c:v>
                </c:pt>
                <c:pt idx="11">
                  <c:v>OND</c:v>
                </c:pt>
                <c:pt idx="12">
                  <c:v>JFM
13</c:v>
                </c:pt>
              </c:strCache>
            </c:strRef>
          </c:cat>
          <c:val>
            <c:numRef>
              <c:f>'Fc1'!$A$98:$M$98</c:f>
              <c:numCache>
                <c:formatCode>0.0%</c:formatCode>
                <c:ptCount val="13"/>
                <c:pt idx="0">
                  <c:v>0.10500000000000002</c:v>
                </c:pt>
                <c:pt idx="1">
                  <c:v>0.17500000000000004</c:v>
                </c:pt>
                <c:pt idx="2" formatCode="0%">
                  <c:v>0.19</c:v>
                </c:pt>
                <c:pt idx="3" formatCode="0%">
                  <c:v>0.15000000000000019</c:v>
                </c:pt>
                <c:pt idx="4" formatCode="0%">
                  <c:v>0.14000000000000001</c:v>
                </c:pt>
                <c:pt idx="5">
                  <c:v>6.5000000000000002E-2</c:v>
                </c:pt>
                <c:pt idx="6">
                  <c:v>5.5000000000000014E-2</c:v>
                </c:pt>
                <c:pt idx="7">
                  <c:v>6.5000000000000002E-2</c:v>
                </c:pt>
                <c:pt idx="8">
                  <c:v>-3.500000000000001E-2</c:v>
                </c:pt>
                <c:pt idx="9" formatCode="0%">
                  <c:v>-0.15000000000000019</c:v>
                </c:pt>
                <c:pt idx="10" formatCode="0%">
                  <c:v>-0.1</c:v>
                </c:pt>
                <c:pt idx="11" formatCode="0%">
                  <c:v>-0.15000000000000019</c:v>
                </c:pt>
                <c:pt idx="12" formatCode="0%">
                  <c:v>-0.18000000000000019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76841344"/>
        <c:axId val="76843264"/>
      </c:barChart>
      <c:lineChart>
        <c:grouping val="standard"/>
        <c:varyColors val="0"/>
        <c:ser>
          <c:idx val="0"/>
          <c:order val="1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dLbls>
            <c:delete val="1"/>
          </c:dLbls>
          <c:cat>
            <c:strRef>
              <c:f>'Fc1'!$A$97:$M$97</c:f>
              <c:strCache>
                <c:ptCount val="13"/>
                <c:pt idx="0">
                  <c:v>JFM
10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11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12</c:v>
                </c:pt>
                <c:pt idx="9">
                  <c:v>AMJ</c:v>
                </c:pt>
                <c:pt idx="10">
                  <c:v>JAS</c:v>
                </c:pt>
                <c:pt idx="11">
                  <c:v>OND</c:v>
                </c:pt>
                <c:pt idx="12">
                  <c:v>JFM
13</c:v>
                </c:pt>
              </c:strCache>
            </c:strRef>
          </c:cat>
          <c:val>
            <c:numRef>
              <c:f>'Fc1'!$A$99:$M$99</c:f>
              <c:numCache>
                <c:formatCode>0%</c:formatCode>
                <c:ptCount val="13"/>
                <c:pt idx="0" formatCode="0.0%">
                  <c:v>-7.3999999999999996E-2</c:v>
                </c:pt>
                <c:pt idx="1">
                  <c:v>4.0000000000000022E-2</c:v>
                </c:pt>
                <c:pt idx="2">
                  <c:v>0.125</c:v>
                </c:pt>
                <c:pt idx="3" formatCode="0.0%">
                  <c:v>0.15700000000000022</c:v>
                </c:pt>
                <c:pt idx="4" formatCode="0.0%">
                  <c:v>0.16500000000000001</c:v>
                </c:pt>
                <c:pt idx="5" formatCode="0.00%">
                  <c:v>0.13500000000000001</c:v>
                </c:pt>
                <c:pt idx="6" formatCode="0.0%">
                  <c:v>0.1</c:v>
                </c:pt>
                <c:pt idx="7" formatCode="0.0%">
                  <c:v>8.0000000000000043E-2</c:v>
                </c:pt>
                <c:pt idx="8" formatCode="0.0%">
                  <c:v>4.0000000000000022E-2</c:v>
                </c:pt>
                <c:pt idx="9" formatCode="0.0%">
                  <c:v>-1.4999999999999998E-2</c:v>
                </c:pt>
                <c:pt idx="10" formatCode="0.0%">
                  <c:v>-5.5000000000000014E-2</c:v>
                </c:pt>
                <c:pt idx="11">
                  <c:v>-0.11</c:v>
                </c:pt>
                <c:pt idx="12" formatCode="0.0%">
                  <c:v>-0.14500000000000018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6841344"/>
        <c:axId val="76843264"/>
      </c:lineChart>
      <c:catAx>
        <c:axId val="76841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76843264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76843264"/>
        <c:scaling>
          <c:orientation val="minMax"/>
          <c:max val="0.2"/>
          <c:min val="-0.2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10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fr-FR"/>
                  <a:t>%</a:t>
                </a:r>
              </a:p>
            </c:rich>
          </c:tx>
          <c:layout>
            <c:manualLayout>
              <c:xMode val="edge"/>
              <c:yMode val="edge"/>
              <c:x val="7.8316426590925206E-2"/>
              <c:y val="0"/>
            </c:manualLayout>
          </c:layout>
          <c:overlay val="0"/>
          <c:spPr>
            <a:noFill/>
            <a:ln w="25400">
              <a:noFill/>
            </a:ln>
          </c:spPr>
        </c:title>
        <c:numFmt formatCode="0%" sourceLinked="0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76841344"/>
        <c:crosses val="autoZero"/>
        <c:crossBetween val="between"/>
        <c:majorUnit val="0.1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624999999999988E-2"/>
          <c:y val="6.8319640062597803E-2"/>
          <c:w val="0.82930797584727856"/>
          <c:h val="0.74301877934272298"/>
        </c:manualLayout>
      </c:layout>
      <c:barChart>
        <c:barDir val="col"/>
        <c:grouping val="clustered"/>
        <c:varyColors val="0"/>
        <c:ser>
          <c:idx val="1"/>
          <c:order val="0"/>
          <c:spPr>
            <a:solidFill>
              <a:srgbClr val="FFCC99"/>
            </a:solidFill>
            <a:ln w="12700">
              <a:noFill/>
              <a:prstDash val="solid"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8"/>
            <c:invertIfNegative val="0"/>
            <c:bubble3D val="0"/>
            <c:spPr>
              <a:solidFill>
                <a:srgbClr val="FF0000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Pt>
            <c:idx val="9"/>
            <c:invertIfNegative val="0"/>
            <c:bubble3D val="0"/>
            <c:spPr>
              <a:solidFill>
                <a:srgbClr val="FF0000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9.2503191199460981E-3"/>
                  <c:y val="-2.5853286384976613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ysClr val="windowText" lastClr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2.6384406867174443E-3"/>
                  <c:y val="8.543818466353663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5.0583021384622145E-3"/>
                  <c:y val="3.851212832550862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1.182938198298984E-2"/>
                  <c:y val="-1.783998435054772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8.1628730834875148E-3"/>
                  <c:y val="-2.9279342723004944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ysClr val="windowText" lastClr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4108687233767923E-2"/>
                  <c:y val="2.6780125195618155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6.1385769401775612E-4"/>
                  <c:y val="5.327856025039123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7.1913142004790393E-4"/>
                  <c:y val="9.158841940532083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4.6478206617615418E-3"/>
                  <c:y val="5.0923317683881104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2.3544329478596081E-3"/>
                  <c:y val="1.7107168458781363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1.1559492563430497E-3"/>
                  <c:y val="4.728291316526577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4.1881014873142034E-3"/>
                  <c:y val="-3.5406162464986352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 val="2.6159230096238287E-3"/>
                  <c:y val="7.8487836079313734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'Fc1'!$A$123:$I$123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'Fc1'!$A$124:$I$124</c:f>
              <c:numCache>
                <c:formatCode>0%</c:formatCode>
                <c:ptCount val="9"/>
                <c:pt idx="0" formatCode="0.0%">
                  <c:v>0.16500000000000001</c:v>
                </c:pt>
                <c:pt idx="1">
                  <c:v>7.0000000000000021E-2</c:v>
                </c:pt>
                <c:pt idx="2">
                  <c:v>6.0000000000000032E-2</c:v>
                </c:pt>
                <c:pt idx="3">
                  <c:v>7.0000000000000021E-2</c:v>
                </c:pt>
                <c:pt idx="4">
                  <c:v>-0.05</c:v>
                </c:pt>
                <c:pt idx="5" formatCode="0.0%">
                  <c:v>-0.19500000000000001</c:v>
                </c:pt>
                <c:pt idx="6">
                  <c:v>-0.13</c:v>
                </c:pt>
                <c:pt idx="7">
                  <c:v>-0.19</c:v>
                </c:pt>
                <c:pt idx="8">
                  <c:v>-0.22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85119744"/>
        <c:axId val="85121664"/>
      </c:barChart>
      <c:lineChart>
        <c:grouping val="standard"/>
        <c:varyColors val="0"/>
        <c:ser>
          <c:idx val="0"/>
          <c:order val="1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dLbls>
            <c:delete val="1"/>
          </c:dLbls>
          <c:cat>
            <c:strRef>
              <c:f>'Fc1'!$A$123:$I$123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'Fc1'!$A$125:$I$125</c:f>
              <c:numCache>
                <c:formatCode>0.00%</c:formatCode>
                <c:ptCount val="9"/>
                <c:pt idx="0" formatCode="0.0%">
                  <c:v>0.18800000000000022</c:v>
                </c:pt>
                <c:pt idx="1">
                  <c:v>0.15500000000000022</c:v>
                </c:pt>
                <c:pt idx="2">
                  <c:v>0.115</c:v>
                </c:pt>
                <c:pt idx="3">
                  <c:v>8.5000000000000006E-2</c:v>
                </c:pt>
                <c:pt idx="4">
                  <c:v>4.0000000000000022E-2</c:v>
                </c:pt>
                <c:pt idx="5">
                  <c:v>-3.0000000000000002E-2</c:v>
                </c:pt>
                <c:pt idx="6">
                  <c:v>-7.5000000000000011E-2</c:v>
                </c:pt>
                <c:pt idx="7" formatCode="0.0%">
                  <c:v>-0.14500000000000018</c:v>
                </c:pt>
                <c:pt idx="8" formatCode="0.0%">
                  <c:v>-0.18000000000000019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5119744"/>
        <c:axId val="85121664"/>
      </c:lineChart>
      <c:catAx>
        <c:axId val="85119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85121664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85121664"/>
        <c:scaling>
          <c:orientation val="minMax"/>
          <c:max val="0.2"/>
          <c:min val="-0.30000000000000032"/>
        </c:scaling>
        <c:delete val="0"/>
        <c:axPos val="l"/>
        <c:numFmt formatCode="0%" sourceLinked="0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85119744"/>
        <c:crosses val="autoZero"/>
        <c:crossBetween val="between"/>
        <c:majorUnit val="0.1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624999999999988E-2"/>
          <c:y val="6.8319640062597803E-2"/>
          <c:w val="0.82930797584727856"/>
          <c:h val="0.74301877934272298"/>
        </c:manualLayout>
      </c:layout>
      <c:barChart>
        <c:barDir val="col"/>
        <c:grouping val="clustered"/>
        <c:varyColors val="0"/>
        <c:ser>
          <c:idx val="1"/>
          <c:order val="0"/>
          <c:spPr>
            <a:solidFill>
              <a:srgbClr val="FFCC99"/>
            </a:solidFill>
            <a:ln w="12700">
              <a:noFill/>
              <a:prstDash val="solid"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8"/>
            <c:invertIfNegative val="0"/>
            <c:bubble3D val="0"/>
            <c:spPr>
              <a:solidFill>
                <a:srgbClr val="FF0000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9.2502923976608246E-3"/>
                  <c:y val="3.9589201877934296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ysClr val="windowText" lastClr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1.0046783625731021E-3"/>
                  <c:y val="3.57511737089206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5.0581871345029413E-3"/>
                  <c:y val="8.699921752738653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1.5472369232534465E-2"/>
                  <c:y val="-1.287167449139280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1.9091834832121461E-2"/>
                  <c:y val="-2.9279342723004882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ysClr val="windowText" lastClr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4.632617644105962E-4"/>
                  <c:y val="7.646322378716750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4.2568449435623924E-3"/>
                  <c:y val="-4.609937402190930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4.3621186695925306E-3"/>
                  <c:y val="-1.070944490147686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8.2908079113061701E-3"/>
                  <c:y val="1.2363067292644764E-4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2.3544329478596081E-3"/>
                  <c:y val="1.710716845878136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1.1559492563430497E-3"/>
                  <c:y val="4.728291316526577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4.1881014873142034E-3"/>
                  <c:y val="-3.5406162464986365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 val="2.6159230096238287E-3"/>
                  <c:y val="7.8487836079313734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'Fc1'!$A$146:$I$146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'Fc1'!$A$147:$I$147</c:f>
              <c:numCache>
                <c:formatCode>0%</c:formatCode>
                <c:ptCount val="9"/>
                <c:pt idx="0">
                  <c:v>0.05</c:v>
                </c:pt>
                <c:pt idx="1">
                  <c:v>4.0000000000000022E-2</c:v>
                </c:pt>
                <c:pt idx="2">
                  <c:v>3.0000000000000002E-2</c:v>
                </c:pt>
                <c:pt idx="3" formatCode="0.0%">
                  <c:v>2.5000000000000001E-2</c:v>
                </c:pt>
                <c:pt idx="4">
                  <c:v>1.0000000000000005E-2</c:v>
                </c:pt>
                <c:pt idx="5" formatCode="0.0%">
                  <c:v>-1.4999999999999998E-2</c:v>
                </c:pt>
                <c:pt idx="6">
                  <c:v>-2.0000000000000011E-2</c:v>
                </c:pt>
                <c:pt idx="7" formatCode="0.0%">
                  <c:v>-3.500000000000001E-2</c:v>
                </c:pt>
                <c:pt idx="8">
                  <c:v>-0.05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85236736"/>
        <c:axId val="85255296"/>
      </c:barChart>
      <c:lineChart>
        <c:grouping val="standard"/>
        <c:varyColors val="0"/>
        <c:ser>
          <c:idx val="0"/>
          <c:order val="1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dLbls>
            <c:delete val="1"/>
          </c:dLbls>
          <c:cat>
            <c:strRef>
              <c:f>'Fc1'!$A$146:$I$146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'Fc1'!$A$148:$I$148</c:f>
              <c:numCache>
                <c:formatCode>0%</c:formatCode>
                <c:ptCount val="9"/>
                <c:pt idx="0" formatCode="0.0%">
                  <c:v>4.2000000000000023E-2</c:v>
                </c:pt>
                <c:pt idx="1">
                  <c:v>4.0000000000000022E-2</c:v>
                </c:pt>
                <c:pt idx="2" formatCode="0.0%">
                  <c:v>3.500000000000001E-2</c:v>
                </c:pt>
                <c:pt idx="3" formatCode="0.0%">
                  <c:v>3.500000000000001E-2</c:v>
                </c:pt>
                <c:pt idx="4" formatCode="0.0%">
                  <c:v>2.5000000000000001E-2</c:v>
                </c:pt>
                <c:pt idx="5" formatCode="0.0%">
                  <c:v>1.0000000000000005E-2</c:v>
                </c:pt>
                <c:pt idx="6" formatCode="0.0%">
                  <c:v>0</c:v>
                </c:pt>
                <c:pt idx="7" formatCode="0.0%">
                  <c:v>-1.4999999999999998E-2</c:v>
                </c:pt>
                <c:pt idx="8" formatCode="0.0%">
                  <c:v>-3.0000000000000002E-2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5236736"/>
        <c:axId val="85255296"/>
      </c:lineChart>
      <c:catAx>
        <c:axId val="85236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85255296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85255296"/>
        <c:scaling>
          <c:orientation val="minMax"/>
          <c:max val="0.2"/>
          <c:min val="-0.30000000000000032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10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fr-FR"/>
                  <a:t>%</a:t>
                </a:r>
              </a:p>
            </c:rich>
          </c:tx>
          <c:layout>
            <c:manualLayout>
              <c:xMode val="edge"/>
              <c:yMode val="edge"/>
              <c:x val="0.1488719135802469"/>
              <c:y val="0"/>
            </c:manualLayout>
          </c:layout>
          <c:overlay val="0"/>
          <c:spPr>
            <a:noFill/>
            <a:ln w="25400">
              <a:noFill/>
            </a:ln>
          </c:spPr>
        </c:title>
        <c:numFmt formatCode="0%" sourceLinked="0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85236736"/>
        <c:crosses val="autoZero"/>
        <c:crossBetween val="between"/>
        <c:majorUnit val="0.1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624999999999988E-2"/>
          <c:y val="6.8319640062597803E-2"/>
          <c:w val="0.82930797584727856"/>
          <c:h val="0.74301877934272298"/>
        </c:manualLayout>
      </c:layout>
      <c:barChart>
        <c:barDir val="col"/>
        <c:grouping val="clustered"/>
        <c:varyColors val="0"/>
        <c:ser>
          <c:idx val="1"/>
          <c:order val="0"/>
          <c:spPr>
            <a:solidFill>
              <a:srgbClr val="FFCC99"/>
            </a:solidFill>
            <a:ln w="12700">
              <a:noFill/>
              <a:prstDash val="solid"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8"/>
            <c:invertIfNegative val="0"/>
            <c:bubble3D val="0"/>
            <c:spPr>
              <a:solidFill>
                <a:srgbClr val="FF0000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9.2502923976608246E-3"/>
                  <c:y val="3.9589201877934296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ysClr val="windowText" lastClr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1.0046783625731021E-3"/>
                  <c:y val="3.575117370892069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5.0583021384622171E-3"/>
                  <c:y val="-1.614397496087637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9.0042023435595161E-4"/>
                  <c:y val="7.003521126760583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8.1628730834875148E-3"/>
                  <c:y val="5.5015649452269172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ysClr val="windowText" lastClr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4.632617644105962E-4"/>
                  <c:y val="7.646322378716750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6.1385769401775612E-4"/>
                  <c:y val="1.029616588419405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1.0209830328585981E-2"/>
                  <c:y val="-2.06533646322378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3.37917186581186E-2"/>
                  <c:y val="1.232394366197183E-4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2.3544329478596081E-3"/>
                  <c:y val="1.710716845878136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1.1559492563430497E-3"/>
                  <c:y val="4.728291316526577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4.1881014873142034E-3"/>
                  <c:y val="-3.540616246498639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 val="2.6159230096238287E-3"/>
                  <c:y val="7.8487836079313734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'Fc1'!$A$169:$I$169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'Fc1'!$A$170:$I$170</c:f>
              <c:numCache>
                <c:formatCode>0%</c:formatCode>
                <c:ptCount val="9"/>
                <c:pt idx="0">
                  <c:v>3.0000000000000002E-2</c:v>
                </c:pt>
                <c:pt idx="1">
                  <c:v>4.0000000000000022E-2</c:v>
                </c:pt>
                <c:pt idx="2">
                  <c:v>2.0000000000000011E-2</c:v>
                </c:pt>
                <c:pt idx="3" formatCode="0.0%">
                  <c:v>4.5000000000000012E-2</c:v>
                </c:pt>
                <c:pt idx="4" formatCode="0.0%">
                  <c:v>2.5000000000000001E-2</c:v>
                </c:pt>
                <c:pt idx="5">
                  <c:v>6.0000000000000032E-2</c:v>
                </c:pt>
                <c:pt idx="6" formatCode="0.0%">
                  <c:v>4.5000000000000012E-2</c:v>
                </c:pt>
                <c:pt idx="7" formatCode="0.0%">
                  <c:v>1.4999999999999998E-2</c:v>
                </c:pt>
                <c:pt idx="8" formatCode="0.0%">
                  <c:v>2.5000000000000001E-2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85507456"/>
        <c:axId val="85534208"/>
      </c:barChart>
      <c:lineChart>
        <c:grouping val="standard"/>
        <c:varyColors val="0"/>
        <c:ser>
          <c:idx val="0"/>
          <c:order val="1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dLbls>
            <c:delete val="1"/>
          </c:dLbls>
          <c:cat>
            <c:strRef>
              <c:f>'Fc1'!$A$169:$I$169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'Fc1'!$A$171:$I$171</c:f>
              <c:numCache>
                <c:formatCode>0%</c:formatCode>
                <c:ptCount val="9"/>
                <c:pt idx="0" formatCode="0.0%">
                  <c:v>2.7000000000000034E-2</c:v>
                </c:pt>
                <c:pt idx="1">
                  <c:v>3.0000000000000002E-2</c:v>
                </c:pt>
                <c:pt idx="2" formatCode="0.0%">
                  <c:v>2.5000000000000001E-2</c:v>
                </c:pt>
                <c:pt idx="3" formatCode="0.0%">
                  <c:v>3.500000000000001E-2</c:v>
                </c:pt>
                <c:pt idx="4" formatCode="0.0%">
                  <c:v>3.0000000000000002E-2</c:v>
                </c:pt>
                <c:pt idx="5">
                  <c:v>4.0000000000000022E-2</c:v>
                </c:pt>
                <c:pt idx="6" formatCode="0.0%">
                  <c:v>4.5000000000000012E-2</c:v>
                </c:pt>
                <c:pt idx="7" formatCode="0.0%">
                  <c:v>3.500000000000001E-2</c:v>
                </c:pt>
                <c:pt idx="8" formatCode="0.0%">
                  <c:v>3.500000000000001E-2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5507456"/>
        <c:axId val="85534208"/>
      </c:lineChart>
      <c:catAx>
        <c:axId val="85507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85534208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85534208"/>
        <c:scaling>
          <c:orientation val="minMax"/>
          <c:max val="0.2"/>
          <c:min val="-0.30000000000000032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10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fr-FR"/>
                  <a:t>%</a:t>
                </a:r>
              </a:p>
            </c:rich>
          </c:tx>
          <c:layout>
            <c:manualLayout>
              <c:xMode val="edge"/>
              <c:yMode val="edge"/>
              <c:x val="0.12701404127762744"/>
              <c:y val="0"/>
            </c:manualLayout>
          </c:layout>
          <c:overlay val="0"/>
          <c:spPr>
            <a:noFill/>
            <a:ln w="25400">
              <a:noFill/>
            </a:ln>
          </c:spPr>
        </c:title>
        <c:numFmt formatCode="0%" sourceLinked="0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85507456"/>
        <c:crosses val="autoZero"/>
        <c:crossBetween val="between"/>
        <c:majorUnit val="0.1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624999999999988E-2"/>
          <c:y val="8.7581699346405209E-2"/>
          <c:w val="0.8446315789473684"/>
          <c:h val="0.71388235294117663"/>
        </c:manualLayout>
      </c:layout>
      <c:barChart>
        <c:barDir val="col"/>
        <c:grouping val="clustered"/>
        <c:varyColors val="0"/>
        <c:ser>
          <c:idx val="1"/>
          <c:order val="0"/>
          <c:spPr>
            <a:solidFill>
              <a:srgbClr val="FFCC99"/>
            </a:solidFill>
            <a:ln w="12700">
              <a:noFill/>
              <a:prstDash val="solid"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8"/>
            <c:invertIfNegative val="0"/>
            <c:bubble3D val="0"/>
            <c:spPr>
              <a:solidFill>
                <a:srgbClr val="FF0000"/>
              </a:solidFill>
              <a:ln w="12700">
                <a:noFill/>
                <a:prstDash val="solid"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1.8222095497115785E-3"/>
                  <c:y val="-3.2641860943852609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ysClr val="windowText" lastClr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4.7181286549707714E-3"/>
                  <c:y val="-1.6526169522927325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2.3690058479532202E-3"/>
                  <c:y val="-1.49657763367814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8.3271929824561396E-3"/>
                  <c:y val="-3.4538623848489542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6.6201754385964845E-3"/>
                  <c:y val="5.2423447069116658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ysClr val="windowText" lastClr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4391228070175439E-2"/>
                  <c:y val="2.4196387216303852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6.1374269005848206E-4"/>
                  <c:y val="1.081776542638042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3.0649122807017717E-3"/>
                  <c:y val="9.680201739488450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7.4269005847953347E-3"/>
                  <c:y val="-2.6539035561731292E-2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2.3544329478596081E-3"/>
                  <c:y val="1.710716845878136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1.1559492563430497E-3"/>
                  <c:y val="4.728291316526577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4.1881014873142034E-3"/>
                  <c:y val="-3.540616246498640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 val="2.6159230096238287E-3"/>
                  <c:y val="7.8487836079313734E-3"/>
                </c:manualLayout>
              </c:layout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1" i="0" u="none" strike="noStrike" baseline="0">
                      <a:solidFill>
                        <a:srgbClr val="FF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'Fc1'!$A$192:$I$192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'Fc1'!$A$193:$I$193</c:f>
              <c:numCache>
                <c:formatCode>0.0%</c:formatCode>
                <c:ptCount val="9"/>
                <c:pt idx="0" formatCode="0%">
                  <c:v>0.13</c:v>
                </c:pt>
                <c:pt idx="1">
                  <c:v>-5.0000000000000062E-3</c:v>
                </c:pt>
                <c:pt idx="2">
                  <c:v>-5.0000000000000062E-3</c:v>
                </c:pt>
                <c:pt idx="3" formatCode="0%">
                  <c:v>2.0000000000000011E-2</c:v>
                </c:pt>
                <c:pt idx="4" formatCode="0%">
                  <c:v>-4.0000000000000022E-2</c:v>
                </c:pt>
                <c:pt idx="5" formatCode="0%">
                  <c:v>-0.22</c:v>
                </c:pt>
                <c:pt idx="6" formatCode="0%">
                  <c:v>-0.14000000000000001</c:v>
                </c:pt>
                <c:pt idx="7">
                  <c:v>-0.22500000000000001</c:v>
                </c:pt>
                <c:pt idx="8" formatCode="0%">
                  <c:v>-0.16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85727872"/>
        <c:axId val="85742336"/>
      </c:barChart>
      <c:lineChart>
        <c:grouping val="standard"/>
        <c:varyColors val="0"/>
        <c:ser>
          <c:idx val="0"/>
          <c:order val="1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dLbls>
            <c:delete val="1"/>
          </c:dLbls>
          <c:cat>
            <c:strRef>
              <c:f>'Fc1'!$A$192:$I$192</c:f>
              <c:strCache>
                <c:ptCount val="9"/>
                <c:pt idx="0">
                  <c:v>JFM
11</c:v>
                </c:pt>
                <c:pt idx="1">
                  <c:v>AMJ</c:v>
                </c:pt>
                <c:pt idx="2">
                  <c:v>JAS</c:v>
                </c:pt>
                <c:pt idx="3">
                  <c:v>OND</c:v>
                </c:pt>
                <c:pt idx="4">
                  <c:v>JFM
12</c:v>
                </c:pt>
                <c:pt idx="5">
                  <c:v>AMJ</c:v>
                </c:pt>
                <c:pt idx="6">
                  <c:v>JAS</c:v>
                </c:pt>
                <c:pt idx="7">
                  <c:v>OND</c:v>
                </c:pt>
                <c:pt idx="8">
                  <c:v>JFM
13</c:v>
                </c:pt>
              </c:strCache>
            </c:strRef>
          </c:cat>
          <c:val>
            <c:numRef>
              <c:f>'Fc1'!$A$194:$I$194</c:f>
              <c:numCache>
                <c:formatCode>0.00%</c:formatCode>
                <c:ptCount val="9"/>
                <c:pt idx="0" formatCode="0.0%">
                  <c:v>0.16500000000000001</c:v>
                </c:pt>
                <c:pt idx="1">
                  <c:v>0.115</c:v>
                </c:pt>
                <c:pt idx="2">
                  <c:v>6.0000000000000032E-2</c:v>
                </c:pt>
                <c:pt idx="3">
                  <c:v>3.0000000000000002E-2</c:v>
                </c:pt>
                <c:pt idx="4">
                  <c:v>-5.0000000000000062E-3</c:v>
                </c:pt>
                <c:pt idx="5">
                  <c:v>-6.0000000000000032E-2</c:v>
                </c:pt>
                <c:pt idx="6">
                  <c:v>-0.1</c:v>
                </c:pt>
                <c:pt idx="7">
                  <c:v>-0.16</c:v>
                </c:pt>
                <c:pt idx="8">
                  <c:v>-0.19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5727872"/>
        <c:axId val="85742336"/>
      </c:lineChart>
      <c:catAx>
        <c:axId val="85727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85742336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85742336"/>
        <c:scaling>
          <c:orientation val="minMax"/>
          <c:max val="0.2"/>
          <c:min val="-0.30000000000000032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10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fr-FR"/>
                  <a:t>%</a:t>
                </a:r>
              </a:p>
            </c:rich>
          </c:tx>
          <c:layout>
            <c:manualLayout>
              <c:xMode val="edge"/>
              <c:yMode val="edge"/>
              <c:x val="0.1488719135802469"/>
              <c:y val="0"/>
            </c:manualLayout>
          </c:layout>
          <c:overlay val="0"/>
          <c:spPr>
            <a:noFill/>
            <a:ln w="25400">
              <a:noFill/>
            </a:ln>
          </c:spPr>
        </c:title>
        <c:numFmt formatCode="0%" sourceLinked="0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fr-FR"/>
          </a:p>
        </c:txPr>
        <c:crossAx val="85727872"/>
        <c:crosses val="autoZero"/>
        <c:crossBetween val="between"/>
        <c:majorUnit val="0.1"/>
      </c:valAx>
      <c:spPr>
        <a:noFill/>
        <a:ln w="25400">
          <a:noFill/>
        </a:ln>
      </c:spPr>
    </c:plotArea>
    <c:plotVisOnly val="0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fr-FR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0.10642</cdr:x>
      <cdr:y>0</cdr:y>
    </cdr:from>
    <cdr:to>
      <cdr:x>0.15556</cdr:x>
      <cdr:y>0.09245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64903" y="0"/>
          <a:ext cx="168497" cy="200024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wrap="square" lIns="18288" tIns="22860" rIns="18288" bIns="22860" anchor="ctr" upright="1">
          <a:no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%</a:t>
          </a:r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0.04287</cdr:x>
      <cdr:y>0</cdr:y>
    </cdr:from>
    <cdr:to>
      <cdr:x>0.29167</cdr:x>
      <cdr:y>0.12941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40921" y="0"/>
          <a:ext cx="817729" cy="22688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wrap="square" lIns="45720" tIns="50292" rIns="45720" bIns="50292" anchor="ctr" upright="1">
          <a:no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% d'entreprises</a:t>
          </a:r>
        </a:p>
      </cdr:txBody>
    </cdr:sp>
  </cdr:relSizeAnchor>
  <cdr:relSizeAnchor xmlns:cdr="http://schemas.openxmlformats.org/drawingml/2006/chartDrawing">
    <cdr:from>
      <cdr:x>0.50984</cdr:x>
      <cdr:y>0.10044</cdr:y>
    </cdr:from>
    <cdr:to>
      <cdr:x>0.80563</cdr:x>
      <cdr:y>0.26733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675737" y="193252"/>
          <a:ext cx="972202" cy="321104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0000FF"/>
              </a:solidFill>
              <a:latin typeface="Times New Roman"/>
              <a:cs typeface="Times New Roman"/>
            </a:rPr>
            <a:t>Hausse</a:t>
          </a:r>
        </a:p>
      </cdr:txBody>
    </cdr:sp>
  </cdr:relSizeAnchor>
  <cdr:relSizeAnchor xmlns:cdr="http://schemas.openxmlformats.org/drawingml/2006/chartDrawing">
    <cdr:from>
      <cdr:x>0.2954</cdr:x>
      <cdr:y>0.48826</cdr:y>
    </cdr:from>
    <cdr:to>
      <cdr:x>0.49846</cdr:x>
      <cdr:y>0.59901</cdr:y>
    </cdr:to>
    <cdr:sp macro="" textlink="">
      <cdr:nvSpPr>
        <cdr:cNvPr id="1027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970914" y="939435"/>
          <a:ext cx="667417" cy="21308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FF00FF"/>
              </a:solidFill>
              <a:latin typeface="Times New Roman"/>
              <a:cs typeface="Times New Roman"/>
            </a:rPr>
            <a:t>Baisse</a:t>
          </a:r>
        </a:p>
      </cdr:txBody>
    </cdr:sp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0.39969</cdr:x>
      <cdr:y>0.50354</cdr:y>
    </cdr:from>
    <cdr:to>
      <cdr:x>0.71775</cdr:x>
      <cdr:y>0.6968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350740" y="1168358"/>
          <a:ext cx="1074875" cy="44841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9999FF"/>
              </a:solidFill>
              <a:latin typeface="Times New Roman"/>
              <a:cs typeface="Times New Roman"/>
            </a:rPr>
            <a:t>Maison </a:t>
          </a:r>
        </a:p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9999FF"/>
              </a:solidFill>
              <a:latin typeface="Times New Roman"/>
              <a:cs typeface="Times New Roman"/>
            </a:rPr>
            <a:t>4-5 pièces</a:t>
          </a:r>
        </a:p>
      </cdr:txBody>
    </cdr:sp>
  </cdr:relSizeAnchor>
  <cdr:relSizeAnchor xmlns:cdr="http://schemas.openxmlformats.org/drawingml/2006/chartDrawing">
    <cdr:from>
      <cdr:x>0.12385</cdr:x>
      <cdr:y>0.51925</cdr:y>
    </cdr:from>
    <cdr:to>
      <cdr:x>0.33776</cdr:x>
      <cdr:y>0.63429</cdr:y>
    </cdr:to>
    <cdr:sp macro="" textlink="">
      <cdr:nvSpPr>
        <cdr:cNvPr id="1027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14615" y="1246344"/>
          <a:ext cx="716111" cy="27613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800080"/>
              </a:solidFill>
              <a:latin typeface="Times New Roman"/>
              <a:cs typeface="Times New Roman"/>
            </a:rPr>
            <a:t>3 pièces</a:t>
          </a:r>
        </a:p>
      </cdr:txBody>
    </cdr:sp>
  </cdr:relSizeAnchor>
  <cdr:relSizeAnchor xmlns:cdr="http://schemas.openxmlformats.org/drawingml/2006/chartDrawing">
    <cdr:from>
      <cdr:x>0.74587</cdr:x>
      <cdr:y>0.17853</cdr:y>
    </cdr:from>
    <cdr:to>
      <cdr:x>0.94931</cdr:x>
      <cdr:y>0.31657</cdr:y>
    </cdr:to>
    <cdr:sp macro="" textlink="">
      <cdr:nvSpPr>
        <cdr:cNvPr id="1028" name="Text Box 4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496980" y="428531"/>
          <a:ext cx="681060" cy="33133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wrap="square" lIns="45720" tIns="50292" rIns="45720" bIns="50292" anchor="ctr" upright="1">
          <a:no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008080"/>
              </a:solidFill>
              <a:latin typeface="Times New Roman"/>
              <a:cs typeface="Times New Roman"/>
            </a:rPr>
            <a:t>Studio</a:t>
          </a:r>
        </a:p>
      </cdr:txBody>
    </cdr:sp>
  </cdr:relSizeAnchor>
  <cdr:relSizeAnchor xmlns:cdr="http://schemas.openxmlformats.org/drawingml/2006/chartDrawing">
    <cdr:from>
      <cdr:x>0.23331</cdr:x>
      <cdr:y>0.3786</cdr:y>
    </cdr:from>
    <cdr:to>
      <cdr:x>0.23979</cdr:x>
      <cdr:y>0.53571</cdr:y>
    </cdr:to>
    <cdr:sp macro="" textlink="">
      <cdr:nvSpPr>
        <cdr:cNvPr id="1031" name="Line 7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781051" y="908760"/>
          <a:ext cx="21684" cy="377115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val="800080"/>
          </a:solidFill>
          <a:round/>
          <a:headEnd/>
          <a:tailEnd type="triangle" w="med" len="med"/>
        </a:ln>
      </cdr:spPr>
    </cdr:sp>
  </cdr:relSizeAnchor>
  <cdr:relSizeAnchor xmlns:cdr="http://schemas.openxmlformats.org/drawingml/2006/chartDrawing">
    <cdr:from>
      <cdr:x>0.08161</cdr:x>
      <cdr:y>0</cdr:y>
    </cdr:from>
    <cdr:to>
      <cdr:x>0.26739</cdr:x>
      <cdr:y>0.12698</cdr:y>
    </cdr:to>
    <cdr:sp macro="" textlink="">
      <cdr:nvSpPr>
        <cdr:cNvPr id="9" name="Text Box 4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75954" y="0"/>
          <a:ext cx="628192" cy="3048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wrap="square" lIns="45720" tIns="50292" rIns="45720" bIns="50292" anchor="ctr" upright="1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ysClr val="windowText" lastClr="000000"/>
              </a:solidFill>
              <a:latin typeface="Times New Roman"/>
              <a:cs typeface="Times New Roman"/>
            </a:rPr>
            <a:t>Soldes</a:t>
          </a:r>
        </a:p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ysClr val="windowText" lastClr="000000"/>
              </a:solidFill>
              <a:latin typeface="Times New Roman"/>
              <a:cs typeface="Times New Roman"/>
            </a:rPr>
            <a:t>(en points)</a:t>
          </a:r>
        </a:p>
      </cdr:txBody>
    </cdr:sp>
  </cdr:relSizeAnchor>
  <cdr:relSizeAnchor xmlns:cdr="http://schemas.openxmlformats.org/drawingml/2006/chartDrawing">
    <cdr:from>
      <cdr:x>0.57429</cdr:x>
      <cdr:y>0.36002</cdr:y>
    </cdr:from>
    <cdr:to>
      <cdr:x>0.59118</cdr:x>
      <cdr:y>0.54408</cdr:y>
    </cdr:to>
    <cdr:sp macro="" textlink="">
      <cdr:nvSpPr>
        <cdr:cNvPr id="11" name="Line 7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1922548" y="864158"/>
          <a:ext cx="56543" cy="441799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val="9999FF"/>
          </a:solidFill>
          <a:round/>
          <a:headEnd/>
          <a:tailEnd type="triangle" w="med" len="med"/>
        </a:ln>
      </cdr:spPr>
    </cdr:sp>
  </cdr:relSizeAnchor>
  <cdr:relSizeAnchor xmlns:cdr="http://schemas.openxmlformats.org/drawingml/2006/chartDrawing">
    <cdr:from>
      <cdr:x>0.77151</cdr:x>
      <cdr:y>0.29944</cdr:y>
    </cdr:from>
    <cdr:to>
      <cdr:x>0.81092</cdr:x>
      <cdr:y>0.39146</cdr:y>
    </cdr:to>
    <cdr:sp macro="" textlink="">
      <cdr:nvSpPr>
        <cdr:cNvPr id="12" name="Line 7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>
          <a:off x="2582789" y="718735"/>
          <a:ext cx="131934" cy="220876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val="008080"/>
          </a:solidFill>
          <a:round/>
          <a:headEnd/>
          <a:tailEnd type="triangle" w="med" len="med"/>
        </a:ln>
      </cdr:spPr>
    </cdr:sp>
  </cdr:relSizeAnchor>
</c:userShapes>
</file>

<file path=word/drawings/drawing12.xml><?xml version="1.0" encoding="utf-8"?>
<c:userShapes xmlns:c="http://schemas.openxmlformats.org/drawingml/2006/chart">
  <cdr:relSizeAnchor xmlns:cdr="http://schemas.openxmlformats.org/drawingml/2006/chartDrawing">
    <cdr:from>
      <cdr:x>0.09089</cdr:x>
      <cdr:y>0.62725</cdr:y>
    </cdr:from>
    <cdr:to>
      <cdr:x>0.32373</cdr:x>
      <cdr:y>0.8481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04276" y="1505591"/>
          <a:ext cx="779483" cy="530106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9999FF"/>
              </a:solidFill>
              <a:latin typeface="Times New Roman"/>
              <a:cs typeface="Times New Roman"/>
            </a:rPr>
            <a:t>Maison </a:t>
          </a:r>
        </a:p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9999FF"/>
              </a:solidFill>
              <a:latin typeface="Times New Roman"/>
              <a:cs typeface="Times New Roman"/>
            </a:rPr>
            <a:t>4-5 pièces</a:t>
          </a:r>
        </a:p>
      </cdr:txBody>
    </cdr:sp>
  </cdr:relSizeAnchor>
  <cdr:relSizeAnchor xmlns:cdr="http://schemas.openxmlformats.org/drawingml/2006/chartDrawing">
    <cdr:from>
      <cdr:x>0.62774</cdr:x>
      <cdr:y>0.74654</cdr:y>
    </cdr:from>
    <cdr:to>
      <cdr:x>0.78949</cdr:x>
      <cdr:y>0.84085</cdr:y>
    </cdr:to>
    <cdr:sp macro="" textlink="">
      <cdr:nvSpPr>
        <cdr:cNvPr id="1027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101496" y="1791910"/>
          <a:ext cx="541494" cy="22637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800080"/>
              </a:solidFill>
              <a:latin typeface="Times New Roman"/>
              <a:cs typeface="Times New Roman"/>
            </a:rPr>
            <a:t>3 pièces</a:t>
          </a:r>
        </a:p>
      </cdr:txBody>
    </cdr:sp>
  </cdr:relSizeAnchor>
  <cdr:relSizeAnchor xmlns:cdr="http://schemas.openxmlformats.org/drawingml/2006/chartDrawing">
    <cdr:from>
      <cdr:x>0.71139</cdr:x>
      <cdr:y>0.36052</cdr:y>
    </cdr:from>
    <cdr:to>
      <cdr:x>0.9816</cdr:x>
      <cdr:y>0.49856</cdr:y>
    </cdr:to>
    <cdr:sp macro="" textlink="">
      <cdr:nvSpPr>
        <cdr:cNvPr id="1028" name="Text Box 4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381537" y="865354"/>
          <a:ext cx="904588" cy="33133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wrap="square" lIns="45720" tIns="50292" rIns="45720" bIns="50292" anchor="ctr" upright="1">
          <a:no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008080"/>
              </a:solidFill>
              <a:latin typeface="Times New Roman"/>
              <a:cs typeface="Times New Roman"/>
            </a:rPr>
            <a:t>Studio</a:t>
          </a:r>
        </a:p>
      </cdr:txBody>
    </cdr:sp>
  </cdr:relSizeAnchor>
  <cdr:relSizeAnchor xmlns:cdr="http://schemas.openxmlformats.org/drawingml/2006/chartDrawing">
    <cdr:from>
      <cdr:x>0.72269</cdr:x>
      <cdr:y>0.6657</cdr:y>
    </cdr:from>
    <cdr:to>
      <cdr:x>0.78031</cdr:x>
      <cdr:y>0.74603</cdr:y>
    </cdr:to>
    <cdr:sp macro="" textlink="">
      <cdr:nvSpPr>
        <cdr:cNvPr id="1031" name="Line 7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2419350" y="1597878"/>
          <a:ext cx="192926" cy="192822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val="800080"/>
          </a:solidFill>
          <a:round/>
          <a:headEnd/>
          <a:tailEnd type="triangle" w="med" len="med"/>
        </a:ln>
      </cdr:spPr>
    </cdr:sp>
  </cdr:relSizeAnchor>
  <cdr:relSizeAnchor xmlns:cdr="http://schemas.openxmlformats.org/drawingml/2006/chartDrawing">
    <cdr:from>
      <cdr:x>0.04784</cdr:x>
      <cdr:y>0</cdr:y>
    </cdr:from>
    <cdr:to>
      <cdr:x>0.30679</cdr:x>
      <cdr:y>0.11504</cdr:y>
    </cdr:to>
    <cdr:sp macro="" textlink="">
      <cdr:nvSpPr>
        <cdr:cNvPr id="9" name="Text Box 4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61760" y="0"/>
          <a:ext cx="875607" cy="27613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wrap="square" lIns="45720" tIns="50292" rIns="45720" bIns="50292" anchor="ctr" upright="1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ysClr val="windowText" lastClr="000000"/>
              </a:solidFill>
              <a:latin typeface="Times New Roman"/>
              <a:cs typeface="Times New Roman"/>
            </a:rPr>
            <a:t>Soldes</a:t>
          </a:r>
        </a:p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ysClr val="windowText" lastClr="000000"/>
              </a:solidFill>
              <a:latin typeface="Times New Roman"/>
              <a:cs typeface="Times New Roman"/>
            </a:rPr>
            <a:t> (en points)</a:t>
          </a:r>
        </a:p>
      </cdr:txBody>
    </cdr:sp>
  </cdr:relSizeAnchor>
  <cdr:relSizeAnchor xmlns:cdr="http://schemas.openxmlformats.org/drawingml/2006/chartDrawing">
    <cdr:from>
      <cdr:x>0.21132</cdr:x>
      <cdr:y>0.52952</cdr:y>
    </cdr:from>
    <cdr:to>
      <cdr:x>0.22524</cdr:x>
      <cdr:y>0.68133</cdr:y>
    </cdr:to>
    <cdr:sp macro="" textlink="">
      <cdr:nvSpPr>
        <cdr:cNvPr id="11" name="Line 7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707442" y="1270996"/>
          <a:ext cx="46600" cy="36439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val="9999FF"/>
          </a:solidFill>
          <a:round/>
          <a:headEnd/>
          <a:tailEnd type="triangle" w="med" len="med"/>
        </a:ln>
      </cdr:spPr>
    </cdr:sp>
  </cdr:relSizeAnchor>
  <cdr:relSizeAnchor xmlns:cdr="http://schemas.openxmlformats.org/drawingml/2006/chartDrawing">
    <cdr:from>
      <cdr:x>0.76898</cdr:x>
      <cdr:y>0.47096</cdr:y>
    </cdr:from>
    <cdr:to>
      <cdr:x>0.81908</cdr:x>
      <cdr:y>0.58136</cdr:y>
    </cdr:to>
    <cdr:sp macro="" textlink="">
      <cdr:nvSpPr>
        <cdr:cNvPr id="12" name="Line 7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>
          <a:off x="2574346" y="1130443"/>
          <a:ext cx="167720" cy="264993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val="008080"/>
          </a:solidFill>
          <a:round/>
          <a:headEnd/>
          <a:tailEnd type="triangle" w="med" len="med"/>
        </a:ln>
      </cdr:spPr>
    </cdr:sp>
  </cdr:relSizeAnchor>
</c:userShapes>
</file>

<file path=word/drawings/drawing13.xml><?xml version="1.0" encoding="utf-8"?>
<c:userShapes xmlns:c="http://schemas.openxmlformats.org/drawingml/2006/chart">
  <cdr:relSizeAnchor xmlns:cdr="http://schemas.openxmlformats.org/drawingml/2006/chartDrawing">
    <cdr:from>
      <cdr:x>0.04287</cdr:x>
      <cdr:y>0</cdr:y>
    </cdr:from>
    <cdr:to>
      <cdr:x>0.29167</cdr:x>
      <cdr:y>0.12941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40921" y="0"/>
          <a:ext cx="817729" cy="22688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wrap="square" lIns="45720" tIns="50292" rIns="45720" bIns="50292" anchor="ctr" upright="1">
          <a:no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% d'entreprises</a:t>
          </a:r>
        </a:p>
      </cdr:txBody>
    </cdr:sp>
  </cdr:relSizeAnchor>
  <cdr:relSizeAnchor xmlns:cdr="http://schemas.openxmlformats.org/drawingml/2006/chartDrawing">
    <cdr:from>
      <cdr:x>0.568</cdr:x>
      <cdr:y>0.42221</cdr:y>
    </cdr:from>
    <cdr:to>
      <cdr:x>0.77375</cdr:x>
      <cdr:y>0.62871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866900" y="812353"/>
          <a:ext cx="676275" cy="39732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0000FF"/>
              </a:solidFill>
              <a:latin typeface="Times New Roman"/>
              <a:cs typeface="Times New Roman"/>
            </a:rPr>
            <a:t>Hausse</a:t>
          </a:r>
        </a:p>
      </cdr:txBody>
    </cdr:sp>
  </cdr:relSizeAnchor>
  <cdr:relSizeAnchor xmlns:cdr="http://schemas.openxmlformats.org/drawingml/2006/chartDrawing">
    <cdr:from>
      <cdr:x>0.30139</cdr:x>
      <cdr:y>0.20792</cdr:y>
    </cdr:from>
    <cdr:to>
      <cdr:x>0.56511</cdr:x>
      <cdr:y>0.36139</cdr:y>
    </cdr:to>
    <cdr:sp macro="" textlink="">
      <cdr:nvSpPr>
        <cdr:cNvPr id="1027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 flipV="1">
          <a:off x="990600" y="400048"/>
          <a:ext cx="866804" cy="295284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FF00FF"/>
              </a:solidFill>
              <a:latin typeface="Times New Roman"/>
              <a:cs typeface="Times New Roman"/>
            </a:rPr>
            <a:t>Baisse</a:t>
          </a:r>
        </a:p>
      </cdr:txBody>
    </cdr:sp>
  </cdr:relSizeAnchor>
</c:userShapes>
</file>

<file path=word/drawings/drawing14.xml><?xml version="1.0" encoding="utf-8"?>
<c:userShapes xmlns:c="http://schemas.openxmlformats.org/drawingml/2006/chart">
  <cdr:relSizeAnchor xmlns:cdr="http://schemas.openxmlformats.org/drawingml/2006/chartDrawing">
    <cdr:from>
      <cdr:x>0.08054</cdr:x>
      <cdr:y>0.0396</cdr:y>
    </cdr:from>
    <cdr:to>
      <cdr:x>0.32934</cdr:x>
      <cdr:y>0.16901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64730" y="76200"/>
          <a:ext cx="817756" cy="24899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wrap="square" lIns="45720" tIns="50292" rIns="45720" bIns="50292" anchor="ctr" upright="1">
          <a:no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% d'entreprises</a:t>
          </a:r>
        </a:p>
      </cdr:txBody>
    </cdr:sp>
  </cdr:relSizeAnchor>
  <cdr:relSizeAnchor xmlns:cdr="http://schemas.openxmlformats.org/drawingml/2006/chartDrawing">
    <cdr:from>
      <cdr:x>0.51873</cdr:x>
      <cdr:y>0.4505</cdr:y>
    </cdr:from>
    <cdr:to>
      <cdr:x>0.68392</cdr:x>
      <cdr:y>0.53465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704962" y="866775"/>
          <a:ext cx="542946" cy="16191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0000FF"/>
              </a:solidFill>
              <a:latin typeface="Times New Roman"/>
              <a:cs typeface="Times New Roman"/>
            </a:rPr>
            <a:t>Hausse</a:t>
          </a:r>
        </a:p>
      </cdr:txBody>
    </cdr:sp>
  </cdr:relSizeAnchor>
  <cdr:relSizeAnchor xmlns:cdr="http://schemas.openxmlformats.org/drawingml/2006/chartDrawing">
    <cdr:from>
      <cdr:x>0.55061</cdr:x>
      <cdr:y>0.04951</cdr:y>
    </cdr:from>
    <cdr:to>
      <cdr:x>0.75348</cdr:x>
      <cdr:y>0.22879</cdr:y>
    </cdr:to>
    <cdr:sp macro="" textlink="">
      <cdr:nvSpPr>
        <cdr:cNvPr id="1027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809735" y="95257"/>
          <a:ext cx="666793" cy="344944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FF00FF"/>
              </a:solidFill>
              <a:latin typeface="Times New Roman"/>
              <a:cs typeface="Times New Roman"/>
            </a:rPr>
            <a:t>Baisse</a:t>
          </a:r>
        </a:p>
      </cdr:txBody>
    </cdr:sp>
  </cdr:relSizeAnchor>
</c:userShapes>
</file>

<file path=word/drawings/drawing15.xml><?xml version="1.0" encoding="utf-8"?>
<c:userShapes xmlns:c="http://schemas.openxmlformats.org/drawingml/2006/chart">
  <cdr:relSizeAnchor xmlns:cdr="http://schemas.openxmlformats.org/drawingml/2006/chartDrawing">
    <cdr:from>
      <cdr:x>0.049</cdr:x>
      <cdr:y>0</cdr:y>
    </cdr:from>
    <cdr:to>
      <cdr:x>0.43809</cdr:x>
      <cdr:y>0.1439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61925" y="0"/>
          <a:ext cx="1285874" cy="295274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27432" tIns="22860" rIns="27432" bIns="22860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% d'entreprises</a:t>
          </a:r>
        </a:p>
      </cdr:txBody>
    </cdr:sp>
  </cdr:relSizeAnchor>
</c:userShapes>
</file>

<file path=word/drawings/drawing16.xml><?xml version="1.0" encoding="utf-8"?>
<c:userShapes xmlns:c="http://schemas.openxmlformats.org/drawingml/2006/chart">
  <cdr:relSizeAnchor xmlns:cdr="http://schemas.openxmlformats.org/drawingml/2006/chartDrawing">
    <cdr:from>
      <cdr:x>0.07571</cdr:x>
      <cdr:y>0</cdr:y>
    </cdr:from>
    <cdr:to>
      <cdr:x>0.44194</cdr:x>
      <cdr:y>0.09748</cdr:y>
    </cdr:to>
    <cdr:sp macro="" textlink="">
      <cdr:nvSpPr>
        <cdr:cNvPr id="1027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48010" y="0"/>
          <a:ext cx="1199790" cy="20002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wrap="square" lIns="18288" tIns="22860" rIns="18288" bIns="22860" anchor="ctr" upright="1">
          <a:no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% d'entreprises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0.54753</cdr:x>
      <cdr:y>0.65889</cdr:y>
    </cdr:from>
    <cdr:to>
      <cdr:x>0.69729</cdr:x>
      <cdr:y>0.75789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238641" y="1838837"/>
          <a:ext cx="885834" cy="27629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tx évol.</a:t>
          </a:r>
          <a:r>
            <a:rPr lang="fr-FR" sz="900" b="0" i="0" u="none" strike="noStrike" baseline="30000">
              <a:solidFill>
                <a:srgbClr val="000000"/>
              </a:solidFill>
              <a:latin typeface="Times New Roman"/>
              <a:cs typeface="Times New Roman"/>
            </a:rPr>
            <a:t>(1)</a:t>
          </a:r>
        </a:p>
      </cdr:txBody>
    </cdr:sp>
  </cdr:relSizeAnchor>
  <cdr:relSizeAnchor xmlns:cdr="http://schemas.openxmlformats.org/drawingml/2006/chartDrawing">
    <cdr:from>
      <cdr:x>0.09984</cdr:x>
      <cdr:y>0.60422</cdr:y>
    </cdr:from>
    <cdr:to>
      <cdr:x>0.2641</cdr:x>
      <cdr:y>0.74761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590565" y="1686259"/>
          <a:ext cx="971602" cy="400176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tendance</a:t>
          </a:r>
          <a:r>
            <a:rPr lang="fr-FR" sz="900" b="0" i="0" u="none" strike="noStrike" baseline="30000">
              <a:solidFill>
                <a:srgbClr val="000000"/>
              </a:solidFill>
              <a:latin typeface="Times New Roman"/>
              <a:cs typeface="Times New Roman"/>
            </a:rPr>
            <a:t>(2)</a:t>
          </a:r>
        </a:p>
      </cdr:txBody>
    </cdr:sp>
  </cdr:relSizeAnchor>
  <cdr:relSizeAnchor xmlns:cdr="http://schemas.openxmlformats.org/drawingml/2006/chartDrawing">
    <cdr:from>
      <cdr:x>0.12237</cdr:x>
      <cdr:y>0.51546</cdr:y>
    </cdr:from>
    <cdr:to>
      <cdr:x>0.16102</cdr:x>
      <cdr:y>0.61788</cdr:y>
    </cdr:to>
    <cdr:sp macro="" textlink="">
      <cdr:nvSpPr>
        <cdr:cNvPr id="1027" name="Line 3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 flipV="1">
          <a:off x="723818" y="1438557"/>
          <a:ext cx="228616" cy="285837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12700">
          <a:solidFill>
            <a:srgbClr val="000000"/>
          </a:solidFill>
          <a:round/>
          <a:headEnd/>
          <a:tailEnd type="triangle" w="sm" len="med"/>
        </a:ln>
      </cdr:spPr>
    </cdr:sp>
  </cdr:relSizeAnchor>
  <cdr:relSizeAnchor xmlns:cdr="http://schemas.openxmlformats.org/drawingml/2006/chartDrawing">
    <cdr:from>
      <cdr:x>0.66184</cdr:x>
      <cdr:y>0.67933</cdr:y>
    </cdr:from>
    <cdr:to>
      <cdr:x>0.69569</cdr:x>
      <cdr:y>0.71331</cdr:y>
    </cdr:to>
    <cdr:sp macro="" textlink="">
      <cdr:nvSpPr>
        <cdr:cNvPr id="1029" name="Line 5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3914776" y="1895892"/>
          <a:ext cx="200240" cy="94833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12700">
          <a:solidFill>
            <a:srgbClr val="000000"/>
          </a:solidFill>
          <a:round/>
          <a:headEnd/>
          <a:tailEnd type="triangle" w="sm" len="med"/>
        </a:ln>
      </cdr:spPr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0.29508</cdr:x>
      <cdr:y>0.62601</cdr:y>
    </cdr:from>
    <cdr:to>
      <cdr:x>0.53005</cdr:x>
      <cdr:y>0.74153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028682" y="1598014"/>
          <a:ext cx="819140" cy="29488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tx évol.</a:t>
          </a:r>
          <a:r>
            <a:rPr lang="fr-FR" sz="900" b="0" i="0" u="none" strike="noStrike" baseline="30000">
              <a:solidFill>
                <a:srgbClr val="000000"/>
              </a:solidFill>
              <a:latin typeface="Times New Roman"/>
              <a:cs typeface="Times New Roman"/>
            </a:rPr>
            <a:t>(1)</a:t>
          </a:r>
        </a:p>
      </cdr:txBody>
    </cdr:sp>
  </cdr:relSizeAnchor>
  <cdr:relSizeAnchor xmlns:cdr="http://schemas.openxmlformats.org/drawingml/2006/chartDrawing">
    <cdr:from>
      <cdr:x>0.50727</cdr:x>
      <cdr:y>0.10435</cdr:y>
    </cdr:from>
    <cdr:to>
      <cdr:x>0.67927</cdr:x>
      <cdr:y>0.24224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768407" y="266385"/>
          <a:ext cx="599618" cy="35199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tendance</a:t>
          </a:r>
          <a:r>
            <a:rPr lang="fr-FR" sz="900" b="0" i="0" u="none" strike="noStrike" baseline="30000">
              <a:solidFill>
                <a:srgbClr val="000000"/>
              </a:solidFill>
              <a:latin typeface="Times New Roman"/>
              <a:cs typeface="Times New Roman"/>
            </a:rPr>
            <a:t>(2)</a:t>
          </a:r>
        </a:p>
      </cdr:txBody>
    </cdr:sp>
  </cdr:relSizeAnchor>
  <cdr:relSizeAnchor xmlns:cdr="http://schemas.openxmlformats.org/drawingml/2006/chartDrawing">
    <cdr:from>
      <cdr:x>0.49534</cdr:x>
      <cdr:y>0.20127</cdr:y>
    </cdr:from>
    <cdr:to>
      <cdr:x>0.54372</cdr:x>
      <cdr:y>0.26719</cdr:y>
    </cdr:to>
    <cdr:sp macro="" textlink="">
      <cdr:nvSpPr>
        <cdr:cNvPr id="1027" name="Line 3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>
          <a:off x="1726814" y="513780"/>
          <a:ext cx="168660" cy="168274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12700">
          <a:solidFill>
            <a:srgbClr val="000000"/>
          </a:solidFill>
          <a:round/>
          <a:headEnd/>
          <a:tailEnd type="triangle" w="sm" len="med"/>
        </a:ln>
      </cdr:spPr>
    </cdr:sp>
  </cdr:relSizeAnchor>
  <cdr:relSizeAnchor xmlns:cdr="http://schemas.openxmlformats.org/drawingml/2006/chartDrawing">
    <cdr:from>
      <cdr:x>0.4836</cdr:x>
      <cdr:y>0.6194</cdr:y>
    </cdr:from>
    <cdr:to>
      <cdr:x>0.5929</cdr:x>
      <cdr:y>0.66333</cdr:y>
    </cdr:to>
    <cdr:sp macro="" textlink="">
      <cdr:nvSpPr>
        <cdr:cNvPr id="1029" name="Line 5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1685902" y="1581150"/>
          <a:ext cx="381023" cy="112132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12700">
          <a:solidFill>
            <a:srgbClr val="000000"/>
          </a:solidFill>
          <a:round/>
          <a:headEnd/>
          <a:tailEnd type="triangle" w="sm" len="med"/>
        </a:ln>
      </cdr:spPr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0.73224</cdr:x>
      <cdr:y>0.55894</cdr:y>
    </cdr:from>
    <cdr:to>
      <cdr:x>0.92349</cdr:x>
      <cdr:y>0.65584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 flipV="1">
          <a:off x="2552711" y="1426811"/>
          <a:ext cx="666726" cy="24735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tx évol.</a:t>
          </a:r>
          <a:r>
            <a:rPr lang="fr-FR" sz="900" b="0" i="0" u="none" strike="noStrike" baseline="30000">
              <a:solidFill>
                <a:srgbClr val="000000"/>
              </a:solidFill>
              <a:latin typeface="Times New Roman"/>
              <a:cs typeface="Times New Roman"/>
            </a:rPr>
            <a:t>(1)</a:t>
          </a:r>
        </a:p>
      </cdr:txBody>
    </cdr:sp>
  </cdr:relSizeAnchor>
  <cdr:relSizeAnchor xmlns:cdr="http://schemas.openxmlformats.org/drawingml/2006/chartDrawing">
    <cdr:from>
      <cdr:x>0.54551</cdr:x>
      <cdr:y>0.11837</cdr:y>
    </cdr:from>
    <cdr:to>
      <cdr:x>0.71751</cdr:x>
      <cdr:y>0.23445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901717" y="302151"/>
          <a:ext cx="599617" cy="29631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tendance</a:t>
          </a:r>
          <a:r>
            <a:rPr lang="fr-FR" sz="900" b="0" i="0" u="none" strike="noStrike" baseline="30000">
              <a:solidFill>
                <a:srgbClr val="000000"/>
              </a:solidFill>
              <a:latin typeface="Times New Roman"/>
              <a:cs typeface="Times New Roman"/>
            </a:rPr>
            <a:t>(2)</a:t>
          </a:r>
        </a:p>
      </cdr:txBody>
    </cdr:sp>
  </cdr:relSizeAnchor>
  <cdr:relSizeAnchor xmlns:cdr="http://schemas.openxmlformats.org/drawingml/2006/chartDrawing">
    <cdr:from>
      <cdr:x>0.84973</cdr:x>
      <cdr:y>0.436</cdr:y>
    </cdr:from>
    <cdr:to>
      <cdr:x>0.87432</cdr:x>
      <cdr:y>0.55224</cdr:y>
    </cdr:to>
    <cdr:sp macro="" textlink="">
      <cdr:nvSpPr>
        <cdr:cNvPr id="1027" name="Line 3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2962275" y="1112976"/>
          <a:ext cx="85736" cy="296723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12700">
          <a:solidFill>
            <a:srgbClr val="000000"/>
          </a:solidFill>
          <a:round/>
          <a:headEnd/>
          <a:tailEnd type="triangle" w="sm" len="med"/>
        </a:ln>
      </cdr:spPr>
    </cdr:sp>
  </cdr:relSizeAnchor>
  <cdr:relSizeAnchor xmlns:cdr="http://schemas.openxmlformats.org/drawingml/2006/chartDrawing">
    <cdr:from>
      <cdr:x>0.59488</cdr:x>
      <cdr:y>0.22015</cdr:y>
    </cdr:from>
    <cdr:to>
      <cdr:x>0.61202</cdr:x>
      <cdr:y>0.3391</cdr:y>
    </cdr:to>
    <cdr:sp macro="" textlink="">
      <cdr:nvSpPr>
        <cdr:cNvPr id="1029" name="Line 5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>
          <a:off x="2073850" y="561975"/>
          <a:ext cx="59749" cy="303644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12700">
          <a:solidFill>
            <a:srgbClr val="000000"/>
          </a:solidFill>
          <a:round/>
          <a:headEnd/>
          <a:tailEnd type="triangle" w="sm" len="med"/>
        </a:ln>
      </cdr:spPr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0.65847</cdr:x>
      <cdr:y>0.07081</cdr:y>
    </cdr:from>
    <cdr:to>
      <cdr:x>0.88486</cdr:x>
      <cdr:y>0.14906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295525" y="180996"/>
          <a:ext cx="789230" cy="20000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tx évol.</a:t>
          </a:r>
          <a:r>
            <a:rPr lang="fr-FR" sz="900" b="0" i="0" u="none" strike="noStrike" baseline="30000">
              <a:solidFill>
                <a:srgbClr val="000000"/>
              </a:solidFill>
              <a:latin typeface="Times New Roman"/>
              <a:cs typeface="Times New Roman"/>
            </a:rPr>
            <a:t>(1)</a:t>
          </a:r>
        </a:p>
      </cdr:txBody>
    </cdr:sp>
  </cdr:relSizeAnchor>
  <cdr:relSizeAnchor xmlns:cdr="http://schemas.openxmlformats.org/drawingml/2006/chartDrawing">
    <cdr:from>
      <cdr:x>0.21492</cdr:x>
      <cdr:y>0.43228</cdr:y>
    </cdr:from>
    <cdr:to>
      <cdr:x>0.38692</cdr:x>
      <cdr:y>0.54836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749243" y="1104896"/>
          <a:ext cx="599618" cy="29670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tendance</a:t>
          </a:r>
          <a:r>
            <a:rPr lang="fr-FR" sz="900" b="0" i="0" u="none" strike="noStrike" baseline="30000">
              <a:solidFill>
                <a:srgbClr val="000000"/>
              </a:solidFill>
              <a:latin typeface="Times New Roman"/>
              <a:cs typeface="Times New Roman"/>
            </a:rPr>
            <a:t>(2)</a:t>
          </a:r>
        </a:p>
      </cdr:txBody>
    </cdr:sp>
  </cdr:relSizeAnchor>
  <cdr:relSizeAnchor xmlns:cdr="http://schemas.openxmlformats.org/drawingml/2006/chartDrawing">
    <cdr:from>
      <cdr:x>0.30874</cdr:x>
      <cdr:y>0.32678</cdr:y>
    </cdr:from>
    <cdr:to>
      <cdr:x>0.31226</cdr:x>
      <cdr:y>0.45836</cdr:y>
    </cdr:to>
    <cdr:sp macro="" textlink="">
      <cdr:nvSpPr>
        <cdr:cNvPr id="1027" name="Line 3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1076318" y="835254"/>
          <a:ext cx="12271" cy="336319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12700">
          <a:solidFill>
            <a:srgbClr val="000000"/>
          </a:solidFill>
          <a:round/>
          <a:headEnd/>
          <a:tailEnd type="triangle" w="sm" len="med"/>
        </a:ln>
      </cdr:spPr>
    </cdr:sp>
  </cdr:relSizeAnchor>
  <cdr:relSizeAnchor xmlns:cdr="http://schemas.openxmlformats.org/drawingml/2006/chartDrawing">
    <cdr:from>
      <cdr:x>0.65847</cdr:x>
      <cdr:y>0.15652</cdr:y>
    </cdr:from>
    <cdr:to>
      <cdr:x>0.69945</cdr:x>
      <cdr:y>0.26459</cdr:y>
    </cdr:to>
    <cdr:sp macro="" textlink="">
      <cdr:nvSpPr>
        <cdr:cNvPr id="1029" name="Line 5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>
          <a:off x="2295525" y="400062"/>
          <a:ext cx="142863" cy="276227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12700">
          <a:solidFill>
            <a:srgbClr val="000000"/>
          </a:solidFill>
          <a:round/>
          <a:headEnd/>
          <a:tailEnd type="triangle" w="sm" len="med"/>
        </a:ln>
      </cdr:spPr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0.29244</cdr:x>
      <cdr:y>0.56471</cdr:y>
    </cdr:from>
    <cdr:to>
      <cdr:x>0.51246</cdr:x>
      <cdr:y>0.67059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999987" y="1371602"/>
          <a:ext cx="752352" cy="25716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tx évol.</a:t>
          </a:r>
          <a:r>
            <a:rPr lang="fr-FR" sz="900" b="0" i="0" u="none" strike="noStrike" baseline="30000">
              <a:solidFill>
                <a:srgbClr val="000000"/>
              </a:solidFill>
              <a:latin typeface="Times New Roman"/>
              <a:cs typeface="Times New Roman"/>
            </a:rPr>
            <a:t>(1)</a:t>
          </a:r>
        </a:p>
      </cdr:txBody>
    </cdr:sp>
  </cdr:relSizeAnchor>
  <cdr:relSizeAnchor xmlns:cdr="http://schemas.openxmlformats.org/drawingml/2006/chartDrawing">
    <cdr:from>
      <cdr:x>0.33976</cdr:x>
      <cdr:y>0.08278</cdr:y>
    </cdr:from>
    <cdr:to>
      <cdr:x>0.55143</cdr:x>
      <cdr:y>0.23137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161807" y="201067"/>
          <a:ext cx="723800" cy="36090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tendance</a:t>
          </a:r>
          <a:r>
            <a:rPr lang="fr-FR" sz="900" b="0" i="0" u="none" strike="noStrike" baseline="30000">
              <a:solidFill>
                <a:srgbClr val="000000"/>
              </a:solidFill>
              <a:latin typeface="Times New Roman"/>
              <a:cs typeface="Times New Roman"/>
            </a:rPr>
            <a:t>(2)</a:t>
          </a:r>
        </a:p>
      </cdr:txBody>
    </cdr:sp>
  </cdr:relSizeAnchor>
  <cdr:relSizeAnchor xmlns:cdr="http://schemas.openxmlformats.org/drawingml/2006/chartDrawing">
    <cdr:from>
      <cdr:x>0.48182</cdr:x>
      <cdr:y>0.61986</cdr:y>
    </cdr:from>
    <cdr:to>
      <cdr:x>0.60437</cdr:x>
      <cdr:y>0.62744</cdr:y>
    </cdr:to>
    <cdr:sp macro="" textlink="">
      <cdr:nvSpPr>
        <cdr:cNvPr id="1027" name="Line 3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1647571" y="1505566"/>
          <a:ext cx="419057" cy="18411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12700">
          <a:solidFill>
            <a:srgbClr val="000000"/>
          </a:solidFill>
          <a:round/>
          <a:headEnd/>
          <a:tailEnd type="triangle" w="sm" len="med"/>
        </a:ln>
      </cdr:spPr>
    </cdr:sp>
  </cdr:relSizeAnchor>
  <cdr:relSizeAnchor xmlns:cdr="http://schemas.openxmlformats.org/drawingml/2006/chartDrawing">
    <cdr:from>
      <cdr:x>0.30743</cdr:x>
      <cdr:y>0.18824</cdr:y>
    </cdr:from>
    <cdr:to>
      <cdr:x>0.3649</cdr:x>
      <cdr:y>0.25435</cdr:y>
    </cdr:to>
    <cdr:sp macro="" textlink="">
      <cdr:nvSpPr>
        <cdr:cNvPr id="1029" name="Line 5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>
          <a:off x="1051258" y="457200"/>
          <a:ext cx="196517" cy="160579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12700">
          <a:solidFill>
            <a:srgbClr val="000000"/>
          </a:solidFill>
          <a:round/>
          <a:headEnd/>
          <a:tailEnd type="triangle" w="sm" len="med"/>
        </a:ln>
      </cdr:spPr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0.44868</cdr:x>
      <cdr:y>0.47795</cdr:y>
    </cdr:from>
    <cdr:to>
      <cdr:x>0.63822</cdr:x>
      <cdr:y>0.59169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 flipV="1">
          <a:off x="1535671" y="1162395"/>
          <a:ext cx="648729" cy="27662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tx évol.</a:t>
          </a:r>
          <a:r>
            <a:rPr lang="fr-FR" sz="900" b="0" i="0" u="none" strike="noStrike" baseline="30000">
              <a:solidFill>
                <a:srgbClr val="000000"/>
              </a:solidFill>
              <a:latin typeface="Times New Roman"/>
              <a:cs typeface="Times New Roman"/>
            </a:rPr>
            <a:t>(1)</a:t>
          </a:r>
        </a:p>
      </cdr:txBody>
    </cdr:sp>
  </cdr:relSizeAnchor>
  <cdr:relSizeAnchor xmlns:cdr="http://schemas.openxmlformats.org/drawingml/2006/chartDrawing">
    <cdr:from>
      <cdr:x>0.32861</cdr:x>
      <cdr:y>0.12584</cdr:y>
    </cdr:from>
    <cdr:to>
      <cdr:x>0.51721</cdr:x>
      <cdr:y>0.24192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124719" y="306047"/>
          <a:ext cx="645512" cy="28231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tendance</a:t>
          </a:r>
          <a:r>
            <a:rPr lang="fr-FR" sz="900" b="0" i="0" u="none" strike="noStrike" baseline="30000">
              <a:solidFill>
                <a:srgbClr val="000000"/>
              </a:solidFill>
              <a:latin typeface="Times New Roman"/>
              <a:cs typeface="Times New Roman"/>
            </a:rPr>
            <a:t>(2)</a:t>
          </a:r>
        </a:p>
      </cdr:txBody>
    </cdr:sp>
  </cdr:relSizeAnchor>
  <cdr:relSizeAnchor xmlns:cdr="http://schemas.openxmlformats.org/drawingml/2006/chartDrawing">
    <cdr:from>
      <cdr:x>0.54824</cdr:x>
      <cdr:y>0.40014</cdr:y>
    </cdr:from>
    <cdr:to>
      <cdr:x>0.60739</cdr:x>
      <cdr:y>0.49739</cdr:y>
    </cdr:to>
    <cdr:sp macro="" textlink="">
      <cdr:nvSpPr>
        <cdr:cNvPr id="1027" name="Line 3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1876426" y="973164"/>
          <a:ext cx="202444" cy="236511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12700">
          <a:solidFill>
            <a:srgbClr val="000000"/>
          </a:solidFill>
          <a:round/>
          <a:headEnd/>
          <a:tailEnd type="triangle" w="sm" len="med"/>
        </a:ln>
      </cdr:spPr>
    </cdr:sp>
  </cdr:relSizeAnchor>
  <cdr:relSizeAnchor xmlns:cdr="http://schemas.openxmlformats.org/drawingml/2006/chartDrawing">
    <cdr:from>
      <cdr:x>0.4077</cdr:x>
      <cdr:y>0.21932</cdr:y>
    </cdr:from>
    <cdr:to>
      <cdr:x>0.41744</cdr:x>
      <cdr:y>0.33662</cdr:y>
    </cdr:to>
    <cdr:sp macro="" textlink="">
      <cdr:nvSpPr>
        <cdr:cNvPr id="1029" name="Line 5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>
          <a:off x="1395429" y="533399"/>
          <a:ext cx="33321" cy="285271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12700">
          <a:solidFill>
            <a:srgbClr val="000000"/>
          </a:solidFill>
          <a:round/>
          <a:headEnd/>
          <a:tailEnd type="triangle" w="sm" len="med"/>
        </a:ln>
      </cdr:spPr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0.03997</cdr:x>
      <cdr:y>0.08293</cdr:y>
    </cdr:from>
    <cdr:to>
      <cdr:x>0.28877</cdr:x>
      <cdr:y>0.21234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31380" y="161925"/>
          <a:ext cx="817756" cy="25268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wrap="square" lIns="45720" tIns="50292" rIns="45720" bIns="50292" anchor="ctr" upright="1">
          <a:no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% d'entreprises</a:t>
          </a:r>
        </a:p>
      </cdr:txBody>
    </cdr:sp>
  </cdr:relSizeAnchor>
  <cdr:relSizeAnchor xmlns:cdr="http://schemas.openxmlformats.org/drawingml/2006/chartDrawing">
    <cdr:from>
      <cdr:x>0.26061</cdr:x>
      <cdr:y>0.18085</cdr:y>
    </cdr:from>
    <cdr:to>
      <cdr:x>0.50713</cdr:x>
      <cdr:y>0.35122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856574" y="353127"/>
          <a:ext cx="810262" cy="33266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0000FF"/>
              </a:solidFill>
              <a:latin typeface="Times New Roman"/>
              <a:cs typeface="Times New Roman"/>
            </a:rPr>
            <a:t>Hausse</a:t>
          </a:r>
        </a:p>
      </cdr:txBody>
    </cdr:sp>
  </cdr:relSizeAnchor>
  <cdr:relSizeAnchor xmlns:cdr="http://schemas.openxmlformats.org/drawingml/2006/chartDrawing">
    <cdr:from>
      <cdr:x>0.53303</cdr:x>
      <cdr:y>0.47045</cdr:y>
    </cdr:from>
    <cdr:to>
      <cdr:x>0.73609</cdr:x>
      <cdr:y>0.60488</cdr:y>
    </cdr:to>
    <cdr:sp macro="" textlink="">
      <cdr:nvSpPr>
        <cdr:cNvPr id="1027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751954" y="918619"/>
          <a:ext cx="667417" cy="26249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FF00FF"/>
              </a:solidFill>
              <a:latin typeface="Times New Roman"/>
              <a:cs typeface="Times New Roman"/>
            </a:rPr>
            <a:t>Baisse</a:t>
          </a:r>
        </a:p>
      </cdr:txBody>
    </cdr: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0.03997</cdr:x>
      <cdr:y>0.07353</cdr:y>
    </cdr:from>
    <cdr:to>
      <cdr:x>0.28877</cdr:x>
      <cdr:y>0.20294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31380" y="142875"/>
          <a:ext cx="817756" cy="25145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wrap="square" lIns="45720" tIns="50292" rIns="45720" bIns="50292" anchor="ctr" upright="1">
          <a:no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900" b="0" i="0" u="none" strike="noStrike" baseline="0">
              <a:solidFill>
                <a:srgbClr val="000000"/>
              </a:solidFill>
              <a:latin typeface="Times New Roman"/>
              <a:cs typeface="Times New Roman"/>
            </a:rPr>
            <a:t>% d'entreprises</a:t>
          </a:r>
        </a:p>
      </cdr:txBody>
    </cdr:sp>
  </cdr:relSizeAnchor>
  <cdr:relSizeAnchor xmlns:cdr="http://schemas.openxmlformats.org/drawingml/2006/chartDrawing">
    <cdr:from>
      <cdr:x>0.52721</cdr:x>
      <cdr:y>0.08824</cdr:y>
    </cdr:from>
    <cdr:to>
      <cdr:x>0.74186</cdr:x>
      <cdr:y>0.21569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732843" y="171455"/>
          <a:ext cx="705512" cy="24764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0000FF"/>
              </a:solidFill>
              <a:latin typeface="Times New Roman"/>
              <a:cs typeface="Times New Roman"/>
            </a:rPr>
            <a:t>Hausse</a:t>
          </a:r>
        </a:p>
      </cdr:txBody>
    </cdr:sp>
  </cdr:relSizeAnchor>
  <cdr:relSizeAnchor xmlns:cdr="http://schemas.openxmlformats.org/drawingml/2006/chartDrawing">
    <cdr:from>
      <cdr:x>0.57069</cdr:x>
      <cdr:y>0.42046</cdr:y>
    </cdr:from>
    <cdr:to>
      <cdr:x>0.77375</cdr:x>
      <cdr:y>0.59974</cdr:y>
    </cdr:to>
    <cdr:sp macro="" textlink="">
      <cdr:nvSpPr>
        <cdr:cNvPr id="1027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875739" y="817000"/>
          <a:ext cx="667417" cy="34835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54864" tIns="50292" rIns="54864" bIns="5029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fr-FR" sz="1000" b="1" i="0" u="none" strike="noStrike" baseline="0">
              <a:solidFill>
                <a:srgbClr val="FF00FF"/>
              </a:solidFill>
              <a:latin typeface="Times New Roman"/>
              <a:cs typeface="Times New Roman"/>
            </a:rPr>
            <a:t>Baisse</a:t>
          </a:r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ED4BA-8B82-4998-88BA-77A589EE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1286</Words>
  <Characters>7078</Characters>
  <Application>Microsoft Office Word</Application>
  <DocSecurity>4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®</vt:lpstr>
    </vt:vector>
  </TitlesOfParts>
  <Company>IPC</Company>
  <LinksUpToDate>false</LinksUpToDate>
  <CharactersWithSpaces>8348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®</dc:title>
  <dc:creator>DAMERVAL</dc:creator>
  <cp:lastModifiedBy>Jean LEROY</cp:lastModifiedBy>
  <cp:revision>2</cp:revision>
  <cp:lastPrinted>2013-05-06T09:52:00Z</cp:lastPrinted>
  <dcterms:created xsi:type="dcterms:W3CDTF">2013-05-06T13:38:00Z</dcterms:created>
  <dcterms:modified xsi:type="dcterms:W3CDTF">2013-05-06T13:38:00Z</dcterms:modified>
</cp:coreProperties>
</file>