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69" w:lineRule="auto"/>
      </w:pPr>
      <w:r>
        <w:t>胸部X光多标签分类技术路线</w:t>
      </w:r>
    </w:p>
    <w:p>
      <w:pPr>
        <w:pStyle w:val="Subtitle"/>
        <w:keepNext/>
        <w:spacing w:after="60" w:line="269" w:lineRule="auto"/>
      </w:pPr>
      <w:r>
        <w:t>DenseNet-121 Backbone</w:t>
      </w:r>
    </w:p>
    <w:p>
      <w:pPr>
        <w:keepNext/>
        <w:spacing w:after="100" w:line="269" w:lineRule="auto"/>
        <w:jc w:val="left"/>
      </w:pPr>
      <w:r>
        <w:rPr>
          <w:b/>
          <w:sz w:val="20"/>
        </w:rPr>
        <w:t>路线文档 v2.0  ·  更新日期：2026年10月17日</w:t>
      </w:r>
    </w:p>
    <w:p>
      <w:pPr>
        <w:spacing w:after="100" w:line="269" w:lineRule="auto"/>
      </w:pPr>
      <w:r>
        <w:t>本路线保留既定网络主干、预处理与增强、优化器和学习率规划，并把训练、验证和提交统一到Study级。数据审计已经完成；本版不包含模型训练成绩或性能提升结论。</w:t>
      </w:r>
    </w:p>
    <w:p>
      <w:pPr>
        <w:pStyle w:val="Heading1"/>
        <w:keepNext/>
        <w:spacing w:before="260" w:after="120"/>
      </w:pPr>
      <w:r>
        <w:t>1 任务目标与官方约束</w:t>
      </w:r>
    </w:p>
    <w:p>
      <w:pPr>
        <w:pStyle w:val="Heading2"/>
        <w:keepNext/>
        <w:spacing w:before="160" w:after="80"/>
      </w:pPr>
      <w:r>
        <w:t>1.1 预测目标</w:t>
      </w:r>
    </w:p>
    <w:p>
      <w:pPr>
        <w:pStyle w:val="ListBullet"/>
        <w:spacing w:after="60" w:line="269" w:lineRule="auto"/>
        <w:ind w:left="317" w:hanging="187"/>
      </w:pPr>
      <w:r>
        <w:t>模型对每个Study输出10个相互独立的类别概率，使用Sigmoid，不使用互斥类别的Softmax。类别ID固定为：1 Enlarged Cardiomediastinum，2 Pneumothorax，3 Consolidation，4 Pneumonia，5 Edema，6 Cardiomegaly，7 Atelectasis，8 Lung Opacity，9 Pleural Effusion，10 No Finding。主要指标为Macro-AUROC。</w:t>
      </w:r>
    </w:p>
    <w:p>
      <w:pPr>
        <w:pStyle w:val="ListBullet"/>
        <w:spacing w:after="60" w:line="269" w:lineRule="auto"/>
        <w:ind w:left="317" w:hanging="187"/>
      </w:pPr>
      <w:r>
        <w:t>数据集已经公布。当前清点的Train / Validation / Test分别为18,513 / 859 / 1,414个Study，对应30,344 / 1,422 / 2,218张图像；Subject数量分别为11,055 / 228 / 136。训练集中54.0%的Study含多张图，最大为7张。</w:t>
      </w:r>
    </w:p>
    <w:p>
      <w:pPr>
        <w:pStyle w:val="ListBullet"/>
        <w:spacing w:after="60" w:line="269" w:lineRule="auto"/>
        <w:ind w:left="317" w:hanging="187"/>
      </w:pPr>
      <w:r>
        <w:t>最终预测与评估单位均为Study。一个Study可能包含一张或多张X光片；图像、标签和Subject/Study索引必须保持一一对应。分组与划分按Subject进行，避免同一患者跨Train与Validation。</w:t>
      </w:r>
    </w:p>
    <w:p>
      <w:pPr>
        <w:pStyle w:val="ListBullet"/>
        <w:spacing w:after="60" w:line="269" w:lineRule="auto"/>
        <w:ind w:left="317" w:hanging="187"/>
      </w:pPr>
      <w:r>
        <w:t>允许使用PyTorch/torchvision官方提供的ImageNet预训练权重。DenseNet-121与ConvNeXt-Tiny均保留各自路线的预训练初始化。</w:t>
      </w:r>
    </w:p>
    <w:p>
      <w:pPr>
        <w:pStyle w:val="ListBullet"/>
        <w:spacing w:after="60" w:line="269" w:lineRule="auto"/>
        <w:ind w:left="317" w:hanging="187"/>
      </w:pPr>
      <w:r>
        <w:t>官方评测环境为NVIDIA T4 16GB、8核CPU、32GB内存、Python 3.12、PyTorch 2.10.0、torchvision 0.25.0。模型文件不超过500MB，并受约100ms推理延迟约束。延迟按图像还是Study计时、是否包括解码与预处理，仍需确认。</w:t>
      </w:r>
    </w:p>
    <w:p>
      <w:pPr>
        <w:pStyle w:val="ListBullet"/>
        <w:spacing w:after="60" w:line="269" w:lineRule="auto"/>
        <w:ind w:left="317" w:hanging="187"/>
      </w:pPr>
      <w:r>
        <w:t>提交CSV列顺序为Subject_id, Study_id, Predict_class, Probability。每个测试Study恰好10行，Predict_class完整覆盖1–10，每行一个类别概率；不按阈值筛掉阴性类别。Subject_id与Study_id按字符串读取和写出，保留前导零。</w:t>
      </w:r>
    </w:p>
    <w:p>
      <w:pPr>
        <w:spacing w:after="100" w:line="269" w:lineRule="auto"/>
      </w:pPr>
      <w:r>
        <w:rPr>
          <w:b/>
        </w:rPr>
        <w:t>数据结构与完整性</w:t>
      </w:r>
      <w:r>
        <w:t>见 docs/dataset_audit.md；标签统计和语义限制见 docs/label_distribution.md；Weighted BCE/ASL统计依据见 docs/bce_asl_analysis.md；Study融合分析见 docs/study_fusion_analysis.md。</w:t>
      </w:r>
    </w:p>
    <w:p>
      <w:pPr>
        <w:pStyle w:val="Heading1"/>
        <w:keepNext/>
        <w:spacing w:before="260" w:after="120"/>
      </w:pPr>
      <w:r>
        <w:t>2 Backbone结构与最小可行模型</w:t>
      </w:r>
    </w:p>
    <w:p>
      <w:pPr>
        <w:spacing w:after="100" w:line="269" w:lineRule="auto"/>
      </w:pPr>
      <w:r>
        <w:t>采用torchvision DenseNet-121。Stem为7×7 Conv（stride=2）+ BatchNorm + ReLU + 3×3 MaxPool（stride=2）。四个Dense Block的层数为(6,12,24,16)，增长率k=32；每个Dense Layer接收此前各层特征并沿通道维拼接，体现密集连接和特征复用。相邻Block之间使用Transition下采样。</w:t>
      </w:r>
    </w:p>
    <w:p>
      <w:pPr>
        <w:spacing w:after="100" w:line="269" w:lineRule="auto"/>
      </w:pPr>
      <w:r>
        <w:t>基线头保留官方features与末端ReLU，接AdaptiveAvgPool2d(1)和Linear(1024,10)。仅替换分类层，不改Stem与Dense Block。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224×224输入时的典型输出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结构与作用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Stem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64×56×56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7×7卷积、BN、ReLU、3×3 MaxPool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 Block 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256×56×56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6层，密集连接与特征复用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 Block 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512×28×28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12层，中层结构特征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 Block 3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1024×14×14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24层，深层语义特征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 Block 4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1024×7×7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16层，最终语义特征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分类头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GAP → Linear(1024,10)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Study级10维Logits</w:t>
            </w:r>
          </w:p>
        </w:tc>
      </w:tr>
    </w:tbl>
    <w:p>
      <w:pPr>
        <w:pStyle w:val="Heading1"/>
        <w:keepNext/>
        <w:spacing w:before="260" w:after="120"/>
      </w:pPr>
      <w:r>
        <w:t>3 图像预处理与增强</w:t>
      </w:r>
    </w:p>
    <w:p>
      <w:pPr>
        <w:pStyle w:val="ListBullet"/>
        <w:spacing w:after="60" w:line="269" w:lineRule="auto"/>
        <w:ind w:left="317" w:hanging="187"/>
      </w:pPr>
      <w:r>
        <w:t>输入尺寸起点320×320；保持长宽比，等比例缩放并Padding，不拉伸心脏或胸廓形状。后续分辨率对照单独进行。</w:t>
      </w:r>
    </w:p>
    <w:p>
      <w:pPr>
        <w:pStyle w:val="ListBullet"/>
        <w:spacing w:after="60" w:line="269" w:lineRule="auto"/>
        <w:ind w:left="317" w:hanging="187"/>
      </w:pPr>
      <w:r>
        <w:t>将单通道灰度图复制为3通道；按所选官方ImageNet权重推荐的均值、标准差归一化。Train、Validation、Test使用同一确定性预处理。</w:t>
      </w:r>
    </w:p>
    <w:p>
      <w:pPr>
        <w:pStyle w:val="ListBullet"/>
        <w:spacing w:after="60" w:line="269" w:lineRule="auto"/>
        <w:ind w:left="317" w:hanging="187"/>
      </w:pPr>
      <w:r>
        <w:t>训练增强沿用原方案：亮度与对比度各约±5%，平移不超过2%，等比例缩放0.97–1.03；填充方式符合医学影像背景。</w:t>
      </w:r>
    </w:p>
    <w:p>
      <w:pPr>
        <w:pStyle w:val="ListBullet"/>
        <w:spacing w:after="60" w:line="269" w:lineRule="auto"/>
        <w:ind w:left="317" w:hanging="187"/>
      </w:pPr>
      <w:r>
        <w:t>首轮不使用随机裁剪、水平翻转、旋转、MixUp或CutMix。需要评估旋转时，单独比较±3°微旋转。</w:t>
      </w:r>
    </w:p>
    <w:p>
      <w:pPr>
        <w:pStyle w:val="ListBullet"/>
        <w:spacing w:after="60" w:line="269" w:lineRule="auto"/>
        <w:ind w:left="317" w:hanging="187"/>
      </w:pPr>
      <w:r>
        <w:t>按固定抽样清单检查原图和增强图，确认胸膜角、心影和其他诊断区域没有被裁掉或被不合理变形。增强配置在比较实验间保持一致。</w:t>
      </w:r>
    </w:p>
    <w:p>
      <w:pPr>
        <w:pStyle w:val="Heading1"/>
        <w:keepNext/>
        <w:spacing w:before="260" w:after="120"/>
      </w:pPr>
      <w:r>
        <w:t>4 损失函数与不均衡策略</w:t>
      </w:r>
    </w:p>
    <w:p>
      <w:pPr>
        <w:keepNext/>
        <w:spacing w:after="100" w:line="269" w:lineRule="auto"/>
      </w:pPr>
      <w:r>
        <w:t>损失以BCEWithLogitsLoss为基准，按10类分别设置pos_weight。pos_weight只乘在阳性项上，不是把该类别全部样本损失整体乘同一系数。保留标准BCE作为必须基线；Weighted BCE与ASL作为同一验证划分上的消融候选。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逐类设置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用途与边界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 标准BCE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pos_weight[c] = 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固定基线；标签含义明确且有效mask可用后训练。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 原始比例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N_neg[c] / N_pos[c]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提高稀有阳性项梯度；当正例少或标注噪声大时更易不稳定。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 平方根平滑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sqrt(N_neg[c] / N_pos[c])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压低极端权重，作为稳健候选。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 截断比例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min(N_neg[c] / N_pos[c], cap)，cap=5/10/20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比较不同上限，避免单类权重过大；cap仅为待比较设置。</w:t>
            </w:r>
          </w:p>
        </w:tc>
      </w:tr>
    </w:tbl>
    <w:p>
      <w:pPr>
        <w:spacing w:after="100" w:line="269" w:lineRule="auto"/>
      </w:pPr>
      <w:r>
        <w:t>当前数据报告统计的是每类显式列出的阳性Study数；原始标签表没有明确阴性/未知代码，且未列出类别是否代表阴性仍未获确认。因此真实N_neg、N_valid和B/C/D实际权重不能确定，报告中的闭世界比例只是条件假设，不得当作已确认权重写入配置。确认标签语义后，只从Train估计权重；不得用Test推算类别比例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Train显式阳性Study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Validation显式阳性Study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Enlarged Cardiomediastinum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622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Pneumothorax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900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Consolidation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942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Pneumonia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1,436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Edema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2,404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Cardiomegaly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3,885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177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Atelectasis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3,968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193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Lung Opacity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4,508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214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Pleural Effusion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4,654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260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No Finding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6,683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306</w:t>
            </w:r>
          </w:p>
        </w:tc>
      </w:tr>
    </w:tbl>
    <w:p>
      <w:pPr>
        <w:spacing w:after="100" w:line="269" w:lineRule="auto"/>
      </w:pPr>
      <w:r>
        <w:t>若官方确认缺失/未列出/不确定状态，必须先构建Study级target与valid_mask。对未知项屏蔽损失，并按有效标签数归一化；每个Study只贡献一次损失。若N_pos=0，比例无定义，不做除零或极大权重外推；报告为不可估，并等待有效阳性标签或按预先规则屏蔽该类损失。极稀有类优先将sqrt与低cap列入消融。</w:t>
      </w:r>
    </w:p>
    <w:p>
      <w:pPr>
        <w:keepLines/>
        <w:spacing w:before="40" w:after="140"/>
        <w:ind w:left="360" w:right="288"/>
      </w:pPr>
      <w:r>
        <w:rPr>
          <w:rFonts w:ascii="Consolas" w:hAnsi="Consolas" w:eastAsia="Microsoft YaHei"/>
          <w:color w:val="202020"/>
          <w:sz w:val="17"/>
        </w:rPr>
        <w:t>element = BCEWithLogitsLoss(pos_weight=pos_weight, reduction="none")(logits, target)</w:t>
        <w:br/>
        <w:t>per_study = (element * valid_mask).sum(1) / valid_mask.sum(1).clamp_min(1)</w:t>
        <w:br/>
        <w:t>loss = per_study[valid_mask.any(1)].mean()</w:t>
      </w:r>
    </w:p>
    <w:p>
      <w:pPr>
        <w:spacing w:after="100" w:line="269" w:lineRule="auto"/>
      </w:pPr>
      <w:r>
        <w:t>ASL为候选而非预设优于BCE。建议初始对照gamma_pos=0、gamma_neg=4；其价值取决于标签语义、易负样本数量和验证结果。困难负样本可能仍承载区分边界的信息，不能先验断定应被抑制。</w:t>
      </w:r>
    </w:p>
    <w:p>
      <w:pPr>
        <w:spacing w:after="100" w:line="269" w:lineRule="auto"/>
      </w:pPr>
      <w:r>
        <w:t>所有损失方案使用相同Subject级划分、Study级标签、融合输出、验证指标与训练预算；类别权重只由训练集有效标签估计。选择依据为Study级Macro-AUROC及逐类AUROC/AUPRC，不由类别不均衡比例单独决定。</w:t>
      </w:r>
    </w:p>
    <w:p>
      <w:pPr>
        <w:pStyle w:val="Heading1"/>
        <w:keepNext/>
        <w:spacing w:before="260" w:after="120"/>
      </w:pPr>
      <w:r>
        <w:t>5 训练方法与超参数</w:t>
      </w:r>
    </w:p>
    <w:p>
      <w:pPr>
        <w:spacing w:after="100" w:line="269" w:lineRule="auto"/>
      </w:pPr>
      <w:r>
        <w:t>采用分组学习率与AdamW。可先冻结Backbone，仅训练随机初始化分类头1–2 Epoch，再解冻全模型微调；比较不同损失或模块时固定数据划分、输入增强和训练预算。表内micro-batch为原图像批次的起始设置；Study袋的图片数可变，需根据每批实际图像数校准显存，并通过梯度累积保持优化步数口径一致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建议起点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训练精度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BF16 AMP，参数FP32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先检查torch.cuda.is_bf16_supported()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输入分辨率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320×320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单独比较256 / 320 / 448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micro-batch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16（不足改8）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原图像批次起点，按Study袋总图数校准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梯度累积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2（batch=16）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有效batch目标约32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优化器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AdamW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分组学习率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Backbone LR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2e-5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全量微调阶段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分类头 LR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2e-4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随机初始化层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Weight Decay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1e-4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沿用原设定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Warmup / Scheduler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Warmup 2 Epoch，之后Cosine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沿用原学习率规划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训练轮数 / Early stopping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上限40 Epoch；patience 8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监控Study级Macro-AUROC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梯度裁剪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max_norm=1.0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记录梯度异常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随机种子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关键实验至少3个种子复核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不要求初始探索全部重复</w:t>
            </w:r>
          </w:p>
        </w:tc>
      </w:tr>
    </w:tbl>
    <w:p>
      <w:pPr>
        <w:spacing w:after="100" w:line="269" w:lineRule="auto"/>
      </w:pPr>
      <w:r>
        <w:t>DenseNet含BatchNorm；特别记录小batch下BN运行统计量的变化与验证稳定性。必要的BN处理也作为单独实验，不能与其他新模块同时改变。</w:t>
      </w:r>
    </w:p>
    <w:p>
      <w:pPr>
        <w:pStyle w:val="Heading1"/>
        <w:keepNext/>
        <w:spacing w:before="260" w:after="120"/>
      </w:pPr>
      <w:r>
        <w:t>6 Study级多图预测聚合</w:t>
      </w:r>
    </w:p>
    <w:p>
      <w:pPr>
        <w:spacing w:after="100" w:line="269" w:lineRule="auto"/>
      </w:pPr>
      <w:r>
        <w:t>当前审计显示Train、Validation、Test中多图Study占比分别为54.0%、54.5%、45.2%；图像数上限分别为7、4、5。图像数与视角组合有差异；视角互补性是可检验假设，不能据统计直接推出融合优劣。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数学定义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训练需求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代价与风险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Probability Mean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(1/M) Σ sigmoid(z_i)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可缓存逐图Logits后推理聚合；若作为训练目标，按Study聚合后计算损失。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首版简单；每图等权，可能稀释只在特定视角可见的证据。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Probability Max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max_i sigmoid(z_i)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可在逐图预测后处理，无需重训分类头。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对单张高概率敏感；图越多，偶发假阳性机会越多。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Logit Mean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sigmoid((1/M) Σ 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可先逐图前向，再按Study平均Logits，以Study标签计算BCE。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不等于概率平均；对平均log-odds建模，前向成本随图数增长。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Feature Mean / Max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h_study = mean_i(f_i) 或 max_i(f_i)，z=W h_study+b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需Study级特征池化与分类头训练。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能在分类头前融合表征；需改训练流程，Max可能过度响应局部噪声。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Attention Pooling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α_i=softmax(g(f_i))；h_study=Σα_i f_i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需Study袋训练轻量池化器并用Study标签优化。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可学习图像权重；训练复杂度和过拟合风险上升，推理需保留Study分组。</w:t>
            </w:r>
          </w:p>
        </w:tc>
      </w:tr>
    </w:tbl>
    <w:p>
      <w:pPr>
        <w:spacing w:after="100" w:line="269" w:lineRule="auto"/>
      </w:pPr>
      <w:r>
        <w:t>Sigmoid非线性使Probability Mean与Logit Mean通常不相等；Feature Pooling在分类头前融合向量，也不等同于概率或Logit融合。</w:t>
      </w:r>
    </w:p>
    <w:p>
      <w:pPr>
        <w:spacing w:after="100" w:line="269" w:lineRule="auto"/>
      </w:pPr>
      <w:r>
        <w:t>第一版先实现并对照Logit Mean与Probability Mean，复用同一逐图Logit缓存；Probability Max作为敏感性分析。主训练路径以Study袋为样本：按图像前向、依据复合键(Subject_id, Study_id)映射分组，先在Study内聚合Logits，再让每个Study只计算一次损失。变长图像数可用padding+view_mask，或将图像展平并携带study_index；两种实现都必须校验每张图只映射到一个Study、每个Study只映射到一条标签。</w:t>
      </w:r>
    </w:p>
    <w:p>
      <w:pPr>
        <w:spacing w:after="100" w:line="269" w:lineRule="auto"/>
      </w:pPr>
      <w:r>
        <w:t>Feature Mean/Max需要Study级训练分类头；Attention Pooling需要额外学习池化权重。只有简单融合的验证结果、视角互补性和误差分析支持时，再启动这类更复杂的训练。T4上分别测单图前向、完整Study端到端、聚合开销和不同图片数下的p50/p95；官方约100ms的计时单位及是否包含解码/预处理仍待确认。</w:t>
      </w:r>
    </w:p>
    <w:p>
      <w:pPr>
        <w:pStyle w:val="Heading1"/>
        <w:keepNext/>
        <w:spacing w:before="260" w:after="120"/>
      </w:pPr>
      <w:r>
        <w:t>7 路线专属结构消融</w:t>
      </w:r>
    </w:p>
    <w:p>
      <w:pPr>
        <w:pStyle w:val="Heading2"/>
        <w:keepNext/>
        <w:spacing w:before="160" w:after="80"/>
      </w:pPr>
      <w:r>
        <w:t>7.1 DenseNet-121多尺度特征</w:t>
      </w:r>
    </w:p>
    <w:p>
      <w:pPr>
        <w:spacing w:after="100" w:line="269" w:lineRule="auto"/>
      </w:pPr>
      <w:r>
        <w:t>保留Dense Block2/3/4多尺度向量融合候选。分别对三个输出做GAP，得到512、1024、1024维向量，拼接为2560维后接轻量分类头。这是多层级池化向量融合，不保留完整空间定位；实现时复用同一次Backbone前向。</w:t>
      </w:r>
    </w:p>
    <w:p>
      <w:pPr>
        <w:pStyle w:val="Heading2"/>
        <w:keepNext/>
        <w:spacing w:before="160" w:after="80"/>
      </w:pPr>
      <w:r>
        <w:t>7.2 CBAM独立实验</w:t>
      </w:r>
    </w:p>
    <w:p>
      <w:pPr>
        <w:spacing w:after="100" w:line="269" w:lineRule="auto"/>
      </w:pPr>
      <w:r>
        <w:t>保留CBAM作为单独消融模块，固定其插入位置和参数配置；不与多尺度、标签注意力或损失变化同时加入。</w:t>
      </w:r>
    </w:p>
    <w:p>
      <w:pPr>
        <w:pStyle w:val="Heading2"/>
        <w:keepNext/>
        <w:spacing w:before="160" w:after="80"/>
      </w:pPr>
      <w:r>
        <w:t>7.3 Label Cross-Attention独立实验</w:t>
      </w:r>
    </w:p>
    <w:p>
      <w:pPr>
        <w:spacing w:after="100" w:line="269" w:lineRule="auto"/>
      </w:pPr>
      <w:r>
        <w:t>保留空间特征tokens和10个可学习类别Query：d_model=256，4 heads，1层Cross-Attention，dropout=0.1。先验证该模块单独表现，再决定是否组合已验证有效的模块。</w:t>
      </w:r>
    </w:p>
    <w:p>
      <w:pPr>
        <w:spacing w:after="100" w:line="269" w:lineRule="auto"/>
      </w:pPr>
      <w:r>
        <w:t>DenseNet含BatchNorm，需报告BN统计和小batch训练稳定性；不得把BatchNorm效应归因于CBAM或标签注意力。</w:t>
      </w:r>
    </w:p>
    <w:p>
      <w:pPr>
        <w:pStyle w:val="Heading1"/>
        <w:keepNext/>
        <w:spacing w:before="260" w:after="120"/>
      </w:pPr>
      <w:r>
        <w:t>8 统一实验路线</w:t>
      </w:r>
    </w:p>
    <w:p>
      <w:pPr>
        <w:spacing w:after="100" w:line="269" w:lineRule="auto"/>
      </w:pPr>
      <w:r>
        <w:t>所有阶段采用单变量消融思想。除目标变化对应的模块外，Subject级数据划分、Study级标签与评估、增强、训练预算和随机种子方案保持一致；只组合在独立实验中已得到支持的模块。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实验内容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关键控制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E0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Study级数据加载；标签语义/有效mask核验；标准BCE基线；Study级评估与提交CSV结构校验。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Study为样本，Subject为划分单位；标准BCE仅在标签语义可确认后训练。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E1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标准BCE对照Weighted BCE候选与ASL。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比较原始比例、sqrt及cap候选（仅在N_neg可识别后）；ASL gamma_pos=0、gamma_neg=4起步。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E2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Study多图融合：Probability Mean、Logit Mean优先；Probability Max作敏感性对照。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共享逐图Logit缓存；逐Study计分；报告每种融合延迟。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E3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输入分辨率对照：256 / 320 / 448。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其他配置固定；重新测峰值显存和T4推理延迟。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多尺度GAP特征融合。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DenseNet用Block2/3/4；ConvNeXt用Stage2/3/4；分别核对2560/1344维拼接。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E5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CBAM独立实验。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固定插入位置，单独比较，不同步改变损失或其他结构。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E6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 Query Label Cross-Attention独立实验。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沿用d_model=256、4 heads、1层、dropout=0.1，单独比较。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E7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组合已经证明有效的模块。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一次只新增一个已验证模块，复用统一验证口径。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E8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DenseNet与ConvNeXt误差互补分析及双模型融合。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先比较Study级逐类错误/预测，再测试融合；复核模型总大小与延迟约束。</w:t>
            </w:r>
          </w:p>
        </w:tc>
      </w:tr>
    </w:tbl>
    <w:p>
      <w:pPr>
        <w:pStyle w:val="Heading1"/>
        <w:keepNext/>
        <w:spacing w:before="260" w:after="120"/>
      </w:pPr>
      <w:r>
        <w:t>9 验证、日志与提交校验</w:t>
      </w:r>
    </w:p>
    <w:p>
      <w:pPr>
        <w:pStyle w:val="ListBullet"/>
        <w:spacing w:after="60" w:line="269" w:lineRule="auto"/>
        <w:ind w:left="317" w:hanging="187"/>
      </w:pPr>
      <w:r>
        <w:t>每次实验记录Train/Validation Loss、Study级Macro-AUROC、10类AUROC和AUPRC、每类有效/阳性/阴性/未知样本数、训练时间、峰值显存、模型配置、随机种子、预训练权重来源和Study级预测结果；每Epoch记录Macro-F1辅助指标并同时保存所用阈值。</w:t>
      </w:r>
    </w:p>
    <w:p>
      <w:pPr>
        <w:pStyle w:val="ListBullet"/>
        <w:spacing w:after="60" w:line="269" w:lineRule="auto"/>
        <w:ind w:left="317" w:hanging="187"/>
      </w:pPr>
      <w:r>
        <w:t>对每个融合方案记录推理延迟；说明图像数、分辨率、精度、batch、设备、解码/预处理是否纳入计时，并同时报告单图与整Study端到端耗时。</w:t>
      </w:r>
    </w:p>
    <w:p>
      <w:pPr>
        <w:pStyle w:val="ListBullet"/>
        <w:spacing w:after="60" w:line="269" w:lineRule="auto"/>
        <w:ind w:left="317" w:hanging="187"/>
      </w:pPr>
      <w:r>
        <w:t>若Validation某类没有有效阳性或没有有效阴性，该类AUROC记为NA/不可计算，不填0.5、0或1。汇报Macro-AUROC时注明实际参与平均的类别数；AUPRC也同时报告有效阳性数。</w:t>
      </w:r>
    </w:p>
    <w:p>
      <w:pPr>
        <w:pStyle w:val="ListBullet"/>
        <w:spacing w:after="60" w:line="269" w:lineRule="auto"/>
        <w:ind w:left="317" w:hanging="187"/>
      </w:pPr>
      <w:r>
        <w:t>保存best_by_macro_auc.pth、last.pth、配置JSON、类别顺序、标签映射、损失权重、融合方式、随机种子、权重来源和数据版本。保存Study_id预测表用于误差分析、双模型互补性及后续融合。典型错误可用Grad-CAM复核。</w:t>
      </w:r>
    </w:p>
    <w:p>
      <w:pPr>
        <w:pStyle w:val="ListBullet"/>
        <w:spacing w:after="60" w:line="269" w:lineRule="auto"/>
        <w:ind w:left="317" w:hanging="187"/>
      </w:pPr>
      <w:r>
        <w:t>提交校验要求：每个测试Study恰好10行；Predict_class恰好为1–10且Study内无重复；Probability为有限数且在[0,1]；Subject_id+Study_id集合与测试集完全一致，无缺失或多余Study；列名及顺序严格匹配官方四列；不带额外Index。</w:t>
      </w:r>
    </w:p>
    <w:p>
      <w:pPr>
        <w:spacing w:after="100" w:line="269" w:lineRule="auto"/>
      </w:pPr>
      <w:r>
        <w:t>提交预测概率前应用Sigmoid。CSV读取和写出均将Subject_id、Study_id作为字符串，避免Study_id前导零丢失；输出端按复合键与10个类别完整展开。</w:t>
      </w:r>
    </w:p>
    <w:p>
      <w:pPr>
        <w:pStyle w:val="Heading1"/>
        <w:keepNext/>
        <w:spacing w:before="260" w:after="120"/>
      </w:pPr>
      <w:r>
        <w:t>10 参考资料与项目报告</w:t>
      </w:r>
    </w:p>
    <w:p>
      <w:pPr>
        <w:pStyle w:val="ListBullet"/>
        <w:spacing w:after="60" w:line="269" w:lineRule="auto"/>
        <w:ind w:left="317" w:hanging="187"/>
      </w:pPr>
      <w:r>
        <w:t>Huang et al., Densely Connected Convolutional Networks, CVPR 2017. https://arxiv.org/abs/1608.06993</w:t>
      </w:r>
    </w:p>
    <w:p>
      <w:pPr>
        <w:pStyle w:val="ListBullet"/>
        <w:spacing w:after="60" w:line="269" w:lineRule="auto"/>
        <w:ind w:left="317" w:hanging="187"/>
      </w:pPr>
      <w:r>
        <w:t>torchvision DenseNet-121文档：https://docs.pytorch.org/vision/stable/models/generated/torchvision.models.densenet121.html</w:t>
      </w:r>
    </w:p>
    <w:p>
      <w:pPr>
        <w:pStyle w:val="ListBullet"/>
        <w:spacing w:after="60" w:line="269" w:lineRule="auto"/>
        <w:ind w:left="317" w:hanging="187"/>
      </w:pPr>
      <w:r>
        <w:t>数据结构与完整性：docs/dataset_audit.md；标签分布与共现：docs/label_distribution.md。</w:t>
      </w:r>
    </w:p>
    <w:p>
      <w:pPr>
        <w:pStyle w:val="ListBullet"/>
        <w:spacing w:after="60" w:line="269" w:lineRule="auto"/>
        <w:ind w:left="317" w:hanging="187"/>
      </w:pPr>
      <w:r>
        <w:t>Weighted BCE与ASL：docs/bce_asl_analysis.md；Study级图像融合：docs/study_fusion_analysis.md；阶段建议：docs/analysis_summary.md。</w:t>
      </w:r>
    </w:p>
    <w:p>
      <w:pPr>
        <w:spacing w:after="100" w:line="269" w:lineRule="auto"/>
      </w:pPr>
      <w:r>
        <w:t>版本说明：v2.0基于已公布数据和已确认规则更新技术路线。文档中所有性能结论仍待Study级验证实验，不构成模型效果承诺。</w:t>
      </w:r>
    </w:p>
    <w:sectPr w:rsidR="00FC693F" w:rsidRPr="0006063C" w:rsidSect="00034616">
      <w:footerReference w:type="default" r:id="rId9"/>
      <w:pgSz w:w="12240" w:h="15840"/>
      <w:pgMar w:top="1123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595959"/>
        <w:sz w:val="17"/>
      </w:rPr>
      <w:t>DenseNet-121 | Technical Route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631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胸部X光多标签分类技术路线 - DenseNet-121 - v2.0</dc:title>
  <dc:subject>Study级多标签分类技术路线与实验计划</dc:subject>
  <dc:creator>python-docx</dc:creator>
  <cp:keywords>胸部X光, 多标签分类, Study, v2.0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