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胸部X光多标签分类技术路线</w:t>
        <w:br/>
        <w:t>DenseNet-121 Backbone 方案</w:t>
      </w:r>
    </w:p>
    <w:p>
      <w:pPr>
        <w:pStyle w:val="Subtitle"/>
      </w:pPr>
      <w:r>
        <w:t>赛前设计版  ·  2026年10月12日  ·  数据集计划于10月15日开放</w:t>
      </w:r>
    </w:p>
    <w:p>
      <w:r>
        <w:t>定位：作为独立基线模型，先跑通可复现的训练与评估链路；数据公布后再依据统计报告决定类别权重、Study级聚合及增强模块。</w:t>
      </w:r>
    </w:p>
    <w:p>
      <w:pPr>
        <w:pStyle w:val="Heading1"/>
      </w:pPr>
      <w:r>
        <w:t>1 任务目标与已知约束</w:t>
      </w:r>
    </w:p>
    <w:p>
      <w:pPr>
        <w:pStyle w:val="ListBullet"/>
      </w:pPr>
      <w:r>
        <w:t>任务：预测10个胸片征象/疾病标签的概率，使用 Sigmoid 而非 Softmax；单次检查（Study）是提交单位。</w:t>
      </w:r>
    </w:p>
    <w:p>
      <w:pPr>
        <w:pStyle w:val="ListBullet"/>
      </w:pPr>
      <w:r>
        <w:t>数据：训练18,513次检查、验证859次检查、测试1,414次检查；每个Study可能包含多张图像，尚待数据发布后确认。</w:t>
      </w:r>
    </w:p>
    <w:p>
      <w:pPr>
        <w:pStyle w:val="ListBullet"/>
      </w:pPr>
      <w:r>
        <w:t>主要指标：Macro-AUROC；辅助记录每类AUROC、AUPRC、Loss与错误案例。</w:t>
      </w:r>
    </w:p>
    <w:p>
      <w:pPr>
        <w:pStyle w:val="ListBullet"/>
      </w:pPr>
      <w:r>
        <w:t>开发：本地RTX 4060（按8GB显存暂定）；本地训练建议BF16 AMP，FP32权重保存。</w:t>
      </w:r>
    </w:p>
    <w:p>
      <w:pPr>
        <w:pStyle w:val="ListBullet"/>
      </w:pPr>
      <w:r>
        <w:t>官方环境：T4 16GB、Python 3.12、PyTorch 2.10、torchvision 0.25、CUDA 12.8；最终推理考虑FP16/FP32，模型文件≤500MB，延迟约束按官方口径验收。</w:t>
      </w:r>
    </w:p>
    <w:p>
      <w:pPr>
        <w:pStyle w:val="ListBullet"/>
      </w:pPr>
      <w:r>
        <w:t>合规前提：公开预训练权重是否允许使用，需主办方确认；Docker pull仅下载运行镜像，不代表获得官方训练GPU。</w:t>
      </w:r>
    </w:p>
    <w:p>
      <w:pPr>
        <w:pStyle w:val="Heading1"/>
      </w:pPr>
      <w:r>
        <w:t>2 Backbone结构与最小可行模型</w:t>
      </w:r>
    </w:p>
    <w:p>
      <w:r>
        <w:t>采用 torchvision DenseNet-121，ImageNet-1K预训练。Stem：7×7 Conv(stride=2)+BN+ReLU+3×3 MaxPool(stride=2)；四个Dense Block配置为(6,12,24,16)，增长率k=32；各Block之间由Transition下采样。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r>
              <w:t>阶段</w:t>
            </w:r>
          </w:p>
        </w:tc>
        <w:tc>
          <w:tcPr>
            <w:tcW w:type="dxa" w:w="3283"/>
            <w:vAlign w:val="center"/>
          </w:tcPr>
          <w:p>
            <w:r>
              <w:t>224×224输入时的典型输出</w:t>
            </w:r>
          </w:p>
        </w:tc>
        <w:tc>
          <w:tcPr>
            <w:tcW w:type="dxa" w:w="3283"/>
            <w:vAlign w:val="center"/>
          </w:tcPr>
          <w:p>
            <w:r>
              <w:t>作用</w:t>
            </w:r>
          </w:p>
        </w:tc>
      </w:tr>
      <w:tr>
        <w:tc>
          <w:tcPr>
            <w:tcW w:type="dxa" w:w="3283"/>
            <w:vAlign w:val="center"/>
          </w:tcPr>
          <w:p>
            <w:r>
              <w:t>Stem</w:t>
            </w:r>
          </w:p>
        </w:tc>
        <w:tc>
          <w:tcPr>
            <w:tcW w:type="dxa" w:w="3283"/>
            <w:vAlign w:val="center"/>
          </w:tcPr>
          <w:p>
            <w:r>
              <w:t>64×56×56</w:t>
            </w:r>
          </w:p>
        </w:tc>
        <w:tc>
          <w:tcPr>
            <w:tcW w:type="dxa" w:w="3283"/>
            <w:vAlign w:val="center"/>
          </w:tcPr>
          <w:p>
            <w:r>
              <w:t>初始特征与下采样</w:t>
            </w:r>
          </w:p>
        </w:tc>
      </w:tr>
      <w:tr>
        <w:tc>
          <w:tcPr>
            <w:tcW w:type="dxa" w:w="3283"/>
            <w:vAlign w:val="center"/>
          </w:tcPr>
          <w:p>
            <w:r>
              <w:t>Dense Block 1</w:t>
            </w:r>
          </w:p>
        </w:tc>
        <w:tc>
          <w:tcPr>
            <w:tcW w:type="dxa" w:w="3283"/>
            <w:vAlign w:val="center"/>
          </w:tcPr>
          <w:p>
            <w:r>
              <w:t>256×56×56</w:t>
            </w:r>
          </w:p>
        </w:tc>
        <w:tc>
          <w:tcPr>
            <w:tcW w:type="dxa" w:w="3283"/>
            <w:vAlign w:val="center"/>
          </w:tcPr>
          <w:p>
            <w:r>
              <w:t>密集连接、特征复用</w:t>
            </w:r>
          </w:p>
        </w:tc>
      </w:tr>
      <w:tr>
        <w:tc>
          <w:tcPr>
            <w:tcW w:type="dxa" w:w="3283"/>
            <w:vAlign w:val="center"/>
          </w:tcPr>
          <w:p>
            <w:r>
              <w:t>Dense Block 2</w:t>
            </w:r>
          </w:p>
        </w:tc>
        <w:tc>
          <w:tcPr>
            <w:tcW w:type="dxa" w:w="3283"/>
            <w:vAlign w:val="center"/>
          </w:tcPr>
          <w:p>
            <w:r>
              <w:t>512×28×28</w:t>
            </w:r>
          </w:p>
        </w:tc>
        <w:tc>
          <w:tcPr>
            <w:tcW w:type="dxa" w:w="3283"/>
            <w:vAlign w:val="center"/>
          </w:tcPr>
          <w:p>
            <w:r>
              <w:t>中层结构特征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Dense Block 3</w:t>
            </w:r>
          </w:p>
        </w:tc>
        <w:tc>
          <w:tcPr>
            <w:tcW w:type="dxa" w:w="3283"/>
            <w:vAlign w:val="center"/>
          </w:tcPr>
          <w:p>
            <w:r>
              <w:t>1024×14×14</w:t>
            </w:r>
          </w:p>
        </w:tc>
        <w:tc>
          <w:tcPr>
            <w:tcW w:type="dxa" w:w="3283"/>
            <w:vAlign w:val="center"/>
          </w:tcPr>
          <w:p>
            <w:r>
              <w:t>较深语义特征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Dense Block 4</w:t>
            </w:r>
          </w:p>
        </w:tc>
        <w:tc>
          <w:tcPr>
            <w:tcW w:type="dxa" w:w="3283"/>
            <w:vAlign w:val="center"/>
          </w:tcPr>
          <w:p>
            <w:r>
              <w:t>1024×7×7</w:t>
            </w:r>
          </w:p>
        </w:tc>
        <w:tc>
          <w:tcPr>
            <w:tcW w:type="dxa" w:w="3283"/>
            <w:vAlign w:val="center"/>
          </w:tcPr>
          <w:p>
            <w:r>
              <w:t>最终语义特征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分类头</w:t>
            </w:r>
          </w:p>
        </w:tc>
        <w:tc>
          <w:tcPr>
            <w:tcW w:type="dxa" w:w="3283"/>
            <w:vAlign w:val="center"/>
          </w:tcPr>
          <w:p>
            <w:r>
              <w:t>GAP → Linear(1024,10)</w:t>
            </w:r>
          </w:p>
        </w:tc>
        <w:tc>
          <w:tcPr>
            <w:tcW w:type="dxa" w:w="3283"/>
            <w:vAlign w:val="center"/>
          </w:tcPr>
          <w:p>
            <w:r>
              <w:t>10个Logits</w:t>
            </w:r>
          </w:p>
        </w:tc>
      </w:tr>
    </w:tbl>
    <w:p/>
    <w:p>
      <w:r>
        <w:t>初始模型：官方预训练features → ReLU → AdaptiveAvgPool2d(1) → Linear(1024,10)。除分类头替换外，不修改Stem和Dense Block，以保留全部可兼容预训练权重。</w:t>
      </w:r>
    </w:p>
    <w:p>
      <w:pPr>
        <w:pStyle w:val="Heading1"/>
      </w:pPr>
      <w:r>
        <w:t>3 数据公布后的第一轮数据分析（决定后续方案）</w:t>
      </w:r>
    </w:p>
    <w:p>
      <w:pPr>
        <w:pStyle w:val="ListBullet"/>
      </w:pPr>
      <w:r>
        <w:t>建立subject_id / study_id / image_id索引，核对文件缺失、图像尺寸、灰度范围、PNG/JPG与视角信息。</w:t>
      </w:r>
    </w:p>
    <w:p>
      <w:pPr>
        <w:pStyle w:val="ListBullet"/>
      </w:pPr>
      <w:r>
        <w:t>以Study为单位统计10类阳性、阴性、未知标签数量及比例；同时统计每个Study图像张数和视角组合。</w:t>
      </w:r>
    </w:p>
    <w:p>
      <w:pPr>
        <w:pStyle w:val="ListBullet"/>
      </w:pPr>
      <w:r>
        <w:t>计算10×10标签共现矩阵，专门审计“No Finding”与其他疾病标签是否出现矛盾。</w:t>
      </w:r>
    </w:p>
    <w:p>
      <w:pPr>
        <w:pStyle w:val="ListBullet"/>
      </w:pPr>
      <w:r>
        <w:t>统计训练与官方验证中的Subject重叠；内部划分验证集时按Subject分组，防止同患者图像泄漏。</w:t>
      </w:r>
    </w:p>
    <w:p>
      <w:pPr>
        <w:pStyle w:val="ListBullet"/>
      </w:pPr>
      <w:r>
        <w:t>输出数据分析报告：类别分布、视角分布、样本数量、缺失/不确定标签处理建议、潜在混淆类别及初步增强策略。</w:t>
      </w:r>
    </w:p>
    <w:p>
      <w:pPr>
        <w:pStyle w:val="Heading1"/>
      </w:pPr>
      <w:r>
        <w:t>4 图像预处理与增强</w:t>
      </w:r>
    </w:p>
    <w:p>
      <w:pPr>
        <w:pStyle w:val="ListBullet"/>
      </w:pPr>
      <w:r>
        <w:t>初步输入尺寸320×320；保持长宽比，等比例缩放并Padding，不随意拉伸心脏或胸廓形状。</w:t>
      </w:r>
    </w:p>
    <w:p>
      <w:pPr>
        <w:pStyle w:val="ListBullet"/>
      </w:pPr>
      <w:r>
        <w:t>单通道灰度图复制成3通道，按所选预训练权重推荐的归一化口径处理；Train/Val/Test保持一致。</w:t>
      </w:r>
    </w:p>
    <w:p>
      <w:pPr>
        <w:pStyle w:val="ListBullet"/>
      </w:pPr>
      <w:r>
        <w:t>训练增强：亮度和对比度各约±5%，平移≤2%，等比例缩放0.97–1.03；像素填充方式与医学背景一致。</w:t>
      </w:r>
    </w:p>
    <w:p>
      <w:pPr>
        <w:pStyle w:val="ListBullet"/>
      </w:pPr>
      <w:r>
        <w:t>首轮不使用随机裁剪、水平翻转、旋转、MixUp或CutMix；必要时单独消融±3°微旋转。</w:t>
      </w:r>
    </w:p>
    <w:p>
      <w:pPr>
        <w:pStyle w:val="ListBullet"/>
      </w:pPr>
      <w:r>
        <w:t>对原始图像、增强后图像进行人工抽样可视化检查，确认未裁掉胸膜角、心影或诊断有关区域。</w:t>
      </w:r>
    </w:p>
    <w:p>
      <w:pPr>
        <w:pStyle w:val="Heading1"/>
      </w:pPr>
      <w:r>
        <w:t>5 损失函数与不均衡策略</w:t>
      </w:r>
    </w:p>
    <w:p>
      <w:r>
        <w:t>首批实验以BCEWithLogitsLoss为核心。保留标准BCE作为对照，Weighted BCE为计划主实验；使用逐类pos_weight，不是简单给整类所有样本同权重。</w:t>
      </w:r>
    </w:p>
    <w:p>
      <w:r>
        <w:t>候选公式：pos_weight[c] = clip(sqrt(N_neg[c]/N_pos[c]), 1, w_max)，w_max先考虑5或10；仅对有效（非缺失/不确定）标签参与损失计算。权重上限及不确定标签策略须在数据报告后确定。</w:t>
      </w:r>
    </w:p>
    <w:p>
      <w:pPr>
        <w:pStyle w:val="ListBullet"/>
      </w:pPr>
      <w:r>
        <w:t>不可根据“负样本未达到96%”排除ASL：ASL作为可选对照，而非当前必选方案。</w:t>
      </w:r>
    </w:p>
    <w:p>
      <w:pPr>
        <w:pStyle w:val="ListBullet"/>
      </w:pPr>
      <w:r>
        <w:t>极少阳性、零阳性或未知标签类别不能直接使用N_neg/N_pos；须进行单独处理。</w:t>
      </w:r>
    </w:p>
    <w:p>
      <w:pPr>
        <w:pStyle w:val="ListBullet"/>
      </w:pPr>
      <w:r>
        <w:t>Macro-AUROC关注概率排序，重加权不保证必然改善AUC；权重效果以同验证集消融结果决定。</w:t>
      </w:r>
    </w:p>
    <w:p>
      <w:pPr>
        <w:pStyle w:val="Heading1"/>
      </w:pPr>
      <w:r>
        <w:t>6 训练超参数初稿（RTX 4060 8GB假设）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r>
              <w:t>参数</w:t>
            </w:r>
          </w:p>
        </w:tc>
        <w:tc>
          <w:tcPr>
            <w:tcW w:type="dxa" w:w="3283"/>
            <w:vAlign w:val="center"/>
          </w:tcPr>
          <w:p>
            <w:r>
              <w:t>建议起点</w:t>
            </w:r>
          </w:p>
        </w:tc>
        <w:tc>
          <w:tcPr>
            <w:tcW w:type="dxa" w:w="3283"/>
            <w:vAlign w:val="center"/>
          </w:tcPr>
          <w:p>
            <w:r>
              <w:t>备注</w:t>
            </w:r>
          </w:p>
        </w:tc>
      </w:tr>
      <w:tr>
        <w:tc>
          <w:tcPr>
            <w:tcW w:type="dxa" w:w="3283"/>
            <w:vAlign w:val="center"/>
          </w:tcPr>
          <w:p>
            <w:r>
              <w:t>训练精度</w:t>
            </w:r>
          </w:p>
        </w:tc>
        <w:tc>
          <w:tcPr>
            <w:tcW w:type="dxa" w:w="3283"/>
            <w:vAlign w:val="center"/>
          </w:tcPr>
          <w:p>
            <w:r>
              <w:t>BF16 AMP，参数FP32</w:t>
            </w:r>
          </w:p>
        </w:tc>
        <w:tc>
          <w:tcPr>
            <w:tcW w:type="dxa" w:w="3283"/>
            <w:vAlign w:val="center"/>
          </w:tcPr>
          <w:p>
            <w:r>
              <w:t>先检查torch.cuda.is_bf16_supported()</w:t>
            </w:r>
          </w:p>
        </w:tc>
      </w:tr>
      <w:tr>
        <w:tc>
          <w:tcPr>
            <w:tcW w:type="dxa" w:w="3283"/>
            <w:vAlign w:val="center"/>
          </w:tcPr>
          <w:p>
            <w:r>
              <w:t>输入分辨率</w:t>
            </w:r>
          </w:p>
        </w:tc>
        <w:tc>
          <w:tcPr>
            <w:tcW w:type="dxa" w:w="3283"/>
            <w:vAlign w:val="center"/>
          </w:tcPr>
          <w:p>
            <w:r>
              <w:t>320×320</w:t>
            </w:r>
          </w:p>
        </w:tc>
        <w:tc>
          <w:tcPr>
            <w:tcW w:type="dxa" w:w="3283"/>
            <w:vAlign w:val="center"/>
          </w:tcPr>
          <w:p>
            <w:r>
              <w:t>后续比较256/320/448</w:t>
            </w:r>
          </w:p>
        </w:tc>
      </w:tr>
      <w:tr>
        <w:tc>
          <w:tcPr>
            <w:tcW w:type="dxa" w:w="3283"/>
            <w:vAlign w:val="center"/>
          </w:tcPr>
          <w:p>
            <w:r>
              <w:t>micro-batch</w:t>
            </w:r>
          </w:p>
        </w:tc>
        <w:tc>
          <w:tcPr>
            <w:tcW w:type="dxa" w:w="3283"/>
            <w:vAlign w:val="center"/>
          </w:tcPr>
          <w:p>
            <w:r>
              <w:t>16（不足改8）</w:t>
            </w:r>
          </w:p>
        </w:tc>
        <w:tc>
          <w:tcPr>
            <w:tcW w:type="dxa" w:w="3283"/>
            <w:vAlign w:val="center"/>
          </w:tcPr>
          <w:p>
            <w:r>
              <w:t>根据显存实测</w:t>
            </w:r>
          </w:p>
        </w:tc>
      </w:tr>
      <w:tr>
        <w:tc>
          <w:tcPr>
            <w:tcW w:type="dxa" w:w="3283"/>
            <w:vAlign w:val="center"/>
          </w:tcPr>
          <w:p>
            <w:r>
              <w:t>梯度累积</w:t>
            </w:r>
          </w:p>
        </w:tc>
        <w:tc>
          <w:tcPr>
            <w:tcW w:type="dxa" w:w="3283"/>
            <w:vAlign w:val="center"/>
          </w:tcPr>
          <w:p>
            <w:r>
              <w:t>2（batch=16）</w:t>
            </w:r>
          </w:p>
        </w:tc>
        <w:tc>
          <w:tcPr>
            <w:tcW w:type="dxa" w:w="3283"/>
            <w:vAlign w:val="center"/>
          </w:tcPr>
          <w:p>
            <w:r>
              <w:t>有效batch目标约32</w:t>
            </w:r>
          </w:p>
        </w:tc>
      </w:tr>
      <w:tr>
        <w:tc>
          <w:tcPr>
            <w:tcW w:type="dxa" w:w="3283"/>
            <w:vAlign w:val="center"/>
          </w:tcPr>
          <w:p>
            <w:r>
              <w:t>优化器</w:t>
            </w:r>
          </w:p>
        </w:tc>
        <w:tc>
          <w:tcPr>
            <w:tcW w:type="dxa" w:w="3283"/>
            <w:vAlign w:val="center"/>
          </w:tcPr>
          <w:p>
            <w:r>
              <w:t>AdamW</w:t>
            </w:r>
          </w:p>
        </w:tc>
        <w:tc>
          <w:tcPr>
            <w:tcW w:type="dxa" w:w="3283"/>
            <w:vAlign w:val="center"/>
          </w:tcPr>
          <w:p>
            <w:r>
              <w:t>支持分组学习率</w:t>
            </w:r>
          </w:p>
        </w:tc>
      </w:tr>
      <w:tr>
        <w:tc>
          <w:tcPr>
            <w:tcW w:type="dxa" w:w="3283"/>
            <w:vAlign w:val="center"/>
          </w:tcPr>
          <w:p>
            <w:r>
              <w:t>Backbone LR</w:t>
            </w:r>
          </w:p>
        </w:tc>
        <w:tc>
          <w:tcPr>
            <w:tcW w:type="dxa" w:w="3283"/>
            <w:vAlign w:val="center"/>
          </w:tcPr>
          <w:p>
            <w:r>
              <w:t>2e-5</w:t>
            </w:r>
          </w:p>
        </w:tc>
        <w:tc>
          <w:tcPr>
            <w:tcW w:type="dxa" w:w="3283"/>
            <w:vAlign w:val="center"/>
          </w:tcPr>
          <w:p>
            <w:r>
              <w:t>全量微调阶段</w:t>
            </w:r>
          </w:p>
        </w:tc>
      </w:tr>
      <w:tr>
        <w:tc>
          <w:tcPr>
            <w:tcW w:type="dxa" w:w="3283"/>
            <w:vAlign w:val="center"/>
          </w:tcPr>
          <w:p>
            <w:r>
              <w:t>分类头 LR</w:t>
            </w:r>
          </w:p>
        </w:tc>
        <w:tc>
          <w:tcPr>
            <w:tcW w:type="dxa" w:w="3283"/>
            <w:vAlign w:val="center"/>
          </w:tcPr>
          <w:p>
            <w:r>
              <w:t>2e-4</w:t>
            </w:r>
          </w:p>
        </w:tc>
        <w:tc>
          <w:tcPr>
            <w:tcW w:type="dxa" w:w="3283"/>
            <w:vAlign w:val="center"/>
          </w:tcPr>
          <w:p>
            <w:r>
              <w:t>随机初始化层</w:t>
            </w:r>
          </w:p>
        </w:tc>
      </w:tr>
      <w:tr>
        <w:tc>
          <w:tcPr>
            <w:tcW w:type="dxa" w:w="3283"/>
            <w:vAlign w:val="center"/>
          </w:tcPr>
          <w:p>
            <w:r>
              <w:t>Weight Decay</w:t>
            </w:r>
          </w:p>
        </w:tc>
        <w:tc>
          <w:tcPr>
            <w:tcW w:type="dxa" w:w="3283"/>
            <w:vAlign w:val="center"/>
          </w:tcPr>
          <w:p>
            <w:r>
              <w:t>1e-4</w:t>
            </w:r>
          </w:p>
        </w:tc>
        <w:tc>
          <w:tcPr>
            <w:tcW w:type="dxa" w:w="3283"/>
            <w:vAlign w:val="center"/>
          </w:tcPr>
          <w:p>
            <w:r>
              <w:t>可调</w:t>
            </w:r>
          </w:p>
        </w:tc>
      </w:tr>
      <w:tr>
        <w:tc>
          <w:tcPr>
            <w:tcW w:type="dxa" w:w="3283"/>
            <w:vAlign w:val="center"/>
          </w:tcPr>
          <w:p>
            <w:r>
              <w:t>Warmup</w:t>
            </w:r>
          </w:p>
        </w:tc>
        <w:tc>
          <w:tcPr>
            <w:tcW w:type="dxa" w:w="3283"/>
            <w:vAlign w:val="center"/>
          </w:tcPr>
          <w:p>
            <w:r>
              <w:t>2 Epoch</w:t>
            </w:r>
          </w:p>
        </w:tc>
        <w:tc>
          <w:tcPr>
            <w:tcW w:type="dxa" w:w="3283"/>
            <w:vAlign w:val="center"/>
          </w:tcPr>
          <w:p>
            <w:r>
              <w:t>然后Cosine衰减</w:t>
            </w:r>
          </w:p>
        </w:tc>
      </w:tr>
      <w:tr>
        <w:tc>
          <w:tcPr>
            <w:tcW w:type="dxa" w:w="3283"/>
            <w:vAlign w:val="center"/>
          </w:tcPr>
          <w:p>
            <w:r>
              <w:t>训练轮数</w:t>
            </w:r>
          </w:p>
        </w:tc>
        <w:tc>
          <w:tcPr>
            <w:tcW w:type="dxa" w:w="3283"/>
            <w:vAlign w:val="center"/>
          </w:tcPr>
          <w:p>
            <w:r>
              <w:t>上限40 Epoch</w:t>
            </w:r>
          </w:p>
        </w:tc>
        <w:tc>
          <w:tcPr>
            <w:tcW w:type="dxa" w:w="3283"/>
            <w:vAlign w:val="center"/>
          </w:tcPr>
          <w:p>
            <w:r>
              <w:t>以早停控制</w:t>
            </w:r>
          </w:p>
        </w:tc>
      </w:tr>
      <w:tr>
        <w:tc>
          <w:tcPr>
            <w:tcW w:type="dxa" w:w="3283"/>
            <w:vAlign w:val="center"/>
          </w:tcPr>
          <w:p>
            <w:r>
              <w:t>Early stopping</w:t>
            </w:r>
          </w:p>
        </w:tc>
        <w:tc>
          <w:tcPr>
            <w:tcW w:type="dxa" w:w="3283"/>
            <w:vAlign w:val="center"/>
          </w:tcPr>
          <w:p>
            <w:r>
              <w:t>patience 8</w:t>
            </w:r>
          </w:p>
        </w:tc>
        <w:tc>
          <w:tcPr>
            <w:tcW w:type="dxa" w:w="3283"/>
            <w:vAlign w:val="center"/>
          </w:tcPr>
          <w:p>
            <w:r>
              <w:t>监控Macro-AUROC</w:t>
            </w:r>
          </w:p>
        </w:tc>
      </w:tr>
      <w:tr>
        <w:tc>
          <w:tcPr>
            <w:tcW w:type="dxa" w:w="3283"/>
            <w:vAlign w:val="center"/>
          </w:tcPr>
          <w:p>
            <w:r>
              <w:t>梯度裁剪</w:t>
            </w:r>
          </w:p>
        </w:tc>
        <w:tc>
          <w:tcPr>
            <w:tcW w:type="dxa" w:w="3283"/>
            <w:vAlign w:val="center"/>
          </w:tcPr>
          <w:p>
            <w:r>
              <w:t>max_norm=1.0</w:t>
            </w:r>
          </w:p>
        </w:tc>
        <w:tc>
          <w:tcPr>
            <w:tcW w:type="dxa" w:w="3283"/>
            <w:vAlign w:val="center"/>
          </w:tcPr>
          <w:p>
            <w:r>
              <w:t>观察梯度异常</w:t>
            </w:r>
          </w:p>
        </w:tc>
      </w:tr>
      <w:tr>
        <w:tc>
          <w:tcPr>
            <w:tcW w:type="dxa" w:w="3283"/>
            <w:vAlign w:val="center"/>
          </w:tcPr>
          <w:p>
            <w:r>
              <w:t>随机种子</w:t>
            </w:r>
          </w:p>
        </w:tc>
        <w:tc>
          <w:tcPr>
            <w:tcW w:type="dxa" w:w="3283"/>
            <w:vAlign w:val="center"/>
          </w:tcPr>
          <w:p>
            <w:r>
              <w:t>至少3个做关键实验复核</w:t>
            </w:r>
          </w:p>
        </w:tc>
        <w:tc>
          <w:tcPr>
            <w:tcW w:type="dxa" w:w="3283"/>
            <w:vAlign w:val="center"/>
          </w:tcPr>
          <w:p>
            <w:r>
              <w:t>非初始所有实验都重跑</w:t>
            </w:r>
          </w:p>
        </w:tc>
      </w:tr>
    </w:tbl>
    <w:p/>
    <w:p>
      <w:r>
        <w:t>可先冻结Backbone仅训练分类头1–2 Epoch，再解冻全模型；完整比较时固定划分、相同增强与训练预算。DenseNet应额外观察BN统计量在小batch下的稳定性。</w:t>
      </w:r>
    </w:p>
    <w:p>
      <w:pPr>
        <w:pStyle w:val="Heading1"/>
      </w:pPr>
      <w:r>
        <w:t>7 评估、日志与模型保存</w:t>
      </w:r>
    </w:p>
    <w:p>
      <w:pPr>
        <w:pStyle w:val="ListBullet"/>
      </w:pPr>
      <w:r>
        <w:t>每Epoch：Train/Val Loss、Macro-AUROC、十类AUROC与AUPRC、学习率、梯度范数、显存峰值、耗时。</w:t>
      </w:r>
    </w:p>
    <w:p>
      <w:pPr>
        <w:pStyle w:val="ListBullet"/>
      </w:pPr>
      <w:r>
        <w:t>验证集真实标签的某一类若只含单一取值，则该类AUROC不可计算：记录为NA并审查划分，而非简单补0或补1。</w:t>
      </w:r>
    </w:p>
    <w:p>
      <w:pPr>
        <w:pStyle w:val="ListBullet"/>
      </w:pPr>
      <w:r>
        <w:t>保存best_by_macro_auc.pth和last.pth；另存配置JSON、类别顺序、标签映射、权重公式、划分种子与数据版本。</w:t>
      </w:r>
    </w:p>
    <w:p>
      <w:pPr>
        <w:pStyle w:val="ListBullet"/>
      </w:pPr>
      <w:r>
        <w:t>保存study_id级的真实标签/预测概率表，供误差分析和后续双模型融合使用；Grad-CAM选典型错误样本定期分析。</w:t>
      </w:r>
    </w:p>
    <w:p>
      <w:pPr>
        <w:pStyle w:val="ListBullet"/>
      </w:pPr>
      <w:r>
        <w:t>推理前使用Sigmoid输出概率；最终CSV列和Study排序按主办方接口定义生成。</w:t>
      </w:r>
    </w:p>
    <w:p>
      <w:pPr>
        <w:pStyle w:val="Heading1"/>
      </w:pPr>
      <w:r>
        <w:t>8 数据公布后按顺序进行的消融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r>
              <w:t>编号</w:t>
            </w:r>
          </w:p>
        </w:tc>
        <w:tc>
          <w:tcPr>
            <w:tcW w:type="dxa" w:w="4925"/>
            <w:vAlign w:val="center"/>
          </w:tcPr>
          <w:p>
            <w:r>
              <w:t>实验内容</w:t>
            </w:r>
          </w:p>
        </w:tc>
      </w:tr>
      <w:tr>
        <w:tc>
          <w:tcPr>
            <w:tcW w:type="dxa" w:w="4925"/>
            <w:vAlign w:val="center"/>
          </w:tcPr>
          <w:p>
            <w:r>
              <w:t>E0</w:t>
            </w:r>
          </w:p>
        </w:tc>
        <w:tc>
          <w:tcPr>
            <w:tcW w:type="dxa" w:w="4925"/>
            <w:vAlign w:val="center"/>
          </w:tcPr>
          <w:p>
            <w:r>
              <w:t>数据分析、读取接口、Study级输出与评测函数</w:t>
            </w:r>
          </w:p>
        </w:tc>
      </w:tr>
      <w:tr>
        <w:tc>
          <w:tcPr>
            <w:tcW w:type="dxa" w:w="4925"/>
            <w:vAlign w:val="center"/>
          </w:tcPr>
          <w:p>
            <w:r>
              <w:t>E1</w:t>
            </w:r>
          </w:p>
        </w:tc>
        <w:tc>
          <w:tcPr>
            <w:tcW w:type="dxa" w:w="4925"/>
            <w:vAlign w:val="center"/>
          </w:tcPr>
          <w:p>
            <w:r>
              <w:t>原始Backbone + 标准BCE（公平对照）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E2</w:t>
            </w:r>
          </w:p>
        </w:tc>
        <w:tc>
          <w:tcPr>
            <w:tcW w:type="dxa" w:w="4925"/>
            <w:vAlign w:val="center"/>
          </w:tcPr>
          <w:p>
            <w:r>
              <w:t>原始Backbone + Weighted BCE（当前主方案）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E3</w:t>
            </w:r>
          </w:p>
        </w:tc>
        <w:tc>
          <w:tcPr>
            <w:tcW w:type="dxa" w:w="4925"/>
            <w:vAlign w:val="center"/>
          </w:tcPr>
          <w:p>
            <w:r>
              <w:t>最佳Loss + 输入分辨率比较</w:t>
            </w:r>
          </w:p>
        </w:tc>
      </w:tr>
      <w:tr>
        <w:tc>
          <w:tcPr>
            <w:tcW w:type="dxa" w:w="4925"/>
            <w:vAlign w:val="center"/>
          </w:tcPr>
          <w:p>
            <w:r>
              <w:t>E4</w:t>
            </w:r>
          </w:p>
        </w:tc>
        <w:tc>
          <w:tcPr>
            <w:tcW w:type="dxa" w:w="4925"/>
            <w:vAlign w:val="center"/>
          </w:tcPr>
          <w:p>
            <w:r>
              <w:t>最佳Loss + 简单多尺度GAP后Concat</w:t>
            </w:r>
          </w:p>
        </w:tc>
      </w:tr>
      <w:tr>
        <w:tc>
          <w:tcPr>
            <w:tcW w:type="dxa" w:w="4925"/>
            <w:vAlign w:val="center"/>
          </w:tcPr>
          <w:p>
            <w:r>
              <w:t>E5</w:t>
            </w:r>
          </w:p>
        </w:tc>
        <w:tc>
          <w:tcPr>
            <w:tcW w:type="dxa" w:w="4925"/>
            <w:vAlign w:val="center"/>
          </w:tcPr>
          <w:p>
            <w:r>
              <w:t>最佳Loss + CBAM（独立实验）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E6</w:t>
            </w:r>
          </w:p>
        </w:tc>
        <w:tc>
          <w:tcPr>
            <w:tcW w:type="dxa" w:w="4925"/>
            <w:vAlign w:val="center"/>
          </w:tcPr>
          <w:p>
            <w:r>
              <w:t>最佳Loss + 10 Query Label Cross-Attention（独立实验）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E7</w:t>
            </w:r>
          </w:p>
        </w:tc>
        <w:tc>
          <w:tcPr>
            <w:tcW w:type="dxa" w:w="4925"/>
            <w:vAlign w:val="center"/>
          </w:tcPr>
          <w:p>
            <w:r>
              <w:t>单模块有效时才组合CBAM + LabelAttention</w:t>
            </w:r>
          </w:p>
        </w:tc>
      </w:tr>
      <w:tr>
        <w:tc>
          <w:tcPr>
            <w:tcW w:type="dxa" w:w="4925"/>
            <w:vAlign w:val="center"/>
          </w:tcPr>
          <w:p>
            <w:r>
              <w:t>E8</w:t>
            </w:r>
          </w:p>
        </w:tc>
        <w:tc>
          <w:tcPr>
            <w:tcW w:type="dxa" w:w="4925"/>
            <w:vAlign w:val="center"/>
          </w:tcPr>
          <w:p>
            <w:r>
              <w:t>对照另一Backbone做误差互补/概率融合</w:t>
            </w:r>
          </w:p>
        </w:tc>
      </w:tr>
    </w:tbl>
    <w:p/>
    <w:p>
      <w:r>
        <w:t>多尺度候选：选Dense Block2/3/4输出，分别GAP得到512/1024/1024维向量，Concat为2560维，再训练小型分类头。注意这属于“多层级池化向量融合”，不保留完整空间定位。</w:t>
      </w:r>
    </w:p>
    <w:p>
      <w:r>
        <w:t>标签注意力候选：提取尚未GAP的空间特征，转换为HW个tokens；构建10个可学习Query，d_model=256、4 heads、1层Cross-Attention、dropout=0.1。CBAM与标签注意力首先独立实验，不预设叠加必有提升。</w:t>
      </w:r>
    </w:p>
    <w:p>
      <w:pPr>
        <w:pStyle w:val="Heading1"/>
      </w:pPr>
      <w:r>
        <w:t>9 Study级多图处理：待决策分支</w:t>
      </w:r>
    </w:p>
    <w:p>
      <w:pPr>
        <w:pStyle w:val="ListBullet"/>
      </w:pPr>
      <w:r>
        <w:t>若每个Study仅一图：使用标准图像级Backbone得到10个Logits，可直接映射到Study。</w:t>
      </w:r>
    </w:p>
    <w:p>
      <w:pPr>
        <w:pStyle w:val="ListBullet"/>
      </w:pPr>
      <w:r>
        <w:t>若多个视角/多图：先建立图像级预测后均值/最大值概率聚合的简易基线；再比较共享Backbone的Mean/Max/Attention特征聚合。</w:t>
      </w:r>
    </w:p>
    <w:p>
      <w:pPr>
        <w:pStyle w:val="ListBullet"/>
      </w:pPr>
      <w:r>
        <w:t>分组/采样和标签统计始终以Study或Subject为单位；训练中不得将同一Study图像误作不同独立检查。</w:t>
      </w:r>
    </w:p>
    <w:p>
      <w:pPr>
        <w:pStyle w:val="Heading1"/>
      </w:pPr>
      <w:r>
        <w:t>10 工程交付与风险控制</w:t>
      </w:r>
    </w:p>
    <w:p>
      <w:pPr>
        <w:pStyle w:val="ListBullet"/>
      </w:pPr>
      <w:r>
        <w:t>数据公开前：完成模型初始化、合成数据前向/反向、AMP、训练配置、日志、checkpoint恢复、基础CSV推理接口。</w:t>
      </w:r>
    </w:p>
    <w:p>
      <w:pPr>
        <w:pStyle w:val="ListBullet"/>
      </w:pPr>
      <w:r>
        <w:t>数据公开后：先完成数据报告，再锁定数据划分、缺失标签与Weighted BCE权重策略，再训练两条基线。</w:t>
      </w:r>
    </w:p>
    <w:p>
      <w:pPr>
        <w:pStyle w:val="ListBullet"/>
      </w:pPr>
      <w:r>
        <w:t>T4环境最终按FP16 AMP或FP32推理部署；测量实际单图延迟、最大显存、模型大小、输出一致性及Study聚合开销。</w:t>
      </w:r>
    </w:p>
    <w:p>
      <w:pPr>
        <w:pStyle w:val="ListBullet"/>
      </w:pPr>
      <w:r>
        <w:t>确认公开ImageNet权重及外部预训练资源是否符合竞赛约束；Docker镜像只定义环境，不自动提供云端GPU。</w:t>
      </w:r>
    </w:p>
    <w:p>
      <w:pPr>
        <w:pStyle w:val="ListBullet"/>
      </w:pPr>
      <w:r>
        <w:t>停止规则：只因验证结果支持才加入新模块；轻微Macro-AUC波动必须通过重复种子或置信区间复核。</w:t>
      </w:r>
    </w:p>
    <w:p>
      <w:pPr>
        <w:pStyle w:val="Heading1"/>
      </w:pPr>
      <w:r>
        <w:t>11 参考实现与论文</w:t>
      </w:r>
    </w:p>
    <w:p>
      <w:pPr>
        <w:pStyle w:val="ListBullet"/>
      </w:pPr>
      <w:r>
        <w:t>DenseNet论文：Huang et al., Densely Connected Convolutional Networks, CVPR 2017. https://arxiv.org/abs/1608.06993</w:t>
      </w:r>
    </w:p>
    <w:p>
      <w:pPr>
        <w:pStyle w:val="ListBullet"/>
      </w:pPr>
      <w:r>
        <w:t>torchvision DenseNet文档：https://docs.pytorch.org/vision/stable/models/generated/torchvision.models.densenet121.html</w:t>
      </w:r>
    </w:p>
    <w:p>
      <w:r>
        <w:t>统一说明：本文件为赛前技术路线，不包含真实数据统计、实验成绩或保证性性能结论；2026年10月15日数据公布后更新为v1.1。</w:t>
      </w:r>
    </w:p>
    <w:sectPr w:rsidR="00FC693F" w:rsidRPr="0006063C" w:rsidSect="00034616">
      <w:footerReference w:type="default" r:id="rId9"/>
      <w:pgSz w:w="12240" w:h="15840"/>
      <w:pgMar w:top="1123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胸部X光多标签分类 · DenseNet-121 · 赛前技术路线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631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50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50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507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