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VLAIO Subsidiedossier (Deel 2)</w:t>
      </w:r>
    </w:p>
    <w:p>
      <w:pPr>
        <w:pStyle w:val="Heading1"/>
      </w:pPr>
      <w:r>
        <w:t>9. Impact op werkvloer, energie, comfort &amp; CO₂</w:t>
      </w:r>
    </w:p>
    <w:p>
      <w:r>
        <w:t>ACAΛI vermindert het energieverbruik van gebouwen met tot 40% via slimme aansturing van verlichting, HVAC en ventilatie. Comfort wordt verhoogd door realtime aanpassing op gedrag, aanwezigheid en voorkeuren. De software verlaagt piekverbruik, verbetert luchtkwaliteit en draagt rechtstreeks bij aan de verlaging van CO₂-uitstoot. Medewerkers ervaren meer welzijn en focus, terwijl data worden ingezet voor ESG-rapportage.</w:t>
      </w:r>
    </w:p>
    <w:p>
      <w:pPr>
        <w:pStyle w:val="Heading1"/>
      </w:pPr>
      <w:r>
        <w:t>10. Schaalbaarheid &amp; toekomstmodellen</w:t>
      </w:r>
    </w:p>
    <w:p>
      <w:r>
        <w:t>ACAΛI is schaalbaar via haar modulaire softwarestructuur (Pulse AI), centrale Lambda-interface, en connectiviteit met bestaande HVAC- en lichtsystemen. In de toekomst worden nieuwe modellen toegevoegd zoals:</w:t>
        <w:br/>
        <w:t>- Integratie met installateurs &amp; smart building platforms</w:t>
        <w:br/>
        <w:t>- White-label of 'ACAΛI inside'-oplossingen</w:t>
        <w:br/>
        <w:t>- Cross-building intelligence</w:t>
        <w:br/>
        <w:t>- Virtuele klantenzone en rapportageplatform (dashboard)</w:t>
      </w:r>
    </w:p>
    <w:p>
      <w:pPr>
        <w:pStyle w:val="Heading1"/>
      </w:pPr>
      <w:r>
        <w:t>11. Koppeling aan Europese regelgeving</w:t>
      </w:r>
    </w:p>
    <w:p>
      <w:r>
        <w:t>ACAΛI is sterk in lijn met de EU-doelstellingen:</w:t>
        <w:br/>
        <w:t>- EPBD (Energy Performance of Buildings Directive): Slimme aansturing en monitoring.</w:t>
        <w:br/>
        <w:t>- RED (Renewable Energy Directive): Reductie van energievraag en verbruik.</w:t>
        <w:br/>
        <w:t>- Green Deal &amp; Fit for 55: Verhoging van energie-efficiëntie en CO₂-neutraliteit.</w:t>
        <w:br/>
        <w:t>- EU 2050-strategie: Slimme gebouwen als onderdeel van klimaatadaptatie en digitalisering.</w:t>
      </w:r>
    </w:p>
    <w:p>
      <w:pPr>
        <w:pStyle w:val="Heading1"/>
      </w:pPr>
      <w:r>
        <w:t>12. Tokenizationvisie</w:t>
      </w:r>
    </w:p>
    <w:p>
      <w:r>
        <w:t>ACAΛI onderzoekt een toekomstmodel waarbij gedrag, energie en CO₂-prestaties worden vertaald naar tokens (ACA-tokens). Gebruikers of gebouwen kunnen beloningen verdienen bij energiebesparing of duurzaam gedrag. Deze tokens kunnen gekoppeld worden aan rapportering, gebruikersrechten of energiemarkten.</w:t>
      </w:r>
    </w:p>
    <w:p>
      <w:pPr>
        <w:pStyle w:val="Heading1"/>
      </w:pPr>
      <w:r>
        <w:t>13. Visuele mockup MVP (Lambda + Pulse)</w:t>
      </w:r>
    </w:p>
    <w:p>
      <w:r>
        <w:t>Het MVP bestaat uit de Lambda-interface aan de muur, gekoppeld aan sensormodules en een Control Hub. Op het scherm bevinden zich drie presets, een gevoelsmatige slider en een knop voor lichtaanpassing. De AI-laag (Pulse) leert van gedrag, bezetting en voorkeuren. Zie bijlage voor visualisatie.</w:t>
      </w:r>
    </w:p>
    <w:p>
      <w:pPr>
        <w:pStyle w:val="Heading1"/>
      </w:pPr>
      <w:r>
        <w:t>14. Team, partners en timing</w:t>
      </w:r>
    </w:p>
    <w:p>
      <w:r>
        <w:t>ACAΛI wordt geleid door de oprichter met ervaring in energie, technologie en design. Externe design- en installatiepartners worden betrokken voor realisatie. Pilootprojecten worden opgestart bij AG Real Estate, CBRE en/of Matexi. De projectduur bedraagt 6 tot 12 maanden, met validatie, evaluatie en schaalbare uitrol als einddoel.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