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AI voor energie-efficiënte en CO₂-neutrale gebouwen</w:t>
      </w:r>
    </w:p>
    <w:p>
      <w:pPr>
        <w:pStyle w:val="Heading1"/>
      </w:pPr>
      <w:r>
        <w:t>1. Relevantie binnen Europese regelgeving</w:t>
      </w:r>
    </w:p>
    <w:p>
      <w:r>
        <w:t>ACAΛI sluit naadloos aan bij de belangrijkste Europese richtlijnen rond energie-efficiëntie en klimaat:</w:t>
        <w:br/>
        <w:t>- EPBD (Energy Performance of Buildings Directive)</w:t>
        <w:br/>
        <w:t>- EED (Energy Efficiency Directive)</w:t>
        <w:br/>
        <w:t>- RED III (Renewable Energy Directive)</w:t>
        <w:br/>
        <w:t>- EU 2050 Klimaatstrategie</w:t>
        <w:br/>
        <w:br/>
        <w:t>Het systeem ondersteunt gebouwen bij hun overgang naar energie-efficiënt, slim en toekomstgericht vastgoedbeheer.</w:t>
      </w:r>
    </w:p>
    <w:p>
      <w:pPr>
        <w:pStyle w:val="Heading1"/>
      </w:pPr>
      <w:r>
        <w:t>2. Concrete impact van ACAΛI</w:t>
      </w:r>
    </w:p>
    <w:p>
      <w:r>
        <w:t>- Tot 40% energiebesparing op HVAC en verlichting</w:t>
        <w:br/>
        <w:t>- Realtime CO₂-, comfort- en gebruiksrapporten</w:t>
        <w:br/>
        <w:t>- Automatische optimalisatie op basis van gedrag, bezetting en weer</w:t>
        <w:br/>
        <w:t>- Integratie met bestaande installaties en protocollen</w:t>
      </w:r>
    </w:p>
    <w:p>
      <w:pPr>
        <w:pStyle w:val="Heading1"/>
      </w:pPr>
      <w:r>
        <w:t>3. ESG-waarde voor vastgoedportefeuilles</w:t>
      </w:r>
    </w:p>
    <w:p>
      <w:r>
        <w:t>- Verhoogt energieprestatiescore (EPC, BREEAM, WELL...)</w:t>
        <w:br/>
        <w:t>- Verlaagt CO₂-uitstoot zonder in te boeten op comfort</w:t>
        <w:br/>
        <w:t>- Data en AI worden actieve bouwstenen in ESG-strategieën</w:t>
        <w:br/>
        <w:t>- Versterkt duurzame positionering en waardering van vastgoed</w:t>
      </w:r>
    </w:p>
    <w:p>
      <w:pPr>
        <w:pStyle w:val="Heading1"/>
      </w:pPr>
      <w:r>
        <w:t>4. Pilootproject &amp; schaalbaarheid</w:t>
      </w:r>
    </w:p>
    <w:p>
      <w:r>
        <w:t>- Piloot vanaf 100 m² met meetbare resultaten</w:t>
        <w:br/>
        <w:t>- Combineerbaar met subsidies of investeringssteun</w:t>
        <w:br/>
        <w:t>- Schaalbaar naar volledige gebouwen en portefeuilles</w:t>
        <w:br/>
        <w:t>- ACAΛI leert mee met gebruikersgedrag, seizoenen en klimaat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