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ACAΛI – SaaS Prijsstructuur</w:t>
      </w:r>
    </w:p>
    <w:p>
      <w:r>
        <w:t>ACAΛI hanteert een schaalbaar en transparant SaaS-model, afgestemd op de noden van bedrijven met kantoorgebouwen of vastgoedportefeuilles. De prijsstructuur is eenvoudig opgebouwd uit een basisabonnement per m² en een optionele uitbreiding per werknemer voor gepersonaliseerde functies.</w:t>
      </w:r>
    </w:p>
    <w:p>
      <w:pPr>
        <w:pStyle w:val="Heading1"/>
      </w:pPr>
      <w:r>
        <w:t>1. Basis SaaS-abonnement (per m²)</w:t>
      </w:r>
    </w:p>
    <w:p>
      <w:r>
        <w:t>- Prijs: €10/m²/jaar</w:t>
        <w:br/>
        <w:t>- Inclusief:</w:t>
        <w:br/>
        <w:t xml:space="preserve">  • Energiebeheer (HVAC, verlichting, ventilatie)</w:t>
        <w:br/>
        <w:t xml:space="preserve">  • Comfortregeling via presets en slider</w:t>
        <w:br/>
        <w:t xml:space="preserve">  • Monitoring van bezetting, temperatuur, licht en CO₂</w:t>
        <w:br/>
        <w:t xml:space="preserve">  • Centrale aansturing via Pulse Core (regelgebaseerd)</w:t>
        <w:br/>
        <w:t xml:space="preserve">  • Rapportage en basisanalyses</w:t>
      </w:r>
    </w:p>
    <w:p>
      <w:pPr>
        <w:pStyle w:val="Heading1"/>
      </w:pPr>
      <w:r>
        <w:t>2. Optionele uitbreiding (per werknemer)</w:t>
      </w:r>
    </w:p>
    <w:p>
      <w:r>
        <w:t>- Prijs: €2–€3/werknemer/jaar</w:t>
        <w:br/>
        <w:t>- Inclusief:</w:t>
        <w:br/>
        <w:t xml:space="preserve">  • Persoonlijke voorkeuren (licht, temperatuur, lucht)</w:t>
        <w:br/>
        <w:t xml:space="preserve">  • Herkenning via badge, smartphone of wearable</w:t>
        <w:br/>
        <w:t xml:space="preserve">  • AI-aanpassing per gebruiker (via Pulse Advanced)</w:t>
        <w:br/>
        <w:t xml:space="preserve">  • Medewerker-gebonden comfortinstellingen zonder overbelasting van IT</w:t>
        <w:br/>
        <w:t xml:space="preserve">  • Betere welzijnsdata en tevredenheidsscore</w:t>
      </w:r>
    </w:p>
    <w:p>
      <w:pPr>
        <w:pStyle w:val="Heading1"/>
      </w:pPr>
      <w:r>
        <w:t>3. Voorbeeld (AG Real Estate)</w:t>
      </w:r>
    </w:p>
    <w:p>
      <w:r>
        <w:t>- Gebouwoppervlakte: 1000 m² = €10.000/jaar</w:t>
        <w:br/>
        <w:t>- Aantal werknemers: 50 x €3 = €150/jaar</w:t>
        <w:br/>
        <w:t>- Totale jaarprijs: €10.150/jaar</w:t>
        <w:br/>
        <w:t>- Mogelijkheid tot schaalvoordeel bij grotere volumes (bv. €7,50/m² vanaf 1000+ m²)</w:t>
      </w:r>
    </w:p>
    <w:p>
      <w:pPr>
        <w:pStyle w:val="Heading1"/>
      </w:pPr>
      <w:r>
        <w:t>4. Waarom dit werkt voor bedrijven</w:t>
      </w:r>
    </w:p>
    <w:p>
      <w:r>
        <w:t>- Transparant en eenvoudig te communiceren</w:t>
        <w:br/>
        <w:t>- Lage instapdrempel met uitbreidbare functionaliteit</w:t>
        <w:br/>
        <w:t>- Maakt schaalbare AI mogelijk zonder complexiteit</w:t>
        <w:br/>
        <w:t>- Geeft ruimte voor groei, onboarding en segmentatie</w:t>
        <w:br/>
        <w:t>- Vereenvoudigt de businesscase voor ESG-investeringen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