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 pilote ACAΛI – Intelligence Artificielle pour le confort, l'énergie et l'ESG</w:t>
      </w:r>
    </w:p>
    <w:p>
      <w:pPr>
        <w:pStyle w:val="Heading1"/>
      </w:pPr>
      <w:r>
        <w:t>🔄 Projet en 3 phases</w:t>
      </w:r>
    </w:p>
    <w:p>
      <w:r>
        <w:t>1. Mise en place – Analyse, choix du site, données de base &amp; connexion capteurs</w:t>
        <w:br/>
        <w:t>2. Activation – Activation du tableau de bord, pilotage IA, collecte de données</w:t>
        <w:br/>
        <w:t>3. Évaluation – Rapport, analyse du confort, économies d'énergie &amp; feedback</w:t>
      </w:r>
    </w:p>
    <w:p>
      <w:pPr>
        <w:pStyle w:val="Heading1"/>
      </w:pPr>
      <w:r>
        <w:t>🤝 Répartition des rôles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ACAΛI fournit :</w:t>
            </w:r>
          </w:p>
        </w:tc>
        <w:tc>
          <w:tcPr>
            <w:tcW w:type="dxa" w:w="4320"/>
          </w:tcPr>
          <w:p>
            <w:r>
              <w:t>Le partenaire fournit :</w:t>
            </w:r>
          </w:p>
        </w:tc>
      </w:tr>
      <w:tr>
        <w:tc>
          <w:tcPr>
            <w:tcW w:type="dxa" w:w="4320"/>
          </w:tcPr>
          <w:p>
            <w:r>
              <w:t>- Tableau de bord IA et logique</w:t>
              <w:br/>
              <w:t>- Pilotage en temps réel (lumière, CVC, comportement)</w:t>
              <w:br/>
              <w:t>- Rapport confort &amp; énergie</w:t>
              <w:br/>
              <w:t>- Suivi et accompagnement</w:t>
            </w:r>
          </w:p>
        </w:tc>
        <w:tc>
          <w:tcPr>
            <w:tcW w:type="dxa" w:w="4320"/>
          </w:tcPr>
          <w:p>
            <w:r>
              <w:t>- Environnement test (bâtiment/espace)</w:t>
              <w:br/>
              <w:t>- Accès aux données de base / réseau</w:t>
              <w:br/>
              <w:t>- Implication interne (retour des utilisateurs)</w:t>
              <w:br/>
              <w:t>- Validation en fin de projet</w:t>
            </w:r>
          </w:p>
        </w:tc>
      </w:tr>
    </w:tbl>
    <w:p>
      <w:pPr>
        <w:pStyle w:val="Heading1"/>
      </w:pPr>
      <w:r>
        <w:t>⏱ Durée &amp; Objectif</w:t>
      </w:r>
    </w:p>
    <w:p>
      <w:r>
        <w:t>Durée : 4 semaines (prolongeable si souhaité)</w:t>
        <w:br/>
        <w:t>Objectif : jusqu’à 40 % d’économie d’énergie, amélioration du confort, et préparation à la conformité ESG/CSRD.</w:t>
        <w:br/>
        <w:t>Option : reconnaissance en tant que partenaire pilote officiel d’ACAΛI.</w:t>
      </w:r>
    </w:p>
    <w:p>
      <w:r>
        <w:br/>
        <w:t>Pour plus d'informations ou une proposition personnalisée : arnaud@acaaigroup.com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