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Actieplan Ready for Action (april 2025)</w:t>
      </w:r>
    </w:p>
    <w:p>
      <w:pPr>
        <w:pStyle w:val="Heading1"/>
      </w:pPr>
      <w:r>
        <w:t>1. Prototype Lambda (hardware + werkende UI)</w:t>
      </w:r>
    </w:p>
    <w:p>
      <w:r>
        <w:t>Doel: binnen 4 weken een toonbaar toestel met UI en basishardware.</w:t>
      </w:r>
    </w:p>
    <w:p>
      <w:r>
        <w:t>Acties:</w:t>
      </w:r>
    </w:p>
    <w:p>
      <w:r>
        <w:t>– Designbrief finaliseren met Alexander (✅)</w:t>
      </w:r>
    </w:p>
    <w:p>
      <w:r>
        <w:t>– Eerste mockup met Raspberry Pi / ESP / display</w:t>
      </w:r>
    </w:p>
    <w:p>
      <w:r>
        <w:t>– Visuals + demo koppelen aan Netlify-link</w:t>
      </w:r>
    </w:p>
    <w:p>
      <w:r>
        <w:t>– Planning en testmoment vastleggen</w:t>
      </w:r>
    </w:p>
    <w:p>
      <w:pPr>
        <w:pStyle w:val="Heading1"/>
      </w:pPr>
      <w:r>
        <w:t>2. Partnerdocumenten actualiseren (inclusief ESG/rapportering)</w:t>
      </w:r>
    </w:p>
    <w:p>
      <w:r>
        <w:t>Doel: up-to-date decks + fiches voor Matexi, CBRE, Ghelamco enz.</w:t>
      </w:r>
    </w:p>
    <w:p>
      <w:r>
        <w:t>Acties:</w:t>
      </w:r>
    </w:p>
    <w:p>
      <w:r>
        <w:t>– ESG-fiche en rapporteringstabel integreren in partnerdossier</w:t>
      </w:r>
    </w:p>
    <w:p>
      <w:r>
        <w:t>– Engelstalige versie opmaken (optioneel)</w:t>
      </w:r>
    </w:p>
    <w:p>
      <w:r>
        <w:t>– Custom pitch klaarzetten per partner (Regus/Titan = eerste)</w:t>
      </w:r>
    </w:p>
    <w:p>
      <w:pPr>
        <w:pStyle w:val="Heading1"/>
      </w:pPr>
      <w:r>
        <w:t>3. Subsidiedossier VLAIO afronden (met rapporteringssectie)</w:t>
      </w:r>
    </w:p>
    <w:p>
      <w:r>
        <w:t>Doel: officiële indiening tegen eind april.</w:t>
      </w:r>
    </w:p>
    <w:p>
      <w:r>
        <w:t>Acties:</w:t>
      </w:r>
    </w:p>
    <w:p>
      <w:r>
        <w:t>– ESG- en softwareuitbreiding toevoegen aan projectbeschrijving</w:t>
      </w:r>
    </w:p>
    <w:p>
      <w:r>
        <w:t>– Begroting vervolledigen (inclusief Action Module)</w:t>
      </w:r>
    </w:p>
    <w:p>
      <w:r>
        <w:t>– Final check + indienen via VLAIO-portaal</w:t>
      </w:r>
    </w:p>
    <w:p>
      <w:pPr>
        <w:pStyle w:val="Heading1"/>
      </w:pPr>
      <w:r>
        <w:t>4. Soft launch / demo-afspraken inplannen</w:t>
      </w:r>
    </w:p>
    <w:p>
      <w:r>
        <w:t>Doel: feedback en interesse ophalen via real-life demo.</w:t>
      </w:r>
    </w:p>
    <w:p>
      <w:r>
        <w:t>Acties:</w:t>
      </w:r>
    </w:p>
    <w:p>
      <w:r>
        <w:t>– Eerste demo's voorstellen aan CBRE / Matexi (met ESG-focus)</w:t>
      </w:r>
    </w:p>
    <w:p>
      <w:r>
        <w:t>– LinkedIn-campagne met visuals en teaser</w:t>
      </w:r>
    </w:p>
    <w:p>
      <w:r>
        <w:t>– Eerste video (optioneel) waarin je ACAΛI toont in 60 seconden</w:t>
      </w:r>
    </w:p>
    <w:p>
      <w:pPr>
        <w:pStyle w:val="Heading1"/>
      </w:pPr>
      <w:r>
        <w:t>5. Developmenttrack voorbereiden (post-prototype)</w:t>
      </w:r>
    </w:p>
    <w:p>
      <w:r>
        <w:t>Doel: na MVP snel doorontwikkelen richting schaalbaarheid.</w:t>
      </w:r>
    </w:p>
    <w:p>
      <w:r>
        <w:t>Acties:</w:t>
      </w:r>
    </w:p>
    <w:p>
      <w:r>
        <w:t>– Featurelijst opmaken op GitHub (Pulse, Export, Comfortlog)</w:t>
      </w:r>
    </w:p>
    <w:p>
      <w:r>
        <w:t>– Partnerschappen opstarten voor sensorinstallaties</w:t>
      </w:r>
    </w:p>
    <w:p>
      <w:r>
        <w:t>– Optionele white-labelstrategie voorbereiden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