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ACAΛI – ESG &amp; Rapportering Compatibility</w:t>
      </w:r>
    </w:p>
    <w:p>
      <w:pPr>
        <w:pStyle w:val="Heading1"/>
      </w:pPr>
      <w:r>
        <w:t>1. Inleiding</w:t>
      </w:r>
    </w:p>
    <w:p>
      <w:r>
        <w:t>ACAΛI is een intelligent systeem voor comfortoptimalisatie, energiebesparing en datagedreven gebouwbeheer. Via slimme wandinterfaces (Lambda), sensoren en zelflerende AI (Pulse) stuurt ACAΛI automatisch lucht, licht en temperatuur aan – en koppelt deze acties aan meetbare resultaten en rapportering. Het platform is future-proof en sluit naadloos aan op de ESG- en duurzaamheidsvereisten van de komende jaren.</w:t>
      </w:r>
    </w:p>
    <w:p>
      <w:pPr>
        <w:pStyle w:val="Heading2"/>
      </w:pPr>
      <w:r>
        <w:t>EN – Introduction</w:t>
      </w:r>
    </w:p>
    <w:p>
      <w:r>
        <w:t>ACAΛI is an intelligent system for comfort optimization, energy efficiency and data-driven building control. Through smart interfaces (Lambda), sensors and self-learning AI (Pulse), ACAΛI automatically controls air, light and temperature – and links these actions to measurable outcomes and sustainability reporting. The platform is future-proof and fully compliant with upcoming ESG and sustainability standards.</w:t>
      </w:r>
    </w:p>
    <w:p>
      <w:pPr>
        <w:pStyle w:val="Heading1"/>
      </w:pPr>
      <w:r>
        <w:t>2. Relevante rapporteringskaders</w:t>
      </w:r>
    </w:p>
    <w:p>
      <w:pPr>
        <w:pStyle w:val="Heading2"/>
      </w:pPr>
      <w:r>
        <w:t>CSRD / ESRS (EU)</w:t>
      </w:r>
    </w:p>
    <w:p>
      <w:r>
        <w:t>NL: Verplicht voor grote bedrijven vanaf 2025–2026. ACAΛI ondersteunt automatische dataverzameling, actie-logging en export naar rapporteringssystemen.</w:t>
      </w:r>
    </w:p>
    <w:p>
      <w:r>
        <w:t>EN: Mandatory for large companies from 2025–2026. ACAΛI supports automated data collection, action logging and export to reporting systems.</w:t>
      </w:r>
    </w:p>
    <w:p>
      <w:pPr>
        <w:pStyle w:val="Heading2"/>
      </w:pPr>
      <w:r>
        <w:t>BREEAM / LEED</w:t>
      </w:r>
    </w:p>
    <w:p>
      <w:r>
        <w:t>NL: Gebouwgerichte duurzaamheidssystemen waarin ACAΛI comfort, luchtkwaliteit en bezettingsgedrag monitort én aanstuurt.</w:t>
      </w:r>
    </w:p>
    <w:p>
      <w:r>
        <w:t>EN: Building-focused sustainability frameworks where ACAΛI monitors and adjusts comfort, air quality and occupancy behaviour.</w:t>
      </w:r>
    </w:p>
    <w:p>
      <w:pPr>
        <w:pStyle w:val="Heading2"/>
      </w:pPr>
      <w:r>
        <w:t>GRI (302/305)</w:t>
      </w:r>
    </w:p>
    <w:p>
      <w:r>
        <w:t>NL: ACAΛI voorziet energiedata en CO₂-uitstootmetingen als input voor GRI-duurzaamheidsverslagen.</w:t>
      </w:r>
    </w:p>
    <w:p>
      <w:r>
        <w:t>EN: ACAΛI provides energy use and CO₂ emissions data as input for GRI sustainability reports.</w:t>
      </w:r>
    </w:p>
    <w:p>
      <w:pPr>
        <w:pStyle w:val="Heading2"/>
      </w:pPr>
      <w:r>
        <w:t>ISO 50001</w:t>
      </w:r>
    </w:p>
    <w:p>
      <w:r>
        <w:t>NL: Via automatische optimalisatie en logging van HVAC- en lichtsystemen ondersteunt ACAΛI energiebeheer volgens ISO-normen.</w:t>
      </w:r>
    </w:p>
    <w:p>
      <w:r>
        <w:t>EN: Through automatic optimization and logging of HVAC and lighting systems, ACAΛI supports ISO-compliant energy management.</w:t>
      </w:r>
    </w:p>
    <w:p>
      <w:pPr>
        <w:pStyle w:val="Heading2"/>
      </w:pPr>
      <w:r>
        <w:t>SBTi</w:t>
      </w:r>
    </w:p>
    <w:p>
      <w:r>
        <w:t>NL: ACAΛI biedt realtime inzichten in CO₂-besparing door gedragsaanpassing en AI-gestuurde acties.</w:t>
      </w:r>
    </w:p>
    <w:p>
      <w:r>
        <w:t>EN: ACAΛI provides real-time insights into CO₂ reduction through behavioural adaptation and AI-driven action.</w:t>
      </w:r>
    </w:p>
    <w:p>
      <w:pPr>
        <w:pStyle w:val="Heading1"/>
      </w:pPr>
      <w:r>
        <w:t>3. Koppeling tussen rapportering en ACAΛI-modules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Framework</w:t>
            </w:r>
          </w:p>
        </w:tc>
        <w:tc>
          <w:tcPr>
            <w:tcW w:type="dxa" w:w="2880"/>
          </w:tcPr>
          <w:p>
            <w:r>
              <w:t>ACAΛI levert</w:t>
            </w:r>
          </w:p>
        </w:tc>
        <w:tc>
          <w:tcPr>
            <w:tcW w:type="dxa" w:w="2880"/>
          </w:tcPr>
          <w:p>
            <w:r>
              <w:t>Relevante module(s)</w:t>
            </w:r>
          </w:p>
        </w:tc>
      </w:tr>
      <w:tr>
        <w:tc>
          <w:tcPr>
            <w:tcW w:type="dxa" w:w="2880"/>
          </w:tcPr>
          <w:p>
            <w:r>
              <w:t>CSRD / ESRS</w:t>
            </w:r>
          </w:p>
        </w:tc>
        <w:tc>
          <w:tcPr>
            <w:tcW w:type="dxa" w:w="2880"/>
          </w:tcPr>
          <w:p>
            <w:r>
              <w:t>Energie, comfort, CO₂, gebruiksdata</w:t>
            </w:r>
          </w:p>
        </w:tc>
        <w:tc>
          <w:tcPr>
            <w:tcW w:type="dxa" w:w="2880"/>
          </w:tcPr>
          <w:p>
            <w:r>
              <w:t>Pulse AI, Action Log, Export</w:t>
            </w:r>
          </w:p>
        </w:tc>
      </w:tr>
      <w:tr>
        <w:tc>
          <w:tcPr>
            <w:tcW w:type="dxa" w:w="2880"/>
          </w:tcPr>
          <w:p>
            <w:r>
              <w:t>BREEAM</w:t>
            </w:r>
          </w:p>
        </w:tc>
        <w:tc>
          <w:tcPr>
            <w:tcW w:type="dxa" w:w="2880"/>
          </w:tcPr>
          <w:p>
            <w:r>
              <w:t>Lucht, licht, bezetting, gedrag</w:t>
            </w:r>
          </w:p>
        </w:tc>
        <w:tc>
          <w:tcPr>
            <w:tcW w:type="dxa" w:w="2880"/>
          </w:tcPr>
          <w:p>
            <w:r>
              <w:t>Sensoren, Comfort Engine</w:t>
            </w:r>
          </w:p>
        </w:tc>
      </w:tr>
      <w:tr>
        <w:tc>
          <w:tcPr>
            <w:tcW w:type="dxa" w:w="2880"/>
          </w:tcPr>
          <w:p>
            <w:r>
              <w:t>GRI (302, 305)</w:t>
            </w:r>
          </w:p>
        </w:tc>
        <w:tc>
          <w:tcPr>
            <w:tcW w:type="dxa" w:w="2880"/>
          </w:tcPr>
          <w:p>
            <w:r>
              <w:t>Energie- en emissiedata</w:t>
            </w:r>
          </w:p>
        </w:tc>
        <w:tc>
          <w:tcPr>
            <w:tcW w:type="dxa" w:w="2880"/>
          </w:tcPr>
          <w:p>
            <w:r>
              <w:t>Energiemonitoring, CO₂-log</w:t>
            </w:r>
          </w:p>
        </w:tc>
      </w:tr>
      <w:tr>
        <w:tc>
          <w:tcPr>
            <w:tcW w:type="dxa" w:w="2880"/>
          </w:tcPr>
          <w:p>
            <w:r>
              <w:t>LEED</w:t>
            </w:r>
          </w:p>
        </w:tc>
        <w:tc>
          <w:tcPr>
            <w:tcW w:type="dxa" w:w="2880"/>
          </w:tcPr>
          <w:p>
            <w:r>
              <w:t>Luchtkwaliteit, verlichting, UX</w:t>
            </w:r>
          </w:p>
        </w:tc>
        <w:tc>
          <w:tcPr>
            <w:tcW w:type="dxa" w:w="2880"/>
          </w:tcPr>
          <w:p>
            <w:r>
              <w:t>Lambda UI + automatische aanpassing</w:t>
            </w:r>
          </w:p>
        </w:tc>
      </w:tr>
      <w:tr>
        <w:tc>
          <w:tcPr>
            <w:tcW w:type="dxa" w:w="2880"/>
          </w:tcPr>
          <w:p>
            <w:r>
              <w:t>ISO 50001</w:t>
            </w:r>
          </w:p>
        </w:tc>
        <w:tc>
          <w:tcPr>
            <w:tcW w:type="dxa" w:w="2880"/>
          </w:tcPr>
          <w:p>
            <w:r>
              <w:t>Energiesturing per zone</w:t>
            </w:r>
          </w:p>
        </w:tc>
        <w:tc>
          <w:tcPr>
            <w:tcW w:type="dxa" w:w="2880"/>
          </w:tcPr>
          <w:p>
            <w:r>
              <w:t>Monitoring + Pulse-optimalisatie</w:t>
            </w:r>
          </w:p>
        </w:tc>
      </w:tr>
      <w:tr>
        <w:tc>
          <w:tcPr>
            <w:tcW w:type="dxa" w:w="2880"/>
          </w:tcPr>
          <w:p>
            <w:r>
              <w:t>SBTi</w:t>
            </w:r>
          </w:p>
        </w:tc>
        <w:tc>
          <w:tcPr>
            <w:tcW w:type="dxa" w:w="2880"/>
          </w:tcPr>
          <w:p>
            <w:r>
              <w:t>CO₂-besparing</w:t>
            </w:r>
          </w:p>
        </w:tc>
        <w:tc>
          <w:tcPr>
            <w:tcW w:type="dxa" w:w="2880"/>
          </w:tcPr>
          <w:p>
            <w:r>
              <w:t>Pulse + gedragsprofilering</w:t>
            </w:r>
          </w:p>
        </w:tc>
      </w:tr>
    </w:tbl>
    <w:p>
      <w:pPr>
        <w:pStyle w:val="Heading1"/>
      </w:pPr>
      <w:r>
        <w:t>4. Voordelen voor partners en rapportering</w:t>
      </w:r>
    </w:p>
    <w:p>
      <w:r>
        <w:t>- Minder manueel werk: automatisch gelogde data</w:t>
        <w:br/>
        <w:t>- Betere ESG-score door realtime optimalisatie</w:t>
        <w:br/>
        <w:t>- Eén systeem voor comfort, gedrag én duurzaamheid</w:t>
        <w:br/>
        <w:t>- Klaar voor audits en vereenvoudigde rapportering vanaf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Helvetica" w:hAnsi="Helvetica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