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Master’s</w:t>
      </w:r>
      <w:r>
        <w:t xml:space="preserve"> </w:t>
      </w:r>
      <w:r>
        <w:t xml:space="preserve">in</w:t>
      </w:r>
      <w:r>
        <w:t xml:space="preserve"> </w:t>
      </w:r>
      <w:r>
        <w:t xml:space="preserve">Latin</w:t>
      </w:r>
      <w:r>
        <w:t xml:space="preserve"> </w:t>
      </w:r>
      <w:r>
        <w:t xml:space="preserve">American,</w:t>
      </w:r>
      <w:r>
        <w:t xml:space="preserve"> </w:t>
      </w:r>
      <w:r>
        <w:t xml:space="preserve">Caribbean</w:t>
      </w:r>
      <w:r>
        <w:t xml:space="preserve"> </w:t>
      </w:r>
      <w:r>
        <w:t xml:space="preserve">and</w:t>
      </w:r>
      <w:r>
        <w:t xml:space="preserve"> </w:t>
      </w:r>
      <w:r>
        <w:t xml:space="preserve">Iberian</w:t>
      </w:r>
      <w:r>
        <w:t xml:space="preserve"> </w:t>
      </w:r>
      <w:r>
        <w:t xml:space="preserve">Studies</w:t>
      </w:r>
    </w:p>
    <w:p>
      <w:pPr>
        <w:pStyle w:val="Author"/>
      </w:pPr>
      <w:r>
        <w:t xml:space="preserve">Álvaro</w:t>
      </w:r>
      <w:r>
        <w:t xml:space="preserve"> </w:t>
      </w:r>
      <w:r>
        <w:t xml:space="preserve">C.</w:t>
      </w:r>
    </w:p>
    <w:p>
      <w:pPr>
        <w:pStyle w:val="Date"/>
      </w:pPr>
      <w:r>
        <w:t xml:space="preserve">2023-07-23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riting-recordatory"/>
    <w:p>
      <w:pPr>
        <w:pStyle w:val="Heading1"/>
      </w:pPr>
      <w:r>
        <w:rPr>
          <w:rStyle w:val="SectionNumber"/>
        </w:rPr>
        <w:t xml:space="preserve">1</w:t>
      </w:r>
      <w:r>
        <w:tab/>
      </w:r>
      <w:r>
        <w:t xml:space="preserve">Writing recordatory</w:t>
      </w:r>
    </w:p>
    <w:p>
      <w:pPr>
        <w:numPr>
          <w:ilvl w:val="0"/>
          <w:numId w:val="1001"/>
        </w:numPr>
        <w:pStyle w:val="Compact"/>
      </w:pPr>
      <w:r>
        <w:t xml:space="preserve">Paragrpah main idea</w:t>
      </w:r>
    </w:p>
    <w:p>
      <w:pPr>
        <w:numPr>
          <w:ilvl w:val="0"/>
          <w:numId w:val="1001"/>
        </w:numPr>
        <w:pStyle w:val="Compact"/>
      </w:pPr>
      <w:r>
        <w:t xml:space="preserve">Examples</w:t>
      </w:r>
    </w:p>
    <w:p>
      <w:pPr>
        <w:numPr>
          <w:ilvl w:val="0"/>
          <w:numId w:val="1001"/>
        </w:numPr>
        <w:pStyle w:val="Compact"/>
      </w:pPr>
      <w:r>
        <w:t xml:space="preserve">Sum</w:t>
      </w:r>
    </w:p>
    <w:bookmarkEnd w:id="20"/>
    <w:bookmarkStart w:id="21" w:name="introduction"/>
    <w:p>
      <w:pPr>
        <w:pStyle w:val="Heading1"/>
      </w:pPr>
      <w:r>
        <w:rPr>
          <w:rStyle w:val="SectionNumber"/>
        </w:rPr>
        <w:t xml:space="preserve">2</w:t>
      </w:r>
      <w:r>
        <w:tab/>
      </w:r>
      <w:r>
        <w:t xml:space="preserve">Introduction</w:t>
      </w:r>
    </w:p>
    <w:p>
      <w:pPr>
        <w:pStyle w:val="FirstParagraph"/>
      </w:pPr>
      <w:r>
        <w:t xml:space="preserve">Social movement studies have a long-standing tradition of studying conflict, social change, and what some scholars contentious politics</w:t>
      </w:r>
      <w:r>
        <w:t xml:space="preserve"> </w:t>
      </w:r>
      <w:r>
        <w:t xml:space="preserve">(</w:t>
      </w:r>
      <w:hyperlink w:anchor="ref-mcadam2004">
        <w:r>
          <w:rPr>
            <w:rStyle w:val="Hyperlink"/>
          </w:rPr>
          <w:t xml:space="preserve">McAdam et al., 2004</w:t>
        </w:r>
      </w:hyperlink>
      <w:r>
        <w:t xml:space="preserve">)</w:t>
      </w:r>
      <w:r>
        <w:t xml:space="preserve">.</w:t>
      </w:r>
    </w:p>
    <w:p>
      <w:pPr>
        <w:pStyle w:val="BodyText"/>
      </w:pPr>
      <w:r>
        <w:t xml:space="preserve">However, with the recent protests located in the Global North have shown that</w:t>
      </w:r>
    </w:p>
    <w:bookmarkEnd w:id="21"/>
    <w:bookmarkStart w:id="25" w:name="social-movements-capitalism-and-class"/>
    <w:p>
      <w:pPr>
        <w:pStyle w:val="Heading1"/>
      </w:pPr>
      <w:r>
        <w:rPr>
          <w:rStyle w:val="SectionNumber"/>
        </w:rPr>
        <w:t xml:space="preserve">3</w:t>
      </w:r>
      <w:r>
        <w:tab/>
      </w:r>
      <w:r>
        <w:t xml:space="preserve">Social Movements, Capitalism, and Class</w:t>
      </w:r>
    </w:p>
    <w:bookmarkStart w:id="22" w:name="social-movement-classic-research-agenda"/>
    <w:p>
      <w:pPr>
        <w:pStyle w:val="Heading2"/>
      </w:pPr>
      <w:r>
        <w:rPr>
          <w:rStyle w:val="SectionNumber"/>
        </w:rPr>
        <w:t xml:space="preserve">3.1</w:t>
      </w:r>
      <w:r>
        <w:tab/>
      </w:r>
      <w:r>
        <w:t xml:space="preserve">Social Movement classic research agenda</w:t>
      </w:r>
    </w:p>
    <w:p>
      <w:pPr>
        <w:pStyle w:val="FirstParagraph"/>
      </w:pPr>
      <w:r>
        <w:t xml:space="preserve">(</w:t>
      </w:r>
      <w:hyperlink w:anchor="ref-tarrow1996">
        <w:r>
          <w:rPr>
            <w:rStyle w:val="Hyperlink"/>
          </w:rPr>
          <w:t xml:space="preserve">Tarrow, 1996</w:t>
        </w:r>
      </w:hyperlink>
      <w:r>
        <w:t xml:space="preserve">)</w:t>
      </w:r>
    </w:p>
    <w:p>
      <w:pPr>
        <w:pStyle w:val="BodyText"/>
      </w:pPr>
      <w:r>
        <w:t xml:space="preserve">(</w:t>
      </w:r>
      <w:hyperlink w:anchor="ref-mcadam1999">
        <w:r>
          <w:rPr>
            <w:rStyle w:val="Hyperlink"/>
          </w:rPr>
          <w:t xml:space="preserve">McAdam, 1999</w:t>
        </w:r>
      </w:hyperlink>
      <w:r>
        <w:t xml:space="preserve">)</w:t>
      </w:r>
    </w:p>
    <w:p>
      <w:pPr>
        <w:pStyle w:val="BodyText"/>
      </w:pPr>
      <w:r>
        <w:t xml:space="preserve">(</w:t>
      </w:r>
      <w:hyperlink w:anchor="ref-mcadam2004">
        <w:r>
          <w:rPr>
            <w:rStyle w:val="Hyperlink"/>
          </w:rPr>
          <w:t xml:space="preserve">McAdam et al., 2004</w:t>
        </w:r>
      </w:hyperlink>
      <w:r>
        <w:t xml:space="preserve">)</w:t>
      </w:r>
    </w:p>
    <w:p>
      <w:pPr>
        <w:pStyle w:val="BodyText"/>
      </w:pPr>
      <w:r>
        <w:t xml:space="preserve">(</w:t>
      </w:r>
      <w:hyperlink w:anchor="ref-gamson1996">
        <w:r>
          <w:rPr>
            <w:rStyle w:val="Hyperlink"/>
          </w:rPr>
          <w:t xml:space="preserve">Gamson et al., 1996</w:t>
        </w:r>
      </w:hyperlink>
      <w:r>
        <w:t xml:space="preserve">)</w:t>
      </w:r>
    </w:p>
    <w:p>
      <w:pPr>
        <w:pStyle w:val="BodyText"/>
      </w:pPr>
      <w:r>
        <w:t xml:space="preserve">(</w:t>
      </w:r>
      <w:hyperlink w:anchor="ref-benford2000">
        <w:r>
          <w:rPr>
            <w:rStyle w:val="Hyperlink"/>
          </w:rPr>
          <w:t xml:space="preserve">Benford &amp; Snow, 2000</w:t>
        </w:r>
      </w:hyperlink>
      <w:r>
        <w:t xml:space="preserve">)</w:t>
      </w:r>
    </w:p>
    <w:p>
      <w:pPr>
        <w:pStyle w:val="BodyText"/>
      </w:pPr>
      <w:r>
        <w:t xml:space="preserve">(</w:t>
      </w:r>
      <w:hyperlink w:anchor="ref-snow1986">
        <w:r>
          <w:rPr>
            <w:rStyle w:val="Hyperlink"/>
          </w:rPr>
          <w:t xml:space="preserve">Snow et al., 1986</w:t>
        </w:r>
      </w:hyperlink>
      <w:r>
        <w:t xml:space="preserve">)</w:t>
      </w:r>
    </w:p>
    <w:p>
      <w:pPr>
        <w:pStyle w:val="BodyText"/>
      </w:pPr>
      <w:r>
        <w:t xml:space="preserve">(</w:t>
      </w:r>
      <w:hyperlink w:anchor="ref-goodwin2001">
        <w:r>
          <w:rPr>
            <w:rStyle w:val="Hyperlink"/>
          </w:rPr>
          <w:t xml:space="preserve">Goodwin et al., 2001</w:t>
        </w:r>
      </w:hyperlink>
      <w:r>
        <w:t xml:space="preserve">)</w:t>
      </w:r>
    </w:p>
    <w:p>
      <w:pPr>
        <w:pStyle w:val="BodyText"/>
      </w:pPr>
      <w:r>
        <w:t xml:space="preserve">(</w:t>
      </w:r>
      <w:hyperlink w:anchor="ref-tarrow2011">
        <w:r>
          <w:rPr>
            <w:rStyle w:val="Hyperlink"/>
          </w:rPr>
          <w:t xml:space="preserve">Tarrow, 2011</w:t>
        </w:r>
      </w:hyperlink>
      <w:r>
        <w:t xml:space="preserve">)</w:t>
      </w:r>
    </w:p>
    <w:bookmarkEnd w:id="22"/>
    <w:bookmarkStart w:id="23" w:name="returning-to-capitalism"/>
    <w:p>
      <w:pPr>
        <w:pStyle w:val="Heading2"/>
      </w:pPr>
      <w:r>
        <w:rPr>
          <w:rStyle w:val="SectionNumber"/>
        </w:rPr>
        <w:t xml:space="preserve">3.2</w:t>
      </w:r>
      <w:r>
        <w:tab/>
      </w:r>
      <w:r>
        <w:t xml:space="preserve">(Re)turning to Capitalism</w:t>
      </w:r>
    </w:p>
    <w:p>
      <w:pPr>
        <w:pStyle w:val="FirstParagraph"/>
      </w:pPr>
      <w:r>
        <w:t xml:space="preserve">(</w:t>
      </w:r>
      <w:hyperlink w:anchor="ref-giugni2016">
        <w:r>
          <w:rPr>
            <w:rStyle w:val="Hyperlink"/>
          </w:rPr>
          <w:t xml:space="preserve">Giugni &amp; Grasso, 2016</w:t>
        </w:r>
      </w:hyperlink>
      <w:r>
        <w:t xml:space="preserve">)</w:t>
      </w:r>
    </w:p>
    <w:p>
      <w:pPr>
        <w:pStyle w:val="BodyText"/>
      </w:pPr>
      <w:r>
        <w:t xml:space="preserve">(</w:t>
      </w:r>
      <w:hyperlink w:anchor="ref-arce2007">
        <w:r>
          <w:rPr>
            <w:rStyle w:val="Hyperlink"/>
          </w:rPr>
          <w:t xml:space="preserve">Arce &amp; Bellinger, 2007</w:t>
        </w:r>
      </w:hyperlink>
      <w:r>
        <w:t xml:space="preserve">;</w:t>
      </w:r>
      <w:r>
        <w:t xml:space="preserve"> </w:t>
      </w:r>
      <w:hyperlink w:anchor="ref-bellinger2011">
        <w:r>
          <w:rPr>
            <w:rStyle w:val="Hyperlink"/>
          </w:rPr>
          <w:t xml:space="preserve">Bellinger &amp; Arce, 2011</w:t>
        </w:r>
      </w:hyperlink>
      <w:r>
        <w:t xml:space="preserve">)</w:t>
      </w:r>
    </w:p>
    <w:p>
      <w:pPr>
        <w:pStyle w:val="BodyText"/>
      </w:pPr>
      <w:r>
        <w:t xml:space="preserve">(</w:t>
      </w:r>
      <w:hyperlink w:anchor="ref-rossi2022">
        <w:r>
          <w:rPr>
            <w:rStyle w:val="Hyperlink"/>
          </w:rPr>
          <w:t xml:space="preserve">Rossi, 2022</w:t>
        </w:r>
      </w:hyperlink>
      <w:r>
        <w:t xml:space="preserve">)</w:t>
      </w:r>
    </w:p>
    <w:p>
      <w:pPr>
        <w:pStyle w:val="BodyText"/>
      </w:pPr>
      <w:r>
        <w:t xml:space="preserve">(</w:t>
      </w:r>
      <w:hyperlink w:anchor="ref-stanley2013">
        <w:r>
          <w:rPr>
            <w:rStyle w:val="Hyperlink"/>
          </w:rPr>
          <w:t xml:space="preserve">Stanley &amp; Goodwin, 2013</w:t>
        </w:r>
      </w:hyperlink>
      <w:r>
        <w:t xml:space="preserve">)</w:t>
      </w:r>
    </w:p>
    <w:p>
      <w:pPr>
        <w:pStyle w:val="BodyText"/>
      </w:pPr>
      <w:r>
        <w:t xml:space="preserve">(</w:t>
      </w:r>
      <w:hyperlink w:anchor="ref-dellaporta2015a">
        <w:r>
          <w:rPr>
            <w:rStyle w:val="Hyperlink"/>
          </w:rPr>
          <w:t xml:space="preserve">Porta, 2015</w:t>
        </w:r>
      </w:hyperlink>
      <w:r>
        <w:t xml:space="preserve">)</w:t>
      </w:r>
    </w:p>
    <w:p>
      <w:pPr>
        <w:pStyle w:val="BodyText"/>
      </w:pPr>
      <w:r>
        <w:t xml:space="preserve">(</w:t>
      </w:r>
      <w:hyperlink w:anchor="ref-dellaporta2017c">
        <w:r>
          <w:rPr>
            <w:rStyle w:val="Hyperlink"/>
          </w:rPr>
          <w:t xml:space="preserve">Porta, 2017</w:t>
        </w:r>
      </w:hyperlink>
      <w:r>
        <w:t xml:space="preserve">)</w:t>
      </w:r>
    </w:p>
    <w:p>
      <w:pPr>
        <w:pStyle w:val="BodyText"/>
      </w:pPr>
      <w:r>
        <w:t xml:space="preserve">Porta &amp; Portos (</w:t>
      </w:r>
      <w:hyperlink w:anchor="ref-dellaporta2020">
        <w:r>
          <w:rPr>
            <w:rStyle w:val="Hyperlink"/>
          </w:rPr>
          <w:t xml:space="preserve">2020</w:t>
        </w:r>
      </w:hyperlink>
      <w:r>
        <w:t xml:space="preserve">)</w:t>
      </w:r>
    </w:p>
    <w:bookmarkEnd w:id="23"/>
    <w:bookmarkStart w:id="24" w:name="class-and-social-movements"/>
    <w:p>
      <w:pPr>
        <w:pStyle w:val="Heading2"/>
      </w:pPr>
      <w:r>
        <w:rPr>
          <w:rStyle w:val="SectionNumber"/>
        </w:rPr>
        <w:t xml:space="preserve">3.3</w:t>
      </w:r>
      <w:r>
        <w:tab/>
      </w:r>
      <w:r>
        <w:t xml:space="preserve">Class and Social Movements</w:t>
      </w:r>
    </w:p>
    <w:p>
      <w:pPr>
        <w:pStyle w:val="FirstParagraph"/>
      </w:pPr>
      <w:r>
        <w:t xml:space="preserve">(</w:t>
      </w:r>
      <w:hyperlink w:anchor="ref-eder2013">
        <w:r>
          <w:rPr>
            <w:rStyle w:val="Hyperlink"/>
          </w:rPr>
          <w:t xml:space="preserve">Eder, 2013</w:t>
        </w:r>
      </w:hyperlink>
      <w:r>
        <w:t xml:space="preserve">)</w:t>
      </w:r>
    </w:p>
    <w:p>
      <w:pPr>
        <w:pStyle w:val="BodyText"/>
      </w:pPr>
      <w:r>
        <w:t xml:space="preserve">(</w:t>
      </w:r>
      <w:hyperlink w:anchor="ref-eidlin2018">
        <w:r>
          <w:rPr>
            <w:rStyle w:val="Hyperlink"/>
          </w:rPr>
          <w:t xml:space="preserve">Eidlin &amp; Kerrissey, 2018</w:t>
        </w:r>
      </w:hyperlink>
      <w:r>
        <w:t xml:space="preserve">)</w:t>
      </w:r>
    </w:p>
    <w:p>
      <w:pPr>
        <w:pStyle w:val="BodyText"/>
      </w:pPr>
      <w:r>
        <w:t xml:space="preserve">(</w:t>
      </w:r>
      <w:hyperlink w:anchor="ref-hellinger2020">
        <w:r>
          <w:rPr>
            <w:rStyle w:val="Hyperlink"/>
          </w:rPr>
          <w:t xml:space="preserve">Hellinger, 2020</w:t>
        </w:r>
      </w:hyperlink>
      <w:r>
        <w:t xml:space="preserve">)</w:t>
      </w:r>
    </w:p>
    <w:p>
      <w:pPr>
        <w:pStyle w:val="BodyText"/>
      </w:pPr>
      <w:r>
        <w:t xml:space="preserve">(</w:t>
      </w:r>
      <w:hyperlink w:anchor="ref-therborn2012">
        <w:r>
          <w:rPr>
            <w:rStyle w:val="Hyperlink"/>
          </w:rPr>
          <w:t xml:space="preserve">Therborn, 2012</w:t>
        </w:r>
      </w:hyperlink>
      <w:r>
        <w:t xml:space="preserve">)</w:t>
      </w:r>
    </w:p>
    <w:bookmarkEnd w:id="24"/>
    <w:bookmarkEnd w:id="25"/>
    <w:bookmarkStart w:id="32" w:name="methodology"/>
    <w:p>
      <w:pPr>
        <w:pStyle w:val="Heading1"/>
      </w:pPr>
      <w:r>
        <w:rPr>
          <w:rStyle w:val="SectionNumber"/>
        </w:rPr>
        <w:t xml:space="preserve">4</w:t>
      </w:r>
      <w:r>
        <w:tab/>
      </w:r>
      <w:r>
        <w:t xml:space="preserve">Methodology</w:t>
      </w:r>
    </w:p>
    <w:bookmarkStart w:id="30" w:name="data"/>
    <w:p>
      <w:pPr>
        <w:pStyle w:val="Heading2"/>
      </w:pPr>
      <w:r>
        <w:rPr>
          <w:rStyle w:val="SectionNumber"/>
        </w:rPr>
        <w:t xml:space="preserve">4.1</w:t>
      </w:r>
      <w:r>
        <w:tab/>
      </w:r>
      <w:r>
        <w:t xml:space="preserve">Data</w:t>
      </w:r>
    </w:p>
    <w:p>
      <w:pPr>
        <w:pStyle w:val="FirstParagraph"/>
      </w:pPr>
      <w:r>
        <w:t xml:space="preserve">This article uses a quantitative methodology based on the</w:t>
      </w:r>
      <w:r>
        <w:t xml:space="preserve"> </w:t>
      </w:r>
      <w:hyperlink r:id="rId26">
        <w:r>
          <w:rPr>
            <w:rStyle w:val="Hyperlink"/>
          </w:rPr>
          <w:t xml:space="preserve">Social Survey Programme 2014 - Citizenship II (ISSP)</w:t>
        </w:r>
      </w:hyperlink>
      <w:r>
        <w:rPr>
          <w:rStyle w:val="FootnoteReference"/>
        </w:rPr>
        <w:footnoteReference w:id="27"/>
      </w:r>
      <w:r>
        <w:t xml:space="preserve"> </w:t>
      </w:r>
      <w:r>
        <w:t xml:space="preserve">(N = 49.087). This dataset applies a similar</w:t>
      </w:r>
      <w:r>
        <w:rPr>
          <w:rStyle w:val="FootnoteReference"/>
        </w:rPr>
        <w:footnoteReference w:id="28"/>
      </w:r>
      <w:r>
        <w:t xml:space="preserve"> </w:t>
      </w:r>
      <w:r>
        <w:t xml:space="preserve">questionnaire in every country in which it is applied. The sampling procedure differs for each country: in some countries, partly simple random samples were applied, whereas in others, partly multistage stratified random samples. The data was collected in two ways. The first one was through interviews (face-to-face, Computer Assisted Personal interviews, or completed on the telephone) or Self-administered questionnaires (Computer Assisted self-interviews or Computer-Assisted web interviews). The analysis is mostly applied to individuals that are 18 years or more with some exceptions</w:t>
      </w:r>
      <w:r>
        <w:rPr>
          <w:rStyle w:val="FootnoteReference"/>
        </w:rPr>
        <w:footnoteReference w:id="29"/>
      </w:r>
      <w:r>
        <w:t xml:space="preserve">. After processing the dataset, the sample was reduced to 33.582 individuals nested in 34 countries.</w:t>
      </w:r>
    </w:p>
    <w:bookmarkEnd w:id="30"/>
    <w:bookmarkStart w:id="31" w:name="methods"/>
    <w:p>
      <w:pPr>
        <w:pStyle w:val="Heading2"/>
      </w:pPr>
      <w:r>
        <w:rPr>
          <w:rStyle w:val="SectionNumber"/>
        </w:rPr>
        <w:t xml:space="preserve">4.2</w:t>
      </w:r>
      <w:r>
        <w:tab/>
      </w:r>
      <w:r>
        <w:t xml:space="preserve">Methods</w:t>
      </w:r>
    </w:p>
    <w:p>
      <w:pPr>
        <w:pStyle w:val="FirstParagraph"/>
      </w:pPr>
      <w:r>
        <w:t xml:space="preserve">The hypotheses that led this study were tested by calculating OLS. According to</w:t>
      </w:r>
      <w:r>
        <w:t xml:space="preserve"> </w:t>
      </w:r>
      <w:r>
        <w:t xml:space="preserve">Huntington-Klein (</w:t>
      </w:r>
      <w:hyperlink w:anchor="ref-huntington-klein2022">
        <w:r>
          <w:rPr>
            <w:rStyle w:val="Hyperlink"/>
          </w:rPr>
          <w:t xml:space="preserve">2022</w:t>
        </w:r>
      </w:hyperlink>
      <w:r>
        <w:t xml:space="preserve">)</w:t>
      </w:r>
      <w:r>
        <w:t xml:space="preserve"> </w:t>
      </w:r>
      <w:r>
        <w:t xml:space="preserve">, Linear regressions are the</w:t>
      </w:r>
      <w:r>
        <w:t xml:space="preserve"> </w:t>
      </w:r>
      <w:r>
        <w:t xml:space="preserve">“</w:t>
      </w:r>
      <w:r>
        <w:rPr>
          <w:iCs/>
          <w:i/>
        </w:rPr>
        <w:t xml:space="preserve">best linear approximation of the relationship</w:t>
      </w:r>
      <w:r>
        <w:t xml:space="preserve">”</w:t>
      </w:r>
      <w:r>
        <w:t xml:space="preserve"> </w:t>
      </w:r>
      <w:r>
        <w:t xml:space="preserve">between two variables.</w:t>
      </w:r>
    </w:p>
    <w:p>
      <w:pPr>
        <w:pStyle w:val="BodyText"/>
      </w:pPr>
      <w:r>
        <w:t xml:space="preserve">As the literature says</w:t>
      </w:r>
      <w:r>
        <w:t xml:space="preserve"> </w:t>
      </w:r>
      <w:r>
        <w:t xml:space="preserve">(</w:t>
      </w:r>
      <w:hyperlink w:anchor="ref-angrist2009">
        <w:r>
          <w:rPr>
            <w:rStyle w:val="Hyperlink"/>
          </w:rPr>
          <w:t xml:space="preserve">Angrist &amp; Pischke, 2009</w:t>
        </w:r>
      </w:hyperlink>
      <w:r>
        <w:t xml:space="preserve">,</w:t>
      </w:r>
      <w:r>
        <w:t xml:space="preserve"> </w:t>
      </w:r>
      <w:hyperlink w:anchor="ref-angrist2014">
        <w:r>
          <w:rPr>
            <w:rStyle w:val="Hyperlink"/>
          </w:rPr>
          <w:t xml:space="preserve">2014</w:t>
        </w:r>
      </w:hyperlink>
      <w:r>
        <w:t xml:space="preserve">;</w:t>
      </w:r>
      <w:r>
        <w:t xml:space="preserve"> </w:t>
      </w:r>
      <w:hyperlink w:anchor="ref-chatterjee2006">
        <w:r>
          <w:rPr>
            <w:rStyle w:val="Hyperlink"/>
          </w:rPr>
          <w:t xml:space="preserve">Chatterjee &amp; Hadi, 2006</w:t>
        </w:r>
      </w:hyperlink>
      <w:r>
        <w:t xml:space="preserve">;</w:t>
      </w:r>
      <w:r>
        <w:t xml:space="preserve"> </w:t>
      </w:r>
      <w:hyperlink w:anchor="ref-huntington-klein2022">
        <w:r>
          <w:rPr>
            <w:rStyle w:val="Hyperlink"/>
          </w:rPr>
          <w:t xml:space="preserve">Huntington-Klein, 2022</w:t>
        </w:r>
      </w:hyperlink>
      <w:r>
        <w:t xml:space="preserve">)</w:t>
      </w:r>
      <w:r>
        <w:t xml:space="preserve">, Linear Models are appropriate when we seek [….]. In this case, since we are testing the effect that class structure has on the working class participation in collective action activities, other models that provide a better understanding of probability, such as Logistic and Logit, aren’t required. To put it in other words, since we are not measuring the</w:t>
      </w:r>
      <w:r>
        <w:t xml:space="preserve"> </w:t>
      </w:r>
      <w:r>
        <w:rPr>
          <w:iCs/>
          <w:i/>
        </w:rPr>
        <w:t xml:space="preserve">probability</w:t>
      </w:r>
      <w:r>
        <w:t xml:space="preserve"> </w:t>
      </w:r>
      <w:r>
        <w:t xml:space="preserve">that the working class has to undertake collective action activities but the</w:t>
      </w:r>
      <w:r>
        <w:t xml:space="preserve"> </w:t>
      </w:r>
      <w:r>
        <w:rPr>
          <w:iCs/>
          <w:i/>
        </w:rPr>
        <w:t xml:space="preserve">influence</w:t>
      </w:r>
      <w:r>
        <w:t xml:space="preserve"> </w:t>
      </w:r>
      <w:r>
        <w:t xml:space="preserve">that class structure itself has on</w:t>
      </w:r>
    </w:p>
    <w:bookmarkEnd w:id="31"/>
    <w:bookmarkEnd w:id="32"/>
    <w:bookmarkStart w:id="35" w:name="analysis"/>
    <w:p>
      <w:pPr>
        <w:pStyle w:val="Heading1"/>
      </w:pPr>
      <w:r>
        <w:rPr>
          <w:rStyle w:val="SectionNumber"/>
        </w:rPr>
        <w:t xml:space="preserve">5</w:t>
      </w:r>
      <w:r>
        <w:tab/>
      </w:r>
      <w:r>
        <w:t xml:space="preserve">Analysis</w:t>
      </w:r>
    </w:p>
    <w:p>
      <w:pPr>
        <w:pStyle w:val="FirstParagraph"/>
      </w:pPr>
      <w:r>
        <w:t xml:space="preserve">1</w:t>
      </w:r>
    </w:p>
    <w:bookmarkStart w:id="33" w:name="descriptives"/>
    <w:p>
      <w:pPr>
        <w:pStyle w:val="Heading2"/>
      </w:pPr>
      <w:r>
        <w:rPr>
          <w:rStyle w:val="SectionNumber"/>
        </w:rPr>
        <w:t xml:space="preserve">5.1</w:t>
      </w:r>
      <w:r>
        <w:tab/>
      </w:r>
      <w:r>
        <w:t xml:space="preserve">Descriptives</w:t>
      </w:r>
    </w:p>
    <w:p>
      <w:pPr>
        <w:pStyle w:val="FirstParagraph"/>
      </w:pPr>
      <w:r>
        <w:t xml:space="preserve">1</w:t>
      </w:r>
    </w:p>
    <w:bookmarkEnd w:id="33"/>
    <w:bookmarkStart w:id="34" w:name="models"/>
    <w:p>
      <w:pPr>
        <w:pStyle w:val="Heading2"/>
      </w:pPr>
      <w:r>
        <w:rPr>
          <w:rStyle w:val="SectionNumber"/>
        </w:rPr>
        <w:t xml:space="preserve">5.2</w:t>
      </w:r>
      <w:r>
        <w:tab/>
      </w:r>
      <w:r>
        <w:t xml:space="preserve">Models</w:t>
      </w:r>
    </w:p>
    <w:p>
      <w:pPr>
        <w:pStyle w:val="FirstParagraph"/>
      </w:pPr>
      <w:r>
        <w:t xml:space="preserve">ACC</w:t>
      </w:r>
    </w:p>
    <w:p>
      <w:pPr>
        <w:pStyle w:val="BodyText"/>
      </w:pPr>
      <w:r>
        <w:t xml:space="preserve">Pequeño empleador</w:t>
      </w:r>
    </w:p>
    <w:p>
      <w:pPr>
        <w:pStyle w:val="BodyText"/>
      </w:pPr>
      <w:r>
        <w:t xml:space="preserve">-0.096</w:t>
      </w:r>
    </w:p>
    <w:p>
      <w:pPr>
        <w:pStyle w:val="BodyText"/>
      </w:pPr>
      <w:r>
        <w:t xml:space="preserve">-0.007</w:t>
      </w:r>
    </w:p>
    <w:p>
      <w:pPr>
        <w:pStyle w:val="BodyText"/>
      </w:pPr>
      <w:r>
        <w:t xml:space="preserve">-0.053</w:t>
      </w:r>
    </w:p>
    <w:p>
      <w:pPr>
        <w:pStyle w:val="BodyText"/>
      </w:pPr>
      <w:r>
        <w:t xml:space="preserve">-0.072</w:t>
      </w:r>
    </w:p>
    <w:p>
      <w:pPr>
        <w:pStyle w:val="BodyText"/>
      </w:pPr>
      <w:r>
        <w:t xml:space="preserve">(0.082)</w:t>
      </w:r>
    </w:p>
    <w:p>
      <w:pPr>
        <w:pStyle w:val="BodyText"/>
      </w:pPr>
      <w:r>
        <w:t xml:space="preserve">(0.084)</w:t>
      </w:r>
    </w:p>
    <w:p>
      <w:pPr>
        <w:pStyle w:val="BodyText"/>
      </w:pPr>
      <w:r>
        <w:t xml:space="preserve">(0.088)</w:t>
      </w:r>
    </w:p>
    <w:p>
      <w:pPr>
        <w:pStyle w:val="BodyText"/>
      </w:pPr>
      <w:r>
        <w:t xml:space="preserve">(0.088)</w:t>
      </w:r>
    </w:p>
    <w:p>
      <w:pPr>
        <w:pStyle w:val="BodyText"/>
      </w:pPr>
      <w:r>
        <w:t xml:space="preserve">Pequeña Burguesía</w:t>
      </w:r>
    </w:p>
    <w:p>
      <w:pPr>
        <w:pStyle w:val="BodyText"/>
      </w:pPr>
      <w:r>
        <w:t xml:space="preserve">-0.429</w:t>
      </w:r>
      <w:r>
        <w:t xml:space="preserve">***</w:t>
      </w:r>
    </w:p>
    <w:p>
      <w:pPr>
        <w:pStyle w:val="BodyText"/>
      </w:pPr>
      <w:r>
        <w:t xml:space="preserve">-0.297</w:t>
      </w:r>
      <w:r>
        <w:t xml:space="preserve">***</w:t>
      </w:r>
    </w:p>
    <w:p>
      <w:pPr>
        <w:pStyle w:val="BodyText"/>
      </w:pPr>
      <w:r>
        <w:t xml:space="preserve">-0.324</w:t>
      </w:r>
      <w:r>
        <w:t xml:space="preserve">***</w:t>
      </w:r>
    </w:p>
    <w:p>
      <w:pPr>
        <w:pStyle w:val="BodyText"/>
      </w:pPr>
      <w:r>
        <w:t xml:space="preserve">-0.367</w:t>
      </w:r>
      <w:r>
        <w:t xml:space="preserve">***</w:t>
      </w:r>
    </w:p>
    <w:p>
      <w:pPr>
        <w:pStyle w:val="BodyText"/>
      </w:pPr>
      <w:r>
        <w:t xml:space="preserve">(0.074)</w:t>
      </w:r>
    </w:p>
    <w:p>
      <w:pPr>
        <w:pStyle w:val="BodyText"/>
      </w:pPr>
      <w:r>
        <w:t xml:space="preserve">(0.077)</w:t>
      </w:r>
    </w:p>
    <w:p>
      <w:pPr>
        <w:pStyle w:val="BodyText"/>
      </w:pPr>
      <w:r>
        <w:t xml:space="preserve">(0.080)</w:t>
      </w:r>
    </w:p>
    <w:p>
      <w:pPr>
        <w:pStyle w:val="BodyText"/>
      </w:pPr>
      <w:r>
        <w:t xml:space="preserve">(0.080)</w:t>
      </w:r>
    </w:p>
    <w:p>
      <w:pPr>
        <w:pStyle w:val="BodyText"/>
      </w:pPr>
      <w:r>
        <w:t xml:space="preserve">Directivo/Supervisor Experto</w:t>
      </w:r>
    </w:p>
    <w:p>
      <w:pPr>
        <w:pStyle w:val="BodyText"/>
      </w:pPr>
      <w:r>
        <w:t xml:space="preserve">0.543</w:t>
      </w:r>
      <w:r>
        <w:t xml:space="preserve">***</w:t>
      </w:r>
    </w:p>
    <w:p>
      <w:pPr>
        <w:pStyle w:val="BodyText"/>
      </w:pPr>
      <w:r>
        <w:t xml:space="preserve">0.553</w:t>
      </w:r>
      <w:r>
        <w:t xml:space="preserve">***</w:t>
      </w:r>
    </w:p>
    <w:p>
      <w:pPr>
        <w:pStyle w:val="BodyText"/>
      </w:pPr>
      <w:r>
        <w:t xml:space="preserve">0.418</w:t>
      </w:r>
      <w:r>
        <w:t xml:space="preserve">***</w:t>
      </w:r>
    </w:p>
    <w:p>
      <w:pPr>
        <w:pStyle w:val="BodyText"/>
      </w:pPr>
      <w:r>
        <w:t xml:space="preserve">0.377</w:t>
      </w:r>
      <w:r>
        <w:t xml:space="preserve">***</w:t>
      </w:r>
    </w:p>
    <w:p>
      <w:pPr>
        <w:pStyle w:val="BodyText"/>
      </w:pPr>
      <w:r>
        <w:t xml:space="preserve">(0.076)</w:t>
      </w:r>
    </w:p>
    <w:p>
      <w:pPr>
        <w:pStyle w:val="BodyText"/>
      </w:pPr>
      <w:r>
        <w:t xml:space="preserve">(0.079)</w:t>
      </w:r>
    </w:p>
    <w:p>
      <w:pPr>
        <w:pStyle w:val="BodyText"/>
      </w:pPr>
      <w:r>
        <w:t xml:space="preserve">(0.082)</w:t>
      </w:r>
    </w:p>
    <w:p>
      <w:pPr>
        <w:pStyle w:val="BodyText"/>
      </w:pPr>
      <w:r>
        <w:t xml:space="preserve">(0.082)</w:t>
      </w:r>
    </w:p>
    <w:p>
      <w:pPr>
        <w:pStyle w:val="BodyText"/>
      </w:pPr>
      <w:r>
        <w:t xml:space="preserve">Experto no directivo</w:t>
      </w:r>
    </w:p>
    <w:p>
      <w:pPr>
        <w:pStyle w:val="BodyText"/>
      </w:pPr>
      <w:r>
        <w:t xml:space="preserve">0.461</w:t>
      </w:r>
      <w:r>
        <w:t xml:space="preserve">***</w:t>
      </w:r>
    </w:p>
    <w:p>
      <w:pPr>
        <w:pStyle w:val="BodyText"/>
      </w:pPr>
      <w:r>
        <w:t xml:space="preserve">0.512</w:t>
      </w:r>
      <w:r>
        <w:t xml:space="preserve">***</w:t>
      </w:r>
    </w:p>
    <w:p>
      <w:pPr>
        <w:pStyle w:val="BodyText"/>
      </w:pPr>
      <w:r>
        <w:t xml:space="preserve">0.382</w:t>
      </w:r>
      <w:r>
        <w:t xml:space="preserve">***</w:t>
      </w:r>
    </w:p>
    <w:p>
      <w:pPr>
        <w:pStyle w:val="BodyText"/>
      </w:pPr>
      <w:r>
        <w:t xml:space="preserve">0.306</w:t>
      </w:r>
      <w:r>
        <w:t xml:space="preserve">***</w:t>
      </w:r>
    </w:p>
    <w:p>
      <w:pPr>
        <w:pStyle w:val="BodyText"/>
      </w:pPr>
      <w:r>
        <w:t xml:space="preserve">(0.075)</w:t>
      </w:r>
    </w:p>
    <w:p>
      <w:pPr>
        <w:pStyle w:val="BodyText"/>
      </w:pPr>
      <w:r>
        <w:t xml:space="preserve">(0.078)</w:t>
      </w:r>
    </w:p>
    <w:p>
      <w:pPr>
        <w:pStyle w:val="BodyText"/>
      </w:pPr>
      <w:r>
        <w:t xml:space="preserve">(0.081)</w:t>
      </w:r>
    </w:p>
    <w:p>
      <w:pPr>
        <w:pStyle w:val="BodyText"/>
      </w:pPr>
      <w:r>
        <w:t xml:space="preserve">(0.081)</w:t>
      </w:r>
    </w:p>
    <w:p>
      <w:pPr>
        <w:pStyle w:val="BodyText"/>
      </w:pPr>
      <w:r>
        <w:t xml:space="preserve">Directivo/Supervisor semi-credencializado</w:t>
      </w:r>
    </w:p>
    <w:p>
      <w:pPr>
        <w:pStyle w:val="BodyText"/>
      </w:pPr>
      <w:r>
        <w:t xml:space="preserve">0.064</w:t>
      </w:r>
    </w:p>
    <w:p>
      <w:pPr>
        <w:pStyle w:val="BodyText"/>
      </w:pPr>
      <w:r>
        <w:t xml:space="preserve">0.155</w:t>
      </w:r>
      <w:r>
        <w:t xml:space="preserve">*</w:t>
      </w:r>
    </w:p>
    <w:p>
      <w:pPr>
        <w:pStyle w:val="BodyText"/>
      </w:pPr>
      <w:r>
        <w:t xml:space="preserve">0.055</w:t>
      </w:r>
    </w:p>
    <w:p>
      <w:pPr>
        <w:pStyle w:val="BodyText"/>
      </w:pPr>
      <w:r>
        <w:t xml:space="preserve">0.023</w:t>
      </w:r>
    </w:p>
    <w:p>
      <w:pPr>
        <w:pStyle w:val="BodyText"/>
      </w:pPr>
      <w:r>
        <w:t xml:space="preserve">(0.078)</w:t>
      </w:r>
    </w:p>
    <w:p>
      <w:pPr>
        <w:pStyle w:val="BodyText"/>
      </w:pPr>
      <w:r>
        <w:t xml:space="preserve">(0.080)</w:t>
      </w:r>
    </w:p>
    <w:p>
      <w:pPr>
        <w:pStyle w:val="BodyText"/>
      </w:pPr>
      <w:r>
        <w:t xml:space="preserve">(0.084)</w:t>
      </w:r>
    </w:p>
    <w:p>
      <w:pPr>
        <w:pStyle w:val="BodyText"/>
      </w:pPr>
      <w:r>
        <w:t xml:space="preserve">(0.084)</w:t>
      </w:r>
    </w:p>
    <w:p>
      <w:pPr>
        <w:pStyle w:val="BodyText"/>
      </w:pPr>
      <w:r>
        <w:t xml:space="preserve">Obrero semi-credencializado</w:t>
      </w:r>
    </w:p>
    <w:p>
      <w:pPr>
        <w:pStyle w:val="BodyText"/>
      </w:pPr>
      <w:r>
        <w:t xml:space="preserve">-0.264</w:t>
      </w:r>
      <w:r>
        <w:t xml:space="preserve">***</w:t>
      </w:r>
    </w:p>
    <w:p>
      <w:pPr>
        <w:pStyle w:val="BodyText"/>
      </w:pPr>
      <w:r>
        <w:t xml:space="preserve">-0.126</w:t>
      </w:r>
    </w:p>
    <w:p>
      <w:pPr>
        <w:pStyle w:val="BodyText"/>
      </w:pPr>
      <w:r>
        <w:t xml:space="preserve">-0.171</w:t>
      </w:r>
      <w:r>
        <w:t xml:space="preserve">**</w:t>
      </w:r>
    </w:p>
    <w:p>
      <w:pPr>
        <w:pStyle w:val="BodyText"/>
      </w:pPr>
      <w:r>
        <w:t xml:space="preserve">-0.229</w:t>
      </w:r>
      <w:r>
        <w:t xml:space="preserve">***</w:t>
      </w:r>
    </w:p>
    <w:p>
      <w:pPr>
        <w:pStyle w:val="BodyText"/>
      </w:pPr>
      <w:r>
        <w:t xml:space="preserve">(0.075)</w:t>
      </w:r>
    </w:p>
    <w:p>
      <w:pPr>
        <w:pStyle w:val="BodyText"/>
      </w:pPr>
      <w:r>
        <w:t xml:space="preserve">(0.077)</w:t>
      </w:r>
    </w:p>
    <w:p>
      <w:pPr>
        <w:pStyle w:val="BodyText"/>
      </w:pPr>
      <w:r>
        <w:t xml:space="preserve">(0.081)</w:t>
      </w:r>
    </w:p>
    <w:p>
      <w:pPr>
        <w:pStyle w:val="BodyText"/>
      </w:pPr>
      <w:r>
        <w:t xml:space="preserve">(0.081)</w:t>
      </w:r>
    </w:p>
    <w:p>
      <w:pPr>
        <w:pStyle w:val="BodyText"/>
      </w:pPr>
      <w:r>
        <w:t xml:space="preserve">Directivo/Supervisor no credencializado</w:t>
      </w:r>
    </w:p>
    <w:p>
      <w:pPr>
        <w:pStyle w:val="BodyText"/>
      </w:pPr>
      <w:r>
        <w:t xml:space="preserve">-0.210</w:t>
      </w:r>
      <w:r>
        <w:t xml:space="preserve">***</w:t>
      </w:r>
    </w:p>
    <w:p>
      <w:pPr>
        <w:pStyle w:val="BodyText"/>
      </w:pPr>
      <w:r>
        <w:t xml:space="preserve">-0.068</w:t>
      </w:r>
    </w:p>
    <w:p>
      <w:pPr>
        <w:pStyle w:val="BodyText"/>
      </w:pPr>
      <w:r>
        <w:t xml:space="preserve">-0.164</w:t>
      </w:r>
      <w:r>
        <w:t xml:space="preserve">**</w:t>
      </w:r>
    </w:p>
    <w:p>
      <w:pPr>
        <w:pStyle w:val="BodyText"/>
      </w:pPr>
      <w:r>
        <w:t xml:space="preserve">-0.204</w:t>
      </w:r>
      <w:r>
        <w:t xml:space="preserve">**</w:t>
      </w:r>
    </w:p>
    <w:p>
      <w:pPr>
        <w:pStyle w:val="BodyText"/>
      </w:pPr>
      <w:r>
        <w:t xml:space="preserve">(0.076)</w:t>
      </w:r>
    </w:p>
    <w:p>
      <w:pPr>
        <w:pStyle w:val="BodyText"/>
      </w:pPr>
      <w:r>
        <w:t xml:space="preserve">(0.079)</w:t>
      </w:r>
    </w:p>
    <w:p>
      <w:pPr>
        <w:pStyle w:val="BodyText"/>
      </w:pPr>
      <w:r>
        <w:t xml:space="preserve">(0.082)</w:t>
      </w:r>
    </w:p>
    <w:p>
      <w:pPr>
        <w:pStyle w:val="BodyText"/>
      </w:pPr>
      <w:r>
        <w:t xml:space="preserve">(0.082)</w:t>
      </w:r>
    </w:p>
    <w:p>
      <w:pPr>
        <w:pStyle w:val="BodyText"/>
      </w:pPr>
      <w:r>
        <w:t xml:space="preserve">Proletario tradicional</w:t>
      </w:r>
    </w:p>
    <w:p>
      <w:pPr>
        <w:pStyle w:val="BodyText"/>
      </w:pPr>
      <w:r>
        <w:t xml:space="preserve">-0.604</w:t>
      </w:r>
      <w:r>
        <w:t xml:space="preserve">***</w:t>
      </w:r>
    </w:p>
    <w:p>
      <w:pPr>
        <w:pStyle w:val="BodyText"/>
      </w:pPr>
      <w:r>
        <w:t xml:space="preserve">-0.416</w:t>
      </w:r>
      <w:r>
        <w:t xml:space="preserve">***</w:t>
      </w:r>
    </w:p>
    <w:p>
      <w:pPr>
        <w:pStyle w:val="BodyText"/>
      </w:pPr>
      <w:r>
        <w:t xml:space="preserve">-0.482</w:t>
      </w:r>
      <w:r>
        <w:t xml:space="preserve">***</w:t>
      </w:r>
    </w:p>
    <w:p>
      <w:pPr>
        <w:pStyle w:val="BodyText"/>
      </w:pPr>
      <w:r>
        <w:t xml:space="preserve">-0.549</w:t>
      </w:r>
      <w:r>
        <w:t xml:space="preserve">***</w:t>
      </w:r>
    </w:p>
    <w:p>
      <w:pPr>
        <w:pStyle w:val="BodyText"/>
      </w:pPr>
      <w:r>
        <w:t xml:space="preserve">(0.073)</w:t>
      </w:r>
    </w:p>
    <w:p>
      <w:pPr>
        <w:pStyle w:val="BodyText"/>
      </w:pPr>
      <w:r>
        <w:t xml:space="preserve">(0.075)</w:t>
      </w:r>
    </w:p>
    <w:p>
      <w:pPr>
        <w:pStyle w:val="BodyText"/>
      </w:pPr>
      <w:r>
        <w:t xml:space="preserve">(0.079)</w:t>
      </w:r>
    </w:p>
    <w:p>
      <w:pPr>
        <w:pStyle w:val="BodyText"/>
      </w:pPr>
      <w:r>
        <w:t xml:space="preserve">(0.079)</w:t>
      </w:r>
    </w:p>
    <w:p>
      <w:pPr>
        <w:pStyle w:val="BodyText"/>
      </w:pPr>
      <w:r>
        <w:t xml:space="preserve">Clase Subjetiva Media</w:t>
      </w:r>
    </w:p>
    <w:p>
      <w:pPr>
        <w:pStyle w:val="BodyText"/>
      </w:pPr>
      <w:r>
        <w:t xml:space="preserve">-0.293</w:t>
      </w:r>
      <w:r>
        <w:t xml:space="preserve">***</w:t>
      </w:r>
    </w:p>
    <w:p>
      <w:pPr>
        <w:pStyle w:val="BodyText"/>
      </w:pPr>
      <w:r>
        <w:t xml:space="preserve">-0.265</w:t>
      </w:r>
      <w:r>
        <w:t xml:space="preserve">***</w:t>
      </w:r>
    </w:p>
    <w:p>
      <w:pPr>
        <w:pStyle w:val="BodyText"/>
      </w:pPr>
      <w:r>
        <w:t xml:space="preserve">-0.263</w:t>
      </w:r>
      <w:r>
        <w:t xml:space="preserve">***</w:t>
      </w:r>
    </w:p>
    <w:p>
      <w:pPr>
        <w:pStyle w:val="BodyText"/>
      </w:pPr>
      <w:r>
        <w:t xml:space="preserve">(0.017)</w:t>
      </w:r>
    </w:p>
    <w:p>
      <w:pPr>
        <w:pStyle w:val="BodyText"/>
      </w:pPr>
      <w:r>
        <w:t xml:space="preserve">(0.018)</w:t>
      </w:r>
    </w:p>
    <w:p>
      <w:pPr>
        <w:pStyle w:val="BodyText"/>
      </w:pPr>
      <w:r>
        <w:t xml:space="preserve">(0.018)</w:t>
      </w:r>
    </w:p>
    <w:p>
      <w:pPr>
        <w:pStyle w:val="BodyText"/>
      </w:pPr>
      <w:r>
        <w:t xml:space="preserve">Clase Subjetiva Baja</w:t>
      </w:r>
    </w:p>
    <w:p>
      <w:pPr>
        <w:pStyle w:val="BodyText"/>
      </w:pPr>
      <w:r>
        <w:t xml:space="preserve">-0.484</w:t>
      </w:r>
      <w:r>
        <w:t xml:space="preserve">***</w:t>
      </w:r>
    </w:p>
    <w:p>
      <w:pPr>
        <w:pStyle w:val="BodyText"/>
      </w:pPr>
      <w:r>
        <w:t xml:space="preserve">-0.475</w:t>
      </w:r>
      <w:r>
        <w:t xml:space="preserve">***</w:t>
      </w:r>
    </w:p>
    <w:p>
      <w:pPr>
        <w:pStyle w:val="BodyText"/>
      </w:pPr>
      <w:r>
        <w:t xml:space="preserve">-0.466</w:t>
      </w:r>
      <w:r>
        <w:t xml:space="preserve">***</w:t>
      </w:r>
    </w:p>
    <w:p>
      <w:pPr>
        <w:pStyle w:val="BodyText"/>
      </w:pPr>
      <w:r>
        <w:t xml:space="preserve">(0.020)</w:t>
      </w:r>
    </w:p>
    <w:p>
      <w:pPr>
        <w:pStyle w:val="BodyText"/>
      </w:pPr>
      <w:r>
        <w:t xml:space="preserve">(0.022)</w:t>
      </w:r>
    </w:p>
    <w:p>
      <w:pPr>
        <w:pStyle w:val="BodyText"/>
      </w:pPr>
      <w:r>
        <w:t xml:space="preserve">(0.022)</w:t>
      </w:r>
    </w:p>
    <w:p>
      <w:pPr>
        <w:pStyle w:val="BodyText"/>
      </w:pPr>
      <w:r>
        <w:t xml:space="preserve">Centro</w:t>
      </w:r>
    </w:p>
    <w:p>
      <w:pPr>
        <w:pStyle w:val="BodyText"/>
      </w:pPr>
      <w:r>
        <w:t xml:space="preserve">-0.566</w:t>
      </w:r>
      <w:r>
        <w:t xml:space="preserve">***</w:t>
      </w:r>
    </w:p>
    <w:p>
      <w:pPr>
        <w:pStyle w:val="BodyText"/>
      </w:pPr>
      <w:r>
        <w:t xml:space="preserve">-0.569</w:t>
      </w:r>
      <w:r>
        <w:t xml:space="preserve">***</w:t>
      </w:r>
    </w:p>
    <w:p>
      <w:pPr>
        <w:pStyle w:val="BodyText"/>
      </w:pPr>
      <w:r>
        <w:t xml:space="preserve">(0.020)</w:t>
      </w:r>
    </w:p>
    <w:p>
      <w:pPr>
        <w:pStyle w:val="BodyText"/>
      </w:pPr>
      <w:r>
        <w:t xml:space="preserve">(0.020)</w:t>
      </w:r>
    </w:p>
    <w:p>
      <w:pPr>
        <w:pStyle w:val="BodyText"/>
      </w:pPr>
      <w:r>
        <w:t xml:space="preserve">Derecha</w:t>
      </w:r>
    </w:p>
    <w:p>
      <w:pPr>
        <w:pStyle w:val="BodyText"/>
      </w:pPr>
      <w:r>
        <w:t xml:space="preserve">-0.528</w:t>
      </w:r>
      <w:r>
        <w:t xml:space="preserve">***</w:t>
      </w:r>
    </w:p>
    <w:p>
      <w:pPr>
        <w:pStyle w:val="BodyText"/>
      </w:pPr>
      <w:r>
        <w:t xml:space="preserve">-0.521</w:t>
      </w:r>
      <w:r>
        <w:t xml:space="preserve">***</w:t>
      </w:r>
    </w:p>
    <w:p>
      <w:pPr>
        <w:pStyle w:val="BodyText"/>
      </w:pPr>
      <w:r>
        <w:t xml:space="preserve">(0.018)</w:t>
      </w:r>
    </w:p>
    <w:p>
      <w:pPr>
        <w:pStyle w:val="BodyText"/>
      </w:pPr>
      <w:r>
        <w:t xml:space="preserve">(0.018)</w:t>
      </w:r>
    </w:p>
    <w:p>
      <w:pPr>
        <w:pStyle w:val="BodyText"/>
      </w:pPr>
      <w:r>
        <w:t xml:space="preserve">Edad</w:t>
      </w:r>
    </w:p>
    <w:p>
      <w:pPr>
        <w:pStyle w:val="BodyText"/>
      </w:pPr>
      <w:r>
        <w:t xml:space="preserve">-0.002</w:t>
      </w:r>
      <w:r>
        <w:t xml:space="preserve">***</w:t>
      </w:r>
    </w:p>
    <w:p>
      <w:pPr>
        <w:pStyle w:val="BodyText"/>
      </w:pPr>
      <w:r>
        <w:t xml:space="preserve">(0.0005)</w:t>
      </w:r>
    </w:p>
    <w:p>
      <w:pPr>
        <w:pStyle w:val="BodyText"/>
      </w:pPr>
      <w:r>
        <w:t xml:space="preserve">Sexo</w:t>
      </w:r>
    </w:p>
    <w:p>
      <w:pPr>
        <w:pStyle w:val="BodyText"/>
      </w:pPr>
      <w:r>
        <w:t xml:space="preserve">0.137</w:t>
      </w:r>
      <w:r>
        <w:t xml:space="preserve">***</w:t>
      </w:r>
    </w:p>
    <w:p>
      <w:pPr>
        <w:pStyle w:val="BodyText"/>
      </w:pPr>
      <w:r>
        <w:t xml:space="preserve">(0.015)</w:t>
      </w:r>
    </w:p>
    <w:p>
      <w:pPr>
        <w:pStyle w:val="BodyText"/>
      </w:pPr>
      <w:r>
        <w:t xml:space="preserve">Constant</w:t>
      </w:r>
    </w:p>
    <w:p>
      <w:pPr>
        <w:pStyle w:val="BodyText"/>
      </w:pPr>
      <w:r>
        <w:t xml:space="preserve">1.659</w:t>
      </w:r>
      <w:r>
        <w:t xml:space="preserve">***</w:t>
      </w:r>
    </w:p>
    <w:p>
      <w:pPr>
        <w:pStyle w:val="BodyText"/>
      </w:pPr>
      <w:r>
        <w:t xml:space="preserve">1.767</w:t>
      </w:r>
      <w:r>
        <w:t xml:space="preserve">***</w:t>
      </w:r>
    </w:p>
    <w:p>
      <w:pPr>
        <w:pStyle w:val="BodyText"/>
      </w:pPr>
      <w:r>
        <w:t xml:space="preserve">2.262</w:t>
      </w:r>
      <w:r>
        <w:t xml:space="preserve">***</w:t>
      </w:r>
    </w:p>
    <w:p>
      <w:pPr>
        <w:pStyle w:val="BodyText"/>
      </w:pPr>
      <w:r>
        <w:t xml:space="preserve">2.319</w:t>
      </w:r>
      <w:r>
        <w:t xml:space="preserve">***</w:t>
      </w:r>
    </w:p>
    <w:p>
      <w:pPr>
        <w:pStyle w:val="BodyText"/>
      </w:pPr>
      <w:r>
        <w:t xml:space="preserve">(0.072)</w:t>
      </w:r>
    </w:p>
    <w:p>
      <w:pPr>
        <w:pStyle w:val="BodyText"/>
      </w:pPr>
      <w:r>
        <w:t xml:space="preserve">(0.074)</w:t>
      </w:r>
    </w:p>
    <w:p>
      <w:pPr>
        <w:pStyle w:val="BodyText"/>
      </w:pPr>
      <w:r>
        <w:t xml:space="preserve">(0.079)</w:t>
      </w:r>
    </w:p>
    <w:p>
      <w:pPr>
        <w:pStyle w:val="BodyText"/>
      </w:pPr>
      <w:r>
        <w:t xml:space="preserve">(0.083)</w:t>
      </w:r>
    </w:p>
    <w:p>
      <w:pPr>
        <w:pStyle w:val="BodyText"/>
      </w:pPr>
      <w:r>
        <w:t xml:space="preserve">R</w:t>
      </w:r>
      <w:r>
        <w:t xml:space="preserve">2</w:t>
      </w:r>
    </w:p>
    <w:p>
      <w:pPr>
        <w:pStyle w:val="BodyText"/>
      </w:pPr>
      <w:r>
        <w:t xml:space="preserve">0.089</w:t>
      </w:r>
    </w:p>
    <w:p>
      <w:pPr>
        <w:pStyle w:val="BodyText"/>
      </w:pPr>
      <w:r>
        <w:t xml:space="preserve">0.107</w:t>
      </w:r>
    </w:p>
    <w:p>
      <w:pPr>
        <w:pStyle w:val="BodyText"/>
      </w:pPr>
      <w:r>
        <w:t xml:space="preserve">0.138</w:t>
      </w:r>
    </w:p>
    <w:p>
      <w:pPr>
        <w:pStyle w:val="BodyText"/>
      </w:pPr>
      <w:r>
        <w:t xml:space="preserve">0.141</w:t>
      </w:r>
    </w:p>
    <w:p>
      <w:pPr>
        <w:pStyle w:val="BodyText"/>
      </w:pPr>
      <w:r>
        <w:t xml:space="preserve">F Statistic</w:t>
      </w:r>
    </w:p>
    <w:p>
      <w:pPr>
        <w:pStyle w:val="BodyText"/>
      </w:pPr>
      <w:r>
        <w:t xml:space="preserve">411.105</w:t>
      </w:r>
      <w:r>
        <w:t xml:space="preserve">***</w:t>
      </w:r>
      <w:r>
        <w:t xml:space="preserve"> </w:t>
      </w:r>
      <w:r>
        <w:t xml:space="preserve">(df = 8; 33573)</w:t>
      </w:r>
    </w:p>
    <w:p>
      <w:pPr>
        <w:pStyle w:val="BodyText"/>
      </w:pPr>
      <w:r>
        <w:t xml:space="preserve">375.627</w:t>
      </w:r>
      <w:r>
        <w:t xml:space="preserve">***</w:t>
      </w:r>
      <w:r>
        <w:t xml:space="preserve"> </w:t>
      </w:r>
      <w:r>
        <w:t xml:space="preserve">(df = 10; 31423)</w:t>
      </w:r>
    </w:p>
    <w:p>
      <w:pPr>
        <w:pStyle w:val="BodyText"/>
      </w:pPr>
      <w:r>
        <w:t xml:space="preserve">355.288</w:t>
      </w:r>
      <w:r>
        <w:t xml:space="preserve">***</w:t>
      </w:r>
      <w:r>
        <w:t xml:space="preserve"> </w:t>
      </w:r>
      <w:r>
        <w:t xml:space="preserve">(df = 12; 26684)</w:t>
      </w:r>
    </w:p>
    <w:p>
      <w:pPr>
        <w:pStyle w:val="BodyText"/>
      </w:pPr>
      <w:r>
        <w:t xml:space="preserve">311.564</w:t>
      </w:r>
      <w:r>
        <w:t xml:space="preserve">***</w:t>
      </w:r>
      <w:r>
        <w:t xml:space="preserve"> </w:t>
      </w:r>
      <w:r>
        <w:t xml:space="preserve">(df = 14; 26637)</w:t>
      </w:r>
    </w:p>
    <w:p>
      <w:pPr>
        <w:pStyle w:val="BodyText"/>
      </w:pPr>
      <w:r>
        <w:t xml:space="preserve">Note:</w:t>
      </w:r>
    </w:p>
    <w:p>
      <w:pPr>
        <w:pStyle w:val="BodyText"/>
      </w:pPr>
      <w:r>
        <w:rPr>
          <w:iCs/>
          <w:i/>
        </w:rPr>
        <w:t xml:space="preserve">p&lt;0.1;</w:t>
      </w:r>
      <w:r>
        <w:rPr>
          <w:iCs/>
          <w:i/>
        </w:rPr>
        <w:t xml:space="preserve"> </w:t>
      </w:r>
      <w:r>
        <w:rPr>
          <w:bCs/>
          <w:b/>
          <w:iCs/>
          <w:i/>
        </w:rPr>
        <w:t xml:space="preserve">p&lt;0.05;</w:t>
      </w:r>
      <w:r>
        <w:rPr>
          <w:bCs/>
          <w:b/>
          <w:iCs/>
          <w:i/>
        </w:rPr>
        <w:t xml:space="preserve"> </w:t>
      </w:r>
      <w:r>
        <w:t xml:space="preserve">p&lt;0.01</w:t>
      </w:r>
    </w:p>
    <w:bookmarkEnd w:id="34"/>
    <w:bookmarkEnd w:id="35"/>
    <w:bookmarkStart w:id="36" w:name="discussion"/>
    <w:p>
      <w:pPr>
        <w:pStyle w:val="Heading1"/>
      </w:pPr>
      <w:r>
        <w:rPr>
          <w:rStyle w:val="SectionNumber"/>
        </w:rPr>
        <w:t xml:space="preserve">6</w:t>
      </w:r>
      <w:r>
        <w:tab/>
      </w:r>
      <w:r>
        <w:t xml:space="preserve">Discussion</w:t>
      </w:r>
    </w:p>
    <w:bookmarkEnd w:id="36"/>
    <w:bookmarkStart w:id="37" w:name="conclusions"/>
    <w:p>
      <w:pPr>
        <w:pStyle w:val="Heading1"/>
      </w:pPr>
      <w:r>
        <w:rPr>
          <w:rStyle w:val="SectionNumber"/>
        </w:rPr>
        <w:t xml:space="preserve">7</w:t>
      </w:r>
      <w:r>
        <w:tab/>
      </w:r>
      <w:r>
        <w:t xml:space="preserve">Conclusions</w:t>
      </w:r>
    </w:p>
    <w:bookmarkEnd w:id="37"/>
    <w:bookmarkStart w:id="72" w:name="references"/>
    <w:p>
      <w:pPr>
        <w:pStyle w:val="Heading1"/>
      </w:pPr>
      <w:r>
        <w:t xml:space="preserve">References</w:t>
      </w:r>
    </w:p>
    <w:bookmarkStart w:id="71" w:name="refs"/>
    <w:bookmarkStart w:id="38" w:name="ref-angrist2009"/>
    <w:p>
      <w:pPr>
        <w:pStyle w:val="Bibliography"/>
      </w:pPr>
      <w:r>
        <w:t xml:space="preserve">Angrist, J. D., &amp; Pischke, J.-S. (2009).</w:t>
      </w:r>
      <w:r>
        <w:t xml:space="preserve"> </w:t>
      </w:r>
      <w:r>
        <w:rPr>
          <w:iCs/>
          <w:i/>
        </w:rPr>
        <w:t xml:space="preserve">Mostly harmless econometrics: An empiricist’s companion</w:t>
      </w:r>
      <w:r>
        <w:t xml:space="preserve">. Princeton university press.</w:t>
      </w:r>
    </w:p>
    <w:bookmarkEnd w:id="38"/>
    <w:bookmarkStart w:id="39" w:name="ref-angrist2014"/>
    <w:p>
      <w:pPr>
        <w:pStyle w:val="Bibliography"/>
      </w:pPr>
      <w:r>
        <w:t xml:space="preserve">Angrist, J. D., &amp; Pischke, J.-S. (2014).</w:t>
      </w:r>
      <w:r>
        <w:t xml:space="preserve"> </w:t>
      </w:r>
      <w:r>
        <w:rPr>
          <w:iCs/>
          <w:i/>
        </w:rPr>
        <w:t xml:space="preserve">Mastering’metrics: The path from cause to effect</w:t>
      </w:r>
      <w:r>
        <w:t xml:space="preserve">. Princeton university press.</w:t>
      </w:r>
    </w:p>
    <w:bookmarkEnd w:id="39"/>
    <w:bookmarkStart w:id="41" w:name="ref-arce2007"/>
    <w:p>
      <w:pPr>
        <w:pStyle w:val="Bibliography"/>
      </w:pPr>
      <w:r>
        <w:t xml:space="preserve">Arce, M., &amp; Bellinger, P. T. Jr. (2007). Low-intensity democracy revisited: The effects of economic liberalization on political activity in latin america.</w:t>
      </w:r>
      <w:r>
        <w:t xml:space="preserve"> </w:t>
      </w:r>
      <w:r>
        <w:rPr>
          <w:iCs/>
          <w:i/>
        </w:rPr>
        <w:t xml:space="preserve">World Politics</w:t>
      </w:r>
      <w:r>
        <w:t xml:space="preserve">,</w:t>
      </w:r>
      <w:r>
        <w:t xml:space="preserve"> </w:t>
      </w:r>
      <w:r>
        <w:rPr>
          <w:iCs/>
          <w:i/>
        </w:rPr>
        <w:t xml:space="preserve">60</w:t>
      </w:r>
      <w:r>
        <w:t xml:space="preserve">(1), 97–121.</w:t>
      </w:r>
      <w:r>
        <w:t xml:space="preserve"> </w:t>
      </w:r>
      <w:hyperlink r:id="rId40">
        <w:r>
          <w:rPr>
            <w:rStyle w:val="Hyperlink"/>
          </w:rPr>
          <w:t xml:space="preserve">https://doi.org/10.1353/wp.0.0003</w:t>
        </w:r>
      </w:hyperlink>
    </w:p>
    <w:bookmarkEnd w:id="41"/>
    <w:bookmarkStart w:id="43" w:name="ref-bellinger2011"/>
    <w:p>
      <w:pPr>
        <w:pStyle w:val="Bibliography"/>
      </w:pPr>
      <w:r>
        <w:t xml:space="preserve">Bellinger, P. T., &amp; Arce, M. (2011). Protest and Democracy in Latin America</w:t>
      </w:r>
      <w:r>
        <w:t xml:space="preserve">’</w:t>
      </w:r>
      <w:r>
        <w:t xml:space="preserve">s Market Era.</w:t>
      </w:r>
      <w:r>
        <w:t xml:space="preserve"> </w:t>
      </w:r>
      <w:r>
        <w:rPr>
          <w:iCs/>
          <w:i/>
        </w:rPr>
        <w:t xml:space="preserve">Political Research Quarterly</w:t>
      </w:r>
      <w:r>
        <w:t xml:space="preserve">,</w:t>
      </w:r>
      <w:r>
        <w:t xml:space="preserve"> </w:t>
      </w:r>
      <w:r>
        <w:rPr>
          <w:iCs/>
          <w:i/>
        </w:rPr>
        <w:t xml:space="preserve">64</w:t>
      </w:r>
      <w:r>
        <w:t xml:space="preserve">(3), 688–704.</w:t>
      </w:r>
      <w:r>
        <w:t xml:space="preserve"> </w:t>
      </w:r>
      <w:hyperlink r:id="rId42">
        <w:r>
          <w:rPr>
            <w:rStyle w:val="Hyperlink"/>
          </w:rPr>
          <w:t xml:space="preserve">https://doi.org/10.1177/1065912910373557</w:t>
        </w:r>
      </w:hyperlink>
    </w:p>
    <w:bookmarkEnd w:id="43"/>
    <w:bookmarkStart w:id="44" w:name="ref-benford2000"/>
    <w:p>
      <w:pPr>
        <w:pStyle w:val="Bibliography"/>
      </w:pPr>
      <w:r>
        <w:t xml:space="preserve">Benford, R. D., &amp; Snow, D. A. (2000). Framing processes and social movements: An overview and assessment.</w:t>
      </w:r>
      <w:r>
        <w:t xml:space="preserve"> </w:t>
      </w:r>
      <w:r>
        <w:rPr>
          <w:iCs/>
          <w:i/>
        </w:rPr>
        <w:t xml:space="preserve">Annual Review of Sociology</w:t>
      </w:r>
      <w:r>
        <w:t xml:space="preserve">,</w:t>
      </w:r>
      <w:r>
        <w:t xml:space="preserve"> </w:t>
      </w:r>
      <w:r>
        <w:rPr>
          <w:iCs/>
          <w:i/>
        </w:rPr>
        <w:t xml:space="preserve">26</w:t>
      </w:r>
      <w:r>
        <w:t xml:space="preserve">(1), 611–639.</w:t>
      </w:r>
    </w:p>
    <w:bookmarkEnd w:id="44"/>
    <w:bookmarkStart w:id="45" w:name="ref-chatterjee2006"/>
    <w:p>
      <w:pPr>
        <w:pStyle w:val="Bibliography"/>
      </w:pPr>
      <w:r>
        <w:t xml:space="preserve">Chatterjee, S., &amp; Hadi, A. S. (2006).</w:t>
      </w:r>
      <w:r>
        <w:t xml:space="preserve"> </w:t>
      </w:r>
      <w:r>
        <w:rPr>
          <w:iCs/>
          <w:i/>
        </w:rPr>
        <w:t xml:space="preserve">Regression analysis by example</w:t>
      </w:r>
      <w:r>
        <w:t xml:space="preserve">. John Wiley &amp; Sons.</w:t>
      </w:r>
    </w:p>
    <w:bookmarkEnd w:id="45"/>
    <w:bookmarkStart w:id="47" w:name="ref-eder2013"/>
    <w:p>
      <w:pPr>
        <w:pStyle w:val="Bibliography"/>
      </w:pPr>
      <w:r>
        <w:t xml:space="preserve">Eder, K. (2013).</w:t>
      </w:r>
      <w:r>
        <w:t xml:space="preserve"> </w:t>
      </w:r>
      <w:r>
        <w:rPr>
          <w:iCs/>
          <w:i/>
        </w:rPr>
        <w:t xml:space="preserve">Social Class and Social Movements</w:t>
      </w:r>
      <w:r>
        <w:t xml:space="preserve"> </w:t>
      </w:r>
      <w:r>
        <w:t xml:space="preserve">(pp. 1–4). John Wiley &amp; Sons, Ltd.</w:t>
      </w:r>
      <w:r>
        <w:t xml:space="preserve"> </w:t>
      </w:r>
      <w:hyperlink r:id="rId46">
        <w:r>
          <w:rPr>
            <w:rStyle w:val="Hyperlink"/>
          </w:rPr>
          <w:t xml:space="preserve">https://onlinelibrary.wiley.com/doi/abs/10.1002/9780470674871.wbespm189.pub2</w:t>
        </w:r>
      </w:hyperlink>
    </w:p>
    <w:bookmarkEnd w:id="47"/>
    <w:bookmarkStart w:id="49" w:name="ref-eidlin2018"/>
    <w:p>
      <w:pPr>
        <w:pStyle w:val="Bibliography"/>
      </w:pPr>
      <w:r>
        <w:t xml:space="preserve">Eidlin, B., &amp; Kerrissey, J. (2018).</w:t>
      </w:r>
      <w:r>
        <w:t xml:space="preserve"> </w:t>
      </w:r>
      <w:r>
        <w:rPr>
          <w:iCs/>
          <w:i/>
        </w:rPr>
        <w:t xml:space="preserve">Social Class and Social Movements</w:t>
      </w:r>
      <w:r>
        <w:t xml:space="preserve"> </w:t>
      </w:r>
      <w:r>
        <w:t xml:space="preserve">(pp. 515–536). John Wiley &amp; Sons, Ltd.</w:t>
      </w:r>
      <w:r>
        <w:t xml:space="preserve"> </w:t>
      </w:r>
      <w:hyperlink r:id="rId48">
        <w:r>
          <w:rPr>
            <w:rStyle w:val="Hyperlink"/>
          </w:rPr>
          <w:t xml:space="preserve">https://doi.org/10.1002/9781119168577.ch29</w:t>
        </w:r>
      </w:hyperlink>
    </w:p>
    <w:bookmarkEnd w:id="49"/>
    <w:bookmarkStart w:id="50" w:name="ref-gamson1996"/>
    <w:p>
      <w:pPr>
        <w:pStyle w:val="Bibliography"/>
      </w:pPr>
      <w:r>
        <w:t xml:space="preserve">Gamson, W. A., McCarthy, J. D., &amp; Zald, M. N. (1996).</w:t>
      </w:r>
      <w:r>
        <w:t xml:space="preserve"> </w:t>
      </w:r>
      <w:r>
        <w:rPr>
          <w:iCs/>
          <w:i/>
        </w:rPr>
        <w:t xml:space="preserve">Framing political opportunity</w:t>
      </w:r>
      <w:r>
        <w:t xml:space="preserve">. Cambridge University Press.</w:t>
      </w:r>
    </w:p>
    <w:bookmarkEnd w:id="50"/>
    <w:bookmarkStart w:id="52" w:name="ref-giugni2016"/>
    <w:p>
      <w:pPr>
        <w:pStyle w:val="Bibliography"/>
      </w:pPr>
      <w:r>
        <w:t xml:space="preserve">Giugni, M., &amp; Grasso, M. T. (2016). How Civil Society Actors Responded to the Economic Crisis: The Interaction of Material Deprivation and Perceptions of Political Opportunity Structures.</w:t>
      </w:r>
      <w:r>
        <w:t xml:space="preserve"> </w:t>
      </w:r>
      <w:r>
        <w:rPr>
          <w:iCs/>
          <w:i/>
        </w:rPr>
        <w:t xml:space="preserve">Politics &amp; Policy</w:t>
      </w:r>
      <w:r>
        <w:t xml:space="preserve">,</w:t>
      </w:r>
      <w:r>
        <w:t xml:space="preserve"> </w:t>
      </w:r>
      <w:r>
        <w:rPr>
          <w:iCs/>
          <w:i/>
        </w:rPr>
        <w:t xml:space="preserve">44</w:t>
      </w:r>
      <w:r>
        <w:t xml:space="preserve">(3), 447–472.</w:t>
      </w:r>
      <w:r>
        <w:t xml:space="preserve"> </w:t>
      </w:r>
      <w:hyperlink r:id="rId51">
        <w:r>
          <w:rPr>
            <w:rStyle w:val="Hyperlink"/>
          </w:rPr>
          <w:t xml:space="preserve">https://doi.org/10.1111/polp.12157</w:t>
        </w:r>
      </w:hyperlink>
    </w:p>
    <w:bookmarkEnd w:id="52"/>
    <w:bookmarkStart w:id="53" w:name="ref-goodwin2001"/>
    <w:p>
      <w:pPr>
        <w:pStyle w:val="Bibliography"/>
      </w:pPr>
      <w:r>
        <w:t xml:space="preserve">Goodwin, J., Jasper, J. M., &amp; Polletta, F. (2001).</w:t>
      </w:r>
      <w:r>
        <w:t xml:space="preserve"> </w:t>
      </w:r>
      <w:r>
        <w:rPr>
          <w:iCs/>
          <w:i/>
        </w:rPr>
        <w:t xml:space="preserve">Passionate politics: Emotions and social movements</w:t>
      </w:r>
      <w:r>
        <w:t xml:space="preserve">. University of Chicago Press.</w:t>
      </w:r>
    </w:p>
    <w:bookmarkEnd w:id="53"/>
    <w:bookmarkStart w:id="54" w:name="ref-hellinger2020"/>
    <w:p>
      <w:pPr>
        <w:pStyle w:val="Bibliography"/>
      </w:pPr>
      <w:r>
        <w:t xml:space="preserve">Hellinger, D. C. (2020).</w:t>
      </w:r>
      <w:r>
        <w:t xml:space="preserve"> </w:t>
      </w:r>
      <w:r>
        <w:rPr>
          <w:iCs/>
          <w:i/>
        </w:rPr>
        <w:t xml:space="preserve">Social class and social movements in latin america</w:t>
      </w:r>
      <w:r>
        <w:t xml:space="preserve"> </w:t>
      </w:r>
      <w:r>
        <w:t xml:space="preserve">(3rd ed., pp. 318–354). Routledge.</w:t>
      </w:r>
    </w:p>
    <w:bookmarkEnd w:id="54"/>
    <w:bookmarkStart w:id="55" w:name="ref-huntington-klein2022"/>
    <w:p>
      <w:pPr>
        <w:pStyle w:val="Bibliography"/>
      </w:pPr>
      <w:r>
        <w:t xml:space="preserve">Huntington-Klein, N. (2022).</w:t>
      </w:r>
      <w:r>
        <w:t xml:space="preserve"> </w:t>
      </w:r>
      <w:r>
        <w:rPr>
          <w:iCs/>
          <w:i/>
        </w:rPr>
        <w:t xml:space="preserve">The effect: An introduction to research design and causality</w:t>
      </w:r>
      <w:r>
        <w:t xml:space="preserve">. CRC Press.</w:t>
      </w:r>
    </w:p>
    <w:bookmarkEnd w:id="55"/>
    <w:bookmarkStart w:id="56" w:name="ref-mcadam1999"/>
    <w:p>
      <w:pPr>
        <w:pStyle w:val="Bibliography"/>
      </w:pPr>
      <w:r>
        <w:t xml:space="preserve">McAdam, D. (1999).</w:t>
      </w:r>
      <w:r>
        <w:t xml:space="preserve"> </w:t>
      </w:r>
      <w:r>
        <w:rPr>
          <w:iCs/>
          <w:i/>
        </w:rPr>
        <w:t xml:space="preserve">Political process and the development of black insurgency, 1930-1970</w:t>
      </w:r>
      <w:r>
        <w:t xml:space="preserve">. University of Chicago Press.</w:t>
      </w:r>
    </w:p>
    <w:bookmarkEnd w:id="56"/>
    <w:bookmarkStart w:id="57" w:name="ref-mcadam2004"/>
    <w:p>
      <w:pPr>
        <w:pStyle w:val="Bibliography"/>
      </w:pPr>
      <w:r>
        <w:t xml:space="preserve">McAdam, D., Tarrow, S., &amp; Tilly, C. (2004).</w:t>
      </w:r>
      <w:r>
        <w:t xml:space="preserve"> </w:t>
      </w:r>
      <w:r>
        <w:rPr>
          <w:iCs/>
          <w:i/>
        </w:rPr>
        <w:t xml:space="preserve">Dynamics of contention</w:t>
      </w:r>
      <w:r>
        <w:t xml:space="preserve">. Cambridge University Press.</w:t>
      </w:r>
    </w:p>
    <w:bookmarkEnd w:id="57"/>
    <w:bookmarkStart w:id="58" w:name="ref-dellaporta2015a"/>
    <w:p>
      <w:pPr>
        <w:pStyle w:val="Bibliography"/>
      </w:pPr>
      <w:r>
        <w:t xml:space="preserve">Porta, D. della. (2015).</w:t>
      </w:r>
      <w:r>
        <w:t xml:space="preserve"> </w:t>
      </w:r>
      <w:r>
        <w:rPr>
          <w:iCs/>
          <w:i/>
        </w:rPr>
        <w:t xml:space="preserve">Social movements in times of austerity</w:t>
      </w:r>
      <w:r>
        <w:t xml:space="preserve">. Polity Press.</w:t>
      </w:r>
    </w:p>
    <w:bookmarkEnd w:id="58"/>
    <w:bookmarkStart w:id="60" w:name="ref-dellaporta2017c"/>
    <w:p>
      <w:pPr>
        <w:pStyle w:val="Bibliography"/>
      </w:pPr>
      <w:r>
        <w:t xml:space="preserve">Porta, D. della. (2017). Political economy and social movement studies: The class basis of anti-austerity protests.</w:t>
      </w:r>
      <w:r>
        <w:t xml:space="preserve"> </w:t>
      </w:r>
      <w:r>
        <w:rPr>
          <w:iCs/>
          <w:i/>
        </w:rPr>
        <w:t xml:space="preserve">Anthropological Theory</w:t>
      </w:r>
      <w:r>
        <w:t xml:space="preserve">,</w:t>
      </w:r>
      <w:r>
        <w:t xml:space="preserve"> </w:t>
      </w:r>
      <w:r>
        <w:rPr>
          <w:iCs/>
          <w:i/>
        </w:rPr>
        <w:t xml:space="preserve">17</w:t>
      </w:r>
      <w:r>
        <w:t xml:space="preserve">(4), 453–473.</w:t>
      </w:r>
      <w:r>
        <w:t xml:space="preserve"> </w:t>
      </w:r>
      <w:hyperlink r:id="rId59">
        <w:r>
          <w:rPr>
            <w:rStyle w:val="Hyperlink"/>
          </w:rPr>
          <w:t xml:space="preserve">https://doi.org/10.1177/1463499617735258</w:t>
        </w:r>
      </w:hyperlink>
    </w:p>
    <w:bookmarkEnd w:id="60"/>
    <w:bookmarkStart w:id="62" w:name="ref-dellaporta2020"/>
    <w:p>
      <w:pPr>
        <w:pStyle w:val="Bibliography"/>
      </w:pPr>
      <w:r>
        <w:t xml:space="preserve">Porta, D. della, &amp; Portos, M. (2020). Social movements in times of inequalities: Struggling against austerity in Europe.</w:t>
      </w:r>
      <w:r>
        <w:t xml:space="preserve"> </w:t>
      </w:r>
      <w:r>
        <w:rPr>
          <w:iCs/>
          <w:i/>
        </w:rPr>
        <w:t xml:space="preserve">Structural Change and Economic Dynamics</w:t>
      </w:r>
      <w:r>
        <w:t xml:space="preserve">,</w:t>
      </w:r>
      <w:r>
        <w:t xml:space="preserve"> </w:t>
      </w:r>
      <w:r>
        <w:rPr>
          <w:iCs/>
          <w:i/>
        </w:rPr>
        <w:t xml:space="preserve">53</w:t>
      </w:r>
      <w:r>
        <w:t xml:space="preserve">, 116–126.</w:t>
      </w:r>
      <w:r>
        <w:t xml:space="preserve"> </w:t>
      </w:r>
      <w:hyperlink r:id="rId61">
        <w:r>
          <w:rPr>
            <w:rStyle w:val="Hyperlink"/>
          </w:rPr>
          <w:t xml:space="preserve">https://doi.org/10.1016/j.strueco.2020.01.011</w:t>
        </w:r>
      </w:hyperlink>
    </w:p>
    <w:bookmarkEnd w:id="62"/>
    <w:bookmarkStart w:id="63" w:name="ref-rossi2022"/>
    <w:p>
      <w:pPr>
        <w:pStyle w:val="Bibliography"/>
      </w:pPr>
      <w:r>
        <w:t xml:space="preserve">Rossi, F. M. (2022).</w:t>
      </w:r>
      <w:r>
        <w:t xml:space="preserve"> </w:t>
      </w:r>
      <w:r>
        <w:rPr>
          <w:iCs/>
          <w:i/>
        </w:rPr>
        <w:t xml:space="preserve">Capitalism and Social Movements</w:t>
      </w:r>
      <w:r>
        <w:t xml:space="preserve"> </w:t>
      </w:r>
      <w:r>
        <w:t xml:space="preserve">(pp. 1–4). John Wiley &amp; Sons, Ltd.</w:t>
      </w:r>
      <w:r>
        <w:t xml:space="preserve"> </w:t>
      </w:r>
      <w:hyperlink r:id="rId46">
        <w:r>
          <w:rPr>
            <w:rStyle w:val="Hyperlink"/>
          </w:rPr>
          <w:t xml:space="preserve">https://onlinelibrary.wiley.com/doi/abs/10.1002/9780470674871.wbespm189.pub2</w:t>
        </w:r>
      </w:hyperlink>
    </w:p>
    <w:bookmarkEnd w:id="63"/>
    <w:bookmarkStart w:id="64" w:name="ref-snow1986"/>
    <w:p>
      <w:pPr>
        <w:pStyle w:val="Bibliography"/>
      </w:pPr>
      <w:r>
        <w:t xml:space="preserve">Snow, D. A., Rochford Jr, E. B., Worden, S. K., &amp; Benford, R. D. (1986). Frame alignment processes, micromobilization, and movement participation.</w:t>
      </w:r>
      <w:r>
        <w:t xml:space="preserve"> </w:t>
      </w:r>
      <w:r>
        <w:rPr>
          <w:iCs/>
          <w:i/>
        </w:rPr>
        <w:t xml:space="preserve">American Sociological Review</w:t>
      </w:r>
      <w:r>
        <w:t xml:space="preserve">, 464–481.</w:t>
      </w:r>
    </w:p>
    <w:bookmarkEnd w:id="64"/>
    <w:bookmarkStart w:id="66" w:name="ref-stanley2013"/>
    <w:p>
      <w:pPr>
        <w:pStyle w:val="Bibliography"/>
      </w:pPr>
      <w:r>
        <w:t xml:space="preserve">Stanley, J., &amp; Goodwin, J. (2013).</w:t>
      </w:r>
      <w:r>
        <w:t xml:space="preserve"> </w:t>
      </w:r>
      <w:r>
        <w:rPr>
          <w:iCs/>
          <w:i/>
        </w:rPr>
        <w:t xml:space="preserve">Political Economy and Social Movements</w:t>
      </w:r>
      <w:r>
        <w:t xml:space="preserve">. John Wiley &amp; Sons, Ltd.</w:t>
      </w:r>
      <w:r>
        <w:t xml:space="preserve"> </w:t>
      </w:r>
      <w:hyperlink r:id="rId65">
        <w:r>
          <w:rPr>
            <w:rStyle w:val="Hyperlink"/>
          </w:rPr>
          <w:t xml:space="preserve">https://doi.org/10.1002/9780470674871.wbespm156</w:t>
        </w:r>
      </w:hyperlink>
    </w:p>
    <w:bookmarkEnd w:id="66"/>
    <w:bookmarkStart w:id="67" w:name="ref-tarrow1996"/>
    <w:p>
      <w:pPr>
        <w:pStyle w:val="Bibliography"/>
      </w:pPr>
      <w:r>
        <w:t xml:space="preserve">Tarrow, S. (1996).</w:t>
      </w:r>
      <w:r>
        <w:t xml:space="preserve"> </w:t>
      </w:r>
      <w:r>
        <w:rPr>
          <w:iCs/>
          <w:i/>
        </w:rPr>
        <w:t xml:space="preserve">States and opportunities</w:t>
      </w:r>
      <w:r>
        <w:t xml:space="preserve"> </w:t>
      </w:r>
      <w:r>
        <w:t xml:space="preserve">(pp. 41–61). Cambridge University Press.</w:t>
      </w:r>
    </w:p>
    <w:bookmarkEnd w:id="67"/>
    <w:bookmarkStart w:id="68" w:name="ref-tarrow2011"/>
    <w:p>
      <w:pPr>
        <w:pStyle w:val="Bibliography"/>
      </w:pPr>
      <w:r>
        <w:t xml:space="preserve">Tarrow, S. (2011).</w:t>
      </w:r>
      <w:r>
        <w:t xml:space="preserve"> </w:t>
      </w:r>
      <w:r>
        <w:rPr>
          <w:iCs/>
          <w:i/>
        </w:rPr>
        <w:t xml:space="preserve">Power in movement: Social movements and contentious politics</w:t>
      </w:r>
      <w:r>
        <w:t xml:space="preserve"> </w:t>
      </w:r>
      <w:r>
        <w:t xml:space="preserve">(3rd ed.). Cambridge University Press.</w:t>
      </w:r>
    </w:p>
    <w:bookmarkEnd w:id="68"/>
    <w:bookmarkStart w:id="70" w:name="ref-therborn2012"/>
    <w:p>
      <w:pPr>
        <w:pStyle w:val="Bibliography"/>
      </w:pPr>
      <w:r>
        <w:t xml:space="preserve">Therborn, G. (2012). Class in the 21st century.</w:t>
      </w:r>
      <w:r>
        <w:t xml:space="preserve"> </w:t>
      </w:r>
      <w:r>
        <w:rPr>
          <w:iCs/>
          <w:i/>
        </w:rPr>
        <w:t xml:space="preserve">New Left Review</w:t>
      </w:r>
      <w:r>
        <w:t xml:space="preserve">,</w:t>
      </w:r>
      <w:r>
        <w:t xml:space="preserve"> </w:t>
      </w:r>
      <w:r>
        <w:rPr>
          <w:iCs/>
          <w:i/>
        </w:rPr>
        <w:t xml:space="preserve">78</w:t>
      </w:r>
      <w:r>
        <w:t xml:space="preserve">, 5–29.</w:t>
      </w:r>
      <w:r>
        <w:t xml:space="preserve"> </w:t>
      </w:r>
      <w:hyperlink r:id="rId69">
        <w:r>
          <w:rPr>
            <w:rStyle w:val="Hyperlink"/>
          </w:rPr>
          <w:t xml:space="preserve">http://urn.kb.se/resolve?urn=urn:nbn:se:lnu:diva-25177</w:t>
        </w:r>
      </w:hyperlink>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By the time this article has been written, another wave of the same thematic survey is under development and expected to fully realese in 2025.</w:t>
      </w:r>
    </w:p>
  </w:footnote>
  <w:footnote w:id="28">
    <w:p>
      <w:pPr>
        <w:pStyle w:val="FootnoteText"/>
      </w:pPr>
      <w:r>
        <w:rPr>
          <w:rStyle w:val="FootnoteReference"/>
        </w:rPr>
        <w:footnoteRef/>
      </w:r>
      <w:r>
        <w:t xml:space="preserve"> </w:t>
      </w:r>
      <w:r>
        <w:t xml:space="preserve">It is a similar questionary because the survey don’t apply the exact same questions in every country. However, the questions are prepared to grasp and collect the same dimensions for every question applied.</w:t>
      </w:r>
    </w:p>
  </w:footnote>
  <w:footnote w:id="29">
    <w:p>
      <w:pPr>
        <w:pStyle w:val="FootnoteText"/>
      </w:pPr>
      <w:r>
        <w:rPr>
          <w:rStyle w:val="FootnoteReference"/>
        </w:rPr>
        <w:footnoteRef/>
      </w:r>
      <w:r>
        <w:t xml:space="preserve"> </w:t>
      </w:r>
      <w:r>
        <w:t xml:space="preserve">According to the ISSP, the exceptions were countries such as Finland, were individuals between 15 and 75 were surveyed, Japan, were 16 years old and older were surveyed, South Africa, were the respondents were 16 years or more, and Sweden, were the individuals were between 17 and 79 years 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urn.kb.se/resolve?urn=urn:nbn:se:lnu:diva-25177" TargetMode="External" /><Relationship Type="http://schemas.openxmlformats.org/officeDocument/2006/relationships/hyperlink" Id="rId65" Target="https://doi.org/10.1002/9780470674871.wbespm156" TargetMode="External" /><Relationship Type="http://schemas.openxmlformats.org/officeDocument/2006/relationships/hyperlink" Id="rId48" Target="https://doi.org/10.1002/9781119168577.ch29" TargetMode="External" /><Relationship Type="http://schemas.openxmlformats.org/officeDocument/2006/relationships/hyperlink" Id="rId61" Target="https://doi.org/10.1016/j.strueco.2020.01.011" TargetMode="External" /><Relationship Type="http://schemas.openxmlformats.org/officeDocument/2006/relationships/hyperlink" Id="rId51" Target="https://doi.org/10.1111/polp.12157" TargetMode="External" /><Relationship Type="http://schemas.openxmlformats.org/officeDocument/2006/relationships/hyperlink" Id="rId42" Target="https://doi.org/10.1177/1065912910373557" TargetMode="External" /><Relationship Type="http://schemas.openxmlformats.org/officeDocument/2006/relationships/hyperlink" Id="rId59" Target="https://doi.org/10.1177/1463499617735258" TargetMode="External" /><Relationship Type="http://schemas.openxmlformats.org/officeDocument/2006/relationships/hyperlink" Id="rId40" Target="https://doi.org/10.1353/wp.0.0003" TargetMode="External" /><Relationship Type="http://schemas.openxmlformats.org/officeDocument/2006/relationships/hyperlink" Id="rId46" Target="https://onlinelibrary.wiley.com/doi/abs/10.1002/9780470674871.wbespm189.pub2" TargetMode="External" /><Relationship Type="http://schemas.openxmlformats.org/officeDocument/2006/relationships/hyperlink" Id="rId26" Target="https://www.gesis.org/en/issp/modules/issp-modules-by-topic/citizenship/2014" TargetMode="External" /></Relationships>
</file>

<file path=word/_rels/footnotes.xml.rels><?xml version="1.0" encoding="UTF-8"?><Relationships xmlns="http://schemas.openxmlformats.org/package/2006/relationships"><Relationship Type="http://schemas.openxmlformats.org/officeDocument/2006/relationships/hyperlink" Id="rId69" Target="http://urn.kb.se/resolve?urn=urn:nbn:se:lnu:diva-25177" TargetMode="External" /><Relationship Type="http://schemas.openxmlformats.org/officeDocument/2006/relationships/hyperlink" Id="rId65" Target="https://doi.org/10.1002/9780470674871.wbespm156" TargetMode="External" /><Relationship Type="http://schemas.openxmlformats.org/officeDocument/2006/relationships/hyperlink" Id="rId48" Target="https://doi.org/10.1002/9781119168577.ch29" TargetMode="External" /><Relationship Type="http://schemas.openxmlformats.org/officeDocument/2006/relationships/hyperlink" Id="rId61" Target="https://doi.org/10.1016/j.strueco.2020.01.011" TargetMode="External" /><Relationship Type="http://schemas.openxmlformats.org/officeDocument/2006/relationships/hyperlink" Id="rId51" Target="https://doi.org/10.1111/polp.12157" TargetMode="External" /><Relationship Type="http://schemas.openxmlformats.org/officeDocument/2006/relationships/hyperlink" Id="rId42" Target="https://doi.org/10.1177/1065912910373557" TargetMode="External" /><Relationship Type="http://schemas.openxmlformats.org/officeDocument/2006/relationships/hyperlink" Id="rId59" Target="https://doi.org/10.1177/1463499617735258" TargetMode="External" /><Relationship Type="http://schemas.openxmlformats.org/officeDocument/2006/relationships/hyperlink" Id="rId40" Target="https://doi.org/10.1353/wp.0.0003" TargetMode="External" /><Relationship Type="http://schemas.openxmlformats.org/officeDocument/2006/relationships/hyperlink" Id="rId46" Target="https://onlinelibrary.wiley.com/doi/abs/10.1002/9780470674871.wbespm189.pub2" TargetMode="External" /><Relationship Type="http://schemas.openxmlformats.org/officeDocument/2006/relationships/hyperlink" Id="rId26" Target="https://www.gesis.org/en/issp/modules/issp-modules-by-topic/citizenship/2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in Latin American, Caribbean and Iberian Studies</dc:title>
  <dc:creator>Álvaro C.</dc:creator>
  <cp:keywords/>
  <dcterms:created xsi:type="dcterms:W3CDTF">2023-07-23T18:04:29Z</dcterms:created>
  <dcterms:modified xsi:type="dcterms:W3CDTF">2023-07-23T18:04:29Z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apa7.csl</vt:lpwstr>
  </property>
  <property fmtid="{D5CDD505-2E9C-101B-9397-08002B2CF9AE}" pid="4" name="date">
    <vt:lpwstr>2023-07-23</vt:lpwstr>
  </property>
  <property fmtid="{D5CDD505-2E9C-101B-9397-08002B2CF9AE}" pid="5" name="link-citations">
    <vt:lpwstr>True</vt:lpwstr>
  </property>
  <property fmtid="{D5CDD505-2E9C-101B-9397-08002B2CF9AE}" pid="6" name="output">
    <vt:lpwstr/>
  </property>
</Properties>
</file>