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4B76AD7">
      <w:pPr>
        <w:pStyle w:val="140"/>
        <w:pBdr>
          <w:top w:val="none" w:color="000000" w:sz="4" w:space="0"/>
          <w:left w:val="none" w:color="000000" w:sz="4" w:space="0"/>
          <w:bottom w:val="none" w:color="000000" w:sz="4" w:space="0"/>
          <w:right w:val="none" w:color="000000" w:sz="4" w:space="0"/>
        </w:pBdr>
        <w:shd w:val="clear" w:color="ffffff" w:fill="ffffff"/>
        <w:spacing w:after="375" w:before="375" w:line="312" w:lineRule="auto"/>
        <w:ind w:right="0" w:firstLine="0" w:left="0"/>
        <w:rPr/>
      </w:pPr>
      <w:r>
        <w:rPr>
          <w:rFonts w:ascii="Arial" w:hAnsi="Arial" w:eastAsia="Arial" w:cs="Arial"/>
          <w:b/>
          <w:color w:val="141412"/>
          <w:sz w:val="45"/>
        </w:rPr>
        <w:t xml:space="preserve">Log Shipping – SQL Server 2022 (Complete Guide)</w:t>
      </w:r>
      <w:r/>
    </w:p>
    <w:p w14:paraId="1B9F92E3">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b/>
          <w:color w:val="ff6600"/>
          <w:sz w:val="28"/>
        </w:rPr>
        <w:t xml:space="preserve">Table of Contents</w:t>
      </w:r>
      <w:r/>
    </w:p>
    <w:p w14:paraId="2EA88063">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ind w:right="0"/>
        <w:rPr/>
      </w:pPr>
      <w:r/>
      <w:hyperlink r:id="rId9" w:tooltip="https://www.br8dba.com/log-shipping-sql-server-2022/#overview" w:history="1">
        <w:r>
          <w:rPr>
            <w:rStyle w:val="187"/>
            <w:rFonts w:ascii="Arial" w:hAnsi="Arial" w:eastAsia="Arial" w:cs="Arial"/>
            <w:b/>
            <w:color w:val="bc360a"/>
            <w:sz w:val="24"/>
            <w:u w:val="none"/>
          </w:rPr>
          <w:t xml:space="preserve">Overview</w:t>
        </w:r>
      </w:hyperlink>
      <w:r/>
      <w:r/>
    </w:p>
    <w:p w14:paraId="2798EC2B">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ind w:right="0"/>
        <w:rPr/>
      </w:pPr>
      <w:r/>
      <w:hyperlink r:id="rId10" w:tooltip="https://www.br8dba.com/log-shipping-sql-server-2022/#oracle-vs-sql" w:history="1">
        <w:r>
          <w:rPr>
            <w:rStyle w:val="187"/>
            <w:rFonts w:ascii="Arial" w:hAnsi="Arial" w:eastAsia="Arial" w:cs="Arial"/>
            <w:b/>
            <w:color w:val="bc360a"/>
            <w:sz w:val="24"/>
            <w:u w:val="none"/>
          </w:rPr>
          <w:t xml:space="preserve">Oracle Data Guard vs SQL Server Log Shipping</w:t>
        </w:r>
      </w:hyperlink>
      <w:r/>
      <w:r/>
    </w:p>
    <w:p w14:paraId="70282096">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ind w:right="0"/>
        <w:rPr/>
      </w:pPr>
      <w:r/>
      <w:hyperlink r:id="rId11" w:tooltip="https://www.br8dba.com/log-shipping-sql-server-2022/#architecture" w:history="1">
        <w:r>
          <w:rPr>
            <w:rStyle w:val="187"/>
            <w:rFonts w:ascii="Arial" w:hAnsi="Arial" w:eastAsia="Arial" w:cs="Arial"/>
            <w:b/>
            <w:color w:val="bc360a"/>
            <w:sz w:val="24"/>
            <w:u w:val="none"/>
          </w:rPr>
          <w:t xml:space="preserve">Log Shipping Architecture</w:t>
        </w:r>
      </w:hyperlink>
      <w:r/>
      <w:r/>
    </w:p>
    <w:p w14:paraId="7CE0D156">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ind w:right="0"/>
        <w:rPr/>
      </w:pPr>
      <w:r/>
      <w:hyperlink r:id="rId12" w:tooltip="https://www.br8dba.com/log-shipping-sql-server-2022/#environment" w:history="1">
        <w:r>
          <w:rPr>
            <w:rStyle w:val="187"/>
            <w:rFonts w:ascii="Arial" w:hAnsi="Arial" w:eastAsia="Arial" w:cs="Arial"/>
            <w:b/>
            <w:color w:val="bc360a"/>
            <w:sz w:val="24"/>
            <w:u w:val="none"/>
          </w:rPr>
          <w:t xml:space="preserve">Environment Details</w:t>
        </w:r>
      </w:hyperlink>
      <w:r/>
      <w:r/>
    </w:p>
    <w:p w14:paraId="0631A115">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ind w:right="0"/>
        <w:rPr/>
      </w:pPr>
      <w:r/>
      <w:hyperlink r:id="rId13" w:tooltip="https://www.br8dba.com/log-shipping-sql-server-2022/#prerequisites" w:history="1">
        <w:r>
          <w:rPr>
            <w:rStyle w:val="187"/>
            <w:rFonts w:ascii="Arial" w:hAnsi="Arial" w:eastAsia="Arial" w:cs="Arial"/>
            <w:b/>
            <w:color w:val="bc360a"/>
            <w:sz w:val="24"/>
            <w:u w:val="none"/>
          </w:rPr>
          <w:t xml:space="preserve">Prerequisites</w:t>
        </w:r>
      </w:hyperlink>
      <w:r/>
      <w:r/>
    </w:p>
    <w:p w14:paraId="613DDB37">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ind w:right="0"/>
        <w:rPr/>
      </w:pPr>
      <w:r/>
      <w:hyperlink r:id="rId14" w:tooltip="https://www.br8dba.com/log-shipping-sql-server-2022/#steps" w:history="1">
        <w:r>
          <w:rPr>
            <w:rStyle w:val="187"/>
            <w:rFonts w:ascii="Arial" w:hAnsi="Arial" w:eastAsia="Arial" w:cs="Arial"/>
            <w:b/>
            <w:color w:val="bc360a"/>
            <w:sz w:val="24"/>
            <w:u w:val="none"/>
          </w:rPr>
          <w:t xml:space="preserve">Step-by-Step Configuration</w:t>
        </w:r>
      </w:hyperlink>
      <w:r/>
      <w:r/>
    </w:p>
    <w:p w14:paraId="4BE01559">
      <w:pPr>
        <w:pStyle w:val="668"/>
        <w:numPr>
          <w:ilvl w:val="0"/>
          <w:numId w:val="1"/>
        </w:numPr>
        <w:pBdr>
          <w:top w:val="none" w:color="000000" w:sz="4" w:space="0"/>
          <w:left w:val="none" w:color="000000" w:sz="4" w:space="0"/>
          <w:bottom w:val="none" w:color="000000" w:sz="4" w:space="0"/>
          <w:right w:val="none" w:color="000000" w:sz="4" w:space="0"/>
        </w:pBdr>
        <w:shd w:val="clear" w:color="ffffff" w:fill="ffffff"/>
        <w:spacing/>
        <w:ind w:right="0"/>
        <w:rPr/>
      </w:pPr>
      <w:r/>
      <w:hyperlink r:id="rId15" w:tooltip="https://www.br8dba.com/log-shipping-sql-server-2022/#verification" w:history="1">
        <w:r>
          <w:rPr>
            <w:rStyle w:val="187"/>
            <w:rFonts w:ascii="Arial" w:hAnsi="Arial" w:eastAsia="Arial" w:cs="Arial"/>
            <w:b/>
            <w:color w:val="bc360a"/>
            <w:sz w:val="24"/>
            <w:u w:val="none"/>
          </w:rPr>
          <w:t xml:space="preserve">Verification &amp; Testing</w:t>
        </w:r>
      </w:hyperlink>
      <w:r/>
      <w:r/>
    </w:p>
    <w:p w14:paraId="58D79FE4">
      <w:pPr>
        <w:pStyle w:val="140"/>
        <w:pBdr>
          <w:top w:val="none" w:color="000000" w:sz="4" w:space="0"/>
          <w:left w:val="none" w:color="000000" w:sz="4" w:space="0"/>
          <w:bottom w:val="none" w:color="000000" w:sz="4" w:space="0"/>
          <w:right w:val="none" w:color="000000" w:sz="4" w:space="0"/>
        </w:pBdr>
        <w:shd w:val="clear" w:color="ffffff" w:fill="ffffff"/>
        <w:spacing w:after="375" w:before="375" w:line="312" w:lineRule="auto"/>
        <w:ind w:right="0" w:firstLine="0" w:left="0"/>
        <w:rPr/>
      </w:pPr>
      <w:r>
        <w:rPr>
          <w:rFonts w:ascii="Arial" w:hAnsi="Arial" w:eastAsia="Arial" w:cs="Arial"/>
          <w:b/>
          <w:color w:val="0000ff"/>
          <w:sz w:val="45"/>
        </w:rPr>
        <w:t xml:space="preserve">Log Shipping (SQL Server 2022)</w:t>
      </w:r>
      <w:r/>
    </w:p>
    <w:p w14:paraId="6BAD2CF1">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b/>
          <w:color w:val="141412"/>
          <w:sz w:val="24"/>
        </w:rPr>
        <w:t xml:space="preserve">Overview</w:t>
      </w:r>
      <w:r/>
    </w:p>
    <w:p w14:paraId="694808B4">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color w:val="141412"/>
          <w:sz w:val="24"/>
        </w:rPr>
        <w:t xml:space="preserve">Log Shipping copies transaction log backups from the </w:t>
      </w:r>
      <w:r>
        <w:rPr>
          <w:rFonts w:ascii="Arial" w:hAnsi="Arial" w:eastAsia="Arial" w:cs="Arial"/>
          <w:b/>
          <w:color w:val="141412"/>
          <w:sz w:val="24"/>
        </w:rPr>
        <w:t xml:space="preserve">Primary</w:t>
      </w:r>
      <w:r>
        <w:rPr>
          <w:rFonts w:ascii="Arial" w:hAnsi="Arial" w:eastAsia="Arial" w:cs="Arial"/>
          <w:color w:val="141412"/>
          <w:sz w:val="24"/>
        </w:rPr>
        <w:t xml:space="preserve"> server to one or more </w:t>
      </w:r>
      <w:r>
        <w:rPr>
          <w:rFonts w:ascii="Arial" w:hAnsi="Arial" w:eastAsia="Arial" w:cs="Arial"/>
          <w:b/>
          <w:color w:val="141412"/>
          <w:sz w:val="24"/>
        </w:rPr>
        <w:t xml:space="preserve">Secondary</w:t>
      </w:r>
      <w:r>
        <w:rPr>
          <w:rFonts w:ascii="Arial" w:hAnsi="Arial" w:eastAsia="Arial" w:cs="Arial"/>
          <w:color w:val="141412"/>
          <w:sz w:val="24"/>
        </w:rPr>
        <w:t xml:space="preserve"> servers and restores them, keeping databases synchronized for </w:t>
      </w:r>
      <w:r>
        <w:rPr>
          <w:rFonts w:ascii="Arial" w:hAnsi="Arial" w:eastAsia="Arial" w:cs="Arial"/>
          <w:b/>
          <w:color w:val="141412"/>
          <w:sz w:val="24"/>
        </w:rPr>
        <w:t xml:space="preserve">Disaster Recovery (DR)</w:t>
      </w:r>
      <w:r>
        <w:rPr>
          <w:rFonts w:ascii="Arial" w:hAnsi="Arial" w:eastAsia="Arial" w:cs="Arial"/>
          <w:color w:val="141412"/>
          <w:sz w:val="24"/>
        </w:rPr>
        <w:t xml:space="preserve"> or </w:t>
      </w:r>
      <w:r>
        <w:rPr>
          <w:rFonts w:ascii="Arial" w:hAnsi="Arial" w:eastAsia="Arial" w:cs="Arial"/>
          <w:b/>
          <w:color w:val="141412"/>
          <w:sz w:val="24"/>
        </w:rPr>
        <w:t xml:space="preserve">Read-Only Reporting</w:t>
      </w:r>
      <w:r>
        <w:rPr>
          <w:rFonts w:ascii="Arial" w:hAnsi="Arial" w:eastAsia="Arial" w:cs="Arial"/>
          <w:color w:val="141412"/>
          <w:sz w:val="24"/>
        </w:rPr>
        <w:t xml:space="preserve"> scenarios.</w:t>
      </w:r>
      <w:r/>
    </w:p>
    <w:p w14:paraId="4A936A90">
      <w:pPr>
        <w:pStyle w:val="140"/>
        <w:pBdr>
          <w:top w:val="none" w:color="000000" w:sz="4" w:space="0"/>
          <w:left w:val="none" w:color="000000" w:sz="4" w:space="0"/>
          <w:bottom w:val="none" w:color="000000" w:sz="4" w:space="0"/>
          <w:right w:val="none" w:color="000000" w:sz="4" w:space="0"/>
        </w:pBdr>
        <w:shd w:val="clear" w:color="ffffff" w:fill="ffffff"/>
        <w:spacing w:after="375" w:before="375" w:line="312" w:lineRule="auto"/>
        <w:ind w:right="0" w:firstLine="0" w:left="0"/>
        <w:rPr/>
      </w:pPr>
      <w:r>
        <w:rPr>
          <w:rFonts w:ascii="Arial" w:hAnsi="Arial" w:eastAsia="Arial" w:cs="Arial"/>
          <w:b/>
          <w:color w:val="0000ff"/>
          <w:sz w:val="45"/>
        </w:rPr>
        <w:t xml:space="preserve">Oracle Data Guard vs SQL Server Log Shipping</w:t>
      </w:r>
      <w:r/>
    </w:p>
    <w:p w14:paraId="48434DD7">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i/>
          <w:color w:val="141412"/>
          <w:sz w:val="36"/>
        </w:rPr>
        <w:t xml:space="preserve">Oracle Data Guard</w:t>
        <w:br/>
        <w:t xml:space="preserve">Redo transport is internal, continuous, and process-driven (LGWR → RFS → MRP).</w:t>
      </w:r>
      <w:r/>
    </w:p>
    <w:p w14:paraId="32477961">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i/>
          <w:color w:val="141412"/>
          <w:sz w:val="36"/>
        </w:rPr>
        <w:t xml:space="preserve">SQL Server Log Shipping</w:t>
        <w:br/>
        <w:t xml:space="preserve">Log transport is external, file-based, and job-driven (Backup → Copy → Restore).</w:t>
      </w:r>
      <w:r/>
    </w:p>
    <w:p w14:paraId="1903E1C6">
      <w:pPr>
        <w:pStyle w:val="140"/>
        <w:pBdr>
          <w:top w:val="none" w:color="000000" w:sz="4" w:space="0"/>
          <w:left w:val="none" w:color="000000" w:sz="4" w:space="0"/>
          <w:bottom w:val="none" w:color="000000" w:sz="4" w:space="0"/>
          <w:right w:val="none" w:color="000000" w:sz="4" w:space="0"/>
        </w:pBdr>
        <w:shd w:val="clear" w:color="ffffff" w:fill="ffffff"/>
        <w:spacing w:after="375" w:before="375" w:line="312" w:lineRule="auto"/>
        <w:ind w:right="0" w:firstLine="0" w:left="0"/>
        <w:rPr/>
      </w:pPr>
      <w:r>
        <w:rPr>
          <w:rFonts w:ascii="Arial" w:hAnsi="Arial" w:eastAsia="Arial" w:cs="Arial"/>
          <w:b/>
          <w:color w:val="0000ff"/>
          <w:sz w:val="45"/>
        </w:rPr>
        <w:t xml:space="preserve">Log Shipping Architecture</w:t>
      </w:r>
      <w:r/>
    </w:p>
    <w:p w14:paraId="536D8EF0">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b/>
          <w:color w:val="141412"/>
          <w:sz w:val="24"/>
        </w:rPr>
        <w:t xml:space="preserve">Log Shipping</w:t>
      </w:r>
      <w:r>
        <w:rPr>
          <w:rFonts w:ascii="Arial" w:hAnsi="Arial" w:eastAsia="Arial" w:cs="Arial"/>
          <w:color w:val="141412"/>
          <w:sz w:val="24"/>
        </w:rPr>
        <w:t xml:space="preserve"> is a </w:t>
      </w:r>
      <w:r>
        <w:rPr>
          <w:rFonts w:ascii="Arial" w:hAnsi="Arial" w:eastAsia="Arial" w:cs="Arial"/>
          <w:b/>
          <w:color w:val="141412"/>
          <w:sz w:val="24"/>
        </w:rPr>
        <w:t xml:space="preserve">disaster recovery (DR)</w:t>
      </w:r>
      <w:r>
        <w:rPr>
          <w:rFonts w:ascii="Arial" w:hAnsi="Arial" w:eastAsia="Arial" w:cs="Arial"/>
          <w:color w:val="141412"/>
          <w:sz w:val="24"/>
        </w:rPr>
        <w:t xml:space="preserve"> solution where:</w:t>
      </w:r>
      <w:r/>
    </w:p>
    <w:p w14:paraId="59259526">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Arial" w:hAnsi="Arial" w:eastAsia="Arial" w:cs="Arial"/>
          <w:b/>
          <w:color w:val="141412"/>
          <w:sz w:val="24"/>
        </w:rPr>
        <w:t xml:space="preserve">Primary Server</w:t>
      </w:r>
      <w:r>
        <w:rPr>
          <w:rFonts w:ascii="Arial" w:hAnsi="Arial" w:eastAsia="Arial" w:cs="Arial"/>
          <w:color w:val="141412"/>
          <w:sz w:val="24"/>
        </w:rPr>
        <w:t xml:space="preserve"> takes transaction log backups and saves them to a shared network path.</w:t>
      </w:r>
      <w:r/>
    </w:p>
    <w:p w14:paraId="33B1A341">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Arial" w:hAnsi="Arial" w:eastAsia="Arial" w:cs="Arial"/>
          <w:b/>
          <w:color w:val="141412"/>
          <w:sz w:val="24"/>
        </w:rPr>
        <w:t xml:space="preserve">Secondary Server</w:t>
      </w:r>
      <w:r>
        <w:rPr>
          <w:rFonts w:ascii="Arial" w:hAnsi="Arial" w:eastAsia="Arial" w:cs="Arial"/>
          <w:color w:val="141412"/>
          <w:sz w:val="24"/>
        </w:rPr>
        <w:t xml:space="preserve"> copies and restores those logs (STANDBY or NORECOVERY mode).</w:t>
      </w:r>
      <w:r/>
    </w:p>
    <w:p w14:paraId="3D220089">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Arial" w:hAnsi="Arial" w:eastAsia="Arial" w:cs="Arial"/>
          <w:color w:val="141412"/>
          <w:sz w:val="24"/>
        </w:rPr>
        <w:t xml:space="preserve">No shared storage is required — only </w:t>
      </w:r>
      <w:r>
        <w:rPr>
          <w:rFonts w:ascii="Arial" w:hAnsi="Arial" w:eastAsia="Arial" w:cs="Arial"/>
          <w:b/>
          <w:color w:val="141412"/>
          <w:sz w:val="24"/>
        </w:rPr>
        <w:t xml:space="preserve">T-Log backups over a network share</w:t>
      </w:r>
      <w:r>
        <w:rPr>
          <w:rFonts w:ascii="Arial" w:hAnsi="Arial" w:eastAsia="Arial" w:cs="Arial"/>
          <w:color w:val="141412"/>
          <w:sz w:val="24"/>
        </w:rPr>
        <w:t xml:space="preserve">.</w:t>
      </w:r>
      <w:r/>
    </w:p>
    <w:p w14:paraId="6A32EFC9">
      <w:pPr>
        <w:pStyle w:val="140"/>
        <w:pBdr>
          <w:top w:val="none" w:color="000000" w:sz="4" w:space="0"/>
          <w:left w:val="none" w:color="000000" w:sz="4" w:space="0"/>
          <w:bottom w:val="none" w:color="000000" w:sz="4" w:space="0"/>
          <w:right w:val="none" w:color="000000" w:sz="4" w:space="0"/>
        </w:pBdr>
        <w:shd w:val="clear" w:color="ffffff" w:fill="ffffff"/>
        <w:spacing w:after="375" w:before="375" w:line="312" w:lineRule="auto"/>
        <w:ind w:right="0" w:firstLine="0" w:left="0"/>
        <w:rPr/>
      </w:pPr>
      <w:r>
        <w:rPr>
          <w:rFonts w:ascii="Arial" w:hAnsi="Arial" w:eastAsia="Arial" w:cs="Arial"/>
          <w:b/>
          <w:color w:val="0000ff"/>
          <w:sz w:val="45"/>
        </w:rPr>
        <w:t xml:space="preserve">Environment Details</w:t>
      </w:r>
      <w:r/>
    </w:p>
    <w:tbl>
      <w:tblPr>
        <w:tblStyle w:val="12"/>
        <w:tblInd w:w="0" w:type="dxa"/>
        <w:tblW w:w="76000" w:type="pct"/>
        <w:tblBorders>
          <w:top w:val="single" w:color="808080" w:sz="4" w:space="0"/>
          <w:left w:val="single" w:color="808080" w:sz="4" w:space="0"/>
          <w:bottom w:val="single" w:color="ededed" w:sz="4" w:space="0"/>
          <w:right w:val="single" w:color="808080" w:sz="4" w:space="0"/>
          <w:insideH w:val="none" w:color="000000" w:sz="4" w:space="0"/>
          <w:insideV w:val="none" w:color="000000" w:sz="4" w:space="0"/>
        </w:tblBorders>
        <w:shd w:val="clear" w:color="ffffff" w:fill="ffffff"/>
        <w:tblLayout w:type="autofit"/>
        <w:tblLook w:val="04A0" w:firstRow="1" w:lastRow="0" w:firstColumn="1" w:lastColumn="0" w:noHBand="0" w:noVBand="1"/>
      </w:tblPr>
      <w:tblGrid>
        <w:gridCol w:w="2276"/>
        <w:gridCol w:w="3539"/>
        <w:gridCol w:w="3539"/>
      </w:tblGrid>
      <w:tr>
        <w:trPr/>
        <w:tc>
          <w:tcPr>
            <w:tcBorders>
              <w:top w:val="single" w:color="808080" w:sz="4" w:space="0"/>
              <w:left w:val="single" w:color="808080" w:sz="4" w:space="0"/>
              <w:bottom w:val="single" w:color="ededed" w:sz="4" w:space="0"/>
              <w:right w:val="single" w:color="808080" w:sz="4" w:space="0"/>
            </w:tcBorders>
            <w:tcMar>
              <w:left w:w="90" w:type="dxa"/>
              <w:top w:w="90" w:type="dxa"/>
              <w:right w:w="90" w:type="dxa"/>
              <w:bottom w:w="90" w:type="dxa"/>
            </w:tcMar>
            <w:tcW w:w="2276" w:type="dxa"/>
            <w:vAlign w:val="center"/>
          </w:tcPr>
          <w:p w14:paraId="018F3B03">
            <w:pPr>
              <w:pBdr/>
              <w:spacing w:after="0" w:before="0" w:line="240"/>
              <w:ind/>
              <w:rPr/>
            </w:pPr>
            <w:r>
              <w:rPr>
                <w:rFonts w:ascii="Arial" w:hAnsi="Arial" w:eastAsia="Arial" w:cs="Arial"/>
                <w:b/>
                <w:color w:val="141412"/>
                <w:sz w:val="21"/>
              </w:rPr>
              <w:t xml:space="preserve">Item</w:t>
            </w:r>
            <w:r/>
          </w:p>
        </w:tc>
        <w:tc>
          <w:tcPr>
            <w:tcBorders>
              <w:top w:val="single" w:color="808080" w:sz="4" w:space="0"/>
              <w:left w:val="single" w:color="808080" w:sz="4" w:space="0"/>
              <w:bottom w:val="single" w:color="ededed" w:sz="4" w:space="0"/>
              <w:right w:val="single" w:color="808080" w:sz="4" w:space="0"/>
            </w:tcBorders>
            <w:tcMar>
              <w:left w:w="90" w:type="dxa"/>
              <w:top w:w="90" w:type="dxa"/>
              <w:right w:w="90" w:type="dxa"/>
              <w:bottom w:w="90" w:type="dxa"/>
            </w:tcMar>
            <w:tcW w:w="3539" w:type="dxa"/>
            <w:vAlign w:val="center"/>
          </w:tcPr>
          <w:p w14:paraId="42F4C86D">
            <w:pPr>
              <w:pBdr/>
              <w:spacing w:after="0" w:before="0" w:line="240"/>
              <w:ind/>
              <w:rPr/>
            </w:pPr>
            <w:r>
              <w:rPr>
                <w:rFonts w:ascii="Arial" w:hAnsi="Arial" w:eastAsia="Arial" w:cs="Arial"/>
                <w:b/>
                <w:color w:val="141412"/>
                <w:sz w:val="21"/>
              </w:rPr>
              <w:t xml:space="preserve">Primary</w:t>
            </w:r>
            <w:r/>
          </w:p>
        </w:tc>
        <w:tc>
          <w:tcPr>
            <w:tcBorders>
              <w:top w:val="single" w:color="808080" w:sz="4" w:space="0"/>
              <w:left w:val="single" w:color="808080" w:sz="4" w:space="0"/>
              <w:bottom w:val="single" w:color="ededed" w:sz="4" w:space="0"/>
              <w:right w:val="single" w:color="808080" w:sz="4" w:space="0"/>
            </w:tcBorders>
            <w:tcMar>
              <w:left w:w="90" w:type="dxa"/>
              <w:top w:w="90" w:type="dxa"/>
              <w:right w:w="90" w:type="dxa"/>
              <w:bottom w:w="90" w:type="dxa"/>
            </w:tcMar>
            <w:tcW w:w="3539" w:type="dxa"/>
            <w:vAlign w:val="center"/>
          </w:tcPr>
          <w:p w14:paraId="649C4B0D">
            <w:pPr>
              <w:pBdr/>
              <w:spacing w:after="0" w:before="0" w:line="240"/>
              <w:ind/>
              <w:rPr/>
            </w:pPr>
            <w:r>
              <w:rPr>
                <w:rFonts w:ascii="Arial" w:hAnsi="Arial" w:eastAsia="Arial" w:cs="Arial"/>
                <w:b/>
                <w:color w:val="141412"/>
                <w:sz w:val="21"/>
              </w:rPr>
              <w:t xml:space="preserve">Secondary</w:t>
            </w:r>
            <w:r/>
          </w:p>
        </w:tc>
      </w:tr>
      <w:tr>
        <w:trPr/>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2276" w:type="dxa"/>
            <w:vAlign w:val="center"/>
          </w:tcPr>
          <w:p w14:paraId="35399900">
            <w:pPr>
              <w:pBdr/>
              <w:spacing w:after="0" w:before="0" w:line="240"/>
              <w:ind/>
              <w:rPr/>
            </w:pPr>
            <w:r>
              <w:rPr>
                <w:rFonts w:ascii="Arial" w:hAnsi="Arial" w:eastAsia="Arial" w:cs="Arial"/>
                <w:color w:val="141412"/>
                <w:sz w:val="21"/>
              </w:rPr>
              <w:t xml:space="preserve">Hostname</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5B22EF8F">
            <w:pPr>
              <w:pBdr/>
              <w:spacing w:after="0" w:before="0" w:line="240"/>
              <w:ind/>
              <w:rPr/>
            </w:pPr>
            <w:r>
              <w:rPr>
                <w:rFonts w:ascii="Arial" w:hAnsi="Arial" w:eastAsia="Arial" w:cs="Arial"/>
                <w:color w:val="141412"/>
                <w:sz w:val="21"/>
              </w:rPr>
              <w:t xml:space="preserve">SGMSQL1</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60A54D2B">
            <w:pPr>
              <w:pBdr/>
              <w:spacing w:after="0" w:before="0" w:line="240"/>
              <w:ind/>
              <w:rPr/>
            </w:pPr>
            <w:r>
              <w:rPr>
                <w:rFonts w:ascii="Arial" w:hAnsi="Arial" w:eastAsia="Arial" w:cs="Arial"/>
                <w:color w:val="141412"/>
                <w:sz w:val="21"/>
              </w:rPr>
              <w:t xml:space="preserve">SGMSQL2</w:t>
            </w:r>
            <w:r/>
          </w:p>
        </w:tc>
      </w:tr>
      <w:tr>
        <w:trPr/>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2276" w:type="dxa"/>
            <w:vAlign w:val="center"/>
          </w:tcPr>
          <w:p w14:paraId="2CE17891">
            <w:pPr>
              <w:pBdr/>
              <w:spacing w:after="0" w:before="0" w:line="240"/>
              <w:ind/>
              <w:rPr/>
            </w:pPr>
            <w:r>
              <w:rPr>
                <w:rFonts w:ascii="Arial" w:hAnsi="Arial" w:eastAsia="Arial" w:cs="Arial"/>
                <w:color w:val="141412"/>
                <w:sz w:val="21"/>
              </w:rPr>
              <w:t xml:space="preserve">SQL Server Version</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2ADAB80C">
            <w:pPr>
              <w:pBdr/>
              <w:spacing w:after="0" w:before="0" w:line="240"/>
              <w:ind/>
              <w:rPr/>
            </w:pPr>
            <w:r>
              <w:rPr>
                <w:rFonts w:ascii="Arial" w:hAnsi="Arial" w:eastAsia="Arial" w:cs="Arial"/>
                <w:color w:val="141412"/>
                <w:sz w:val="21"/>
              </w:rPr>
              <w:t xml:space="preserve">SQL Server 2022</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25CD1D25">
            <w:pPr>
              <w:pBdr/>
              <w:spacing w:after="0" w:before="0" w:line="240"/>
              <w:ind/>
              <w:rPr/>
            </w:pPr>
            <w:r>
              <w:rPr>
                <w:rFonts w:ascii="Arial" w:hAnsi="Arial" w:eastAsia="Arial" w:cs="Arial"/>
                <w:color w:val="141412"/>
                <w:sz w:val="21"/>
              </w:rPr>
              <w:t xml:space="preserve">SQL Server 2022</w:t>
            </w:r>
            <w:r/>
          </w:p>
        </w:tc>
      </w:tr>
      <w:tr>
        <w:trPr/>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2276" w:type="dxa"/>
            <w:vAlign w:val="center"/>
          </w:tcPr>
          <w:p w14:paraId="09E80E57">
            <w:pPr>
              <w:pBdr/>
              <w:spacing w:after="0" w:before="0" w:line="240"/>
              <w:ind/>
              <w:rPr/>
            </w:pPr>
            <w:r>
              <w:rPr>
                <w:rFonts w:ascii="Arial" w:hAnsi="Arial" w:eastAsia="Arial" w:cs="Arial"/>
                <w:color w:val="141412"/>
                <w:sz w:val="21"/>
              </w:rPr>
              <w:t xml:space="preserve">SQL Edition</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1D03DF50">
            <w:pPr>
              <w:pBdr/>
              <w:spacing w:after="0" w:before="0" w:line="240"/>
              <w:ind/>
              <w:rPr/>
            </w:pPr>
            <w:r>
              <w:rPr>
                <w:rFonts w:ascii="Arial" w:hAnsi="Arial" w:eastAsia="Arial" w:cs="Arial"/>
                <w:color w:val="141412"/>
                <w:sz w:val="21"/>
              </w:rPr>
              <w:t xml:space="preserve">Enterprise / Standard</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0F7EAAFA">
            <w:pPr>
              <w:pBdr/>
              <w:spacing w:after="0" w:before="0" w:line="240"/>
              <w:ind/>
              <w:rPr/>
            </w:pPr>
            <w:r>
              <w:rPr>
                <w:rFonts w:ascii="Arial" w:hAnsi="Arial" w:eastAsia="Arial" w:cs="Arial"/>
                <w:color w:val="141412"/>
                <w:sz w:val="21"/>
              </w:rPr>
              <w:t xml:space="preserve">Enterprise / Standard</w:t>
            </w:r>
            <w:r/>
          </w:p>
        </w:tc>
      </w:tr>
      <w:tr>
        <w:trPr/>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2276" w:type="dxa"/>
            <w:vAlign w:val="center"/>
          </w:tcPr>
          <w:p w14:paraId="75BEACD1">
            <w:pPr>
              <w:pBdr/>
              <w:spacing w:after="0" w:before="0" w:line="240"/>
              <w:ind/>
              <w:rPr/>
            </w:pPr>
            <w:r>
              <w:rPr>
                <w:rFonts w:ascii="Arial" w:hAnsi="Arial" w:eastAsia="Arial" w:cs="Arial"/>
                <w:color w:val="141412"/>
                <w:sz w:val="21"/>
              </w:rPr>
              <w:t xml:space="preserve">SQL Server Log on As</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251AEF75">
            <w:pPr>
              <w:pBdr/>
              <w:spacing w:after="0" w:before="0" w:line="240"/>
              <w:ind/>
              <w:rPr/>
            </w:pPr>
            <w:r>
              <w:rPr>
                <w:rFonts w:ascii="Arial" w:hAnsi="Arial" w:eastAsia="Arial" w:cs="Arial"/>
                <w:color w:val="141412"/>
                <w:sz w:val="21"/>
              </w:rPr>
              <w:t xml:space="preserve">RAJASEKHAR\MSAPGEBSGSQL$</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7DE0A3B1">
            <w:pPr>
              <w:pBdr/>
              <w:spacing w:after="0" w:before="0" w:line="240"/>
              <w:ind/>
              <w:rPr/>
            </w:pPr>
            <w:r>
              <w:rPr>
                <w:rFonts w:ascii="Arial" w:hAnsi="Arial" w:eastAsia="Arial" w:cs="Arial"/>
                <w:color w:val="141412"/>
                <w:sz w:val="21"/>
              </w:rPr>
              <w:t xml:space="preserve">RAJASEKHAR\MSAPGEBSGSQL$</w:t>
            </w:r>
            <w:r/>
          </w:p>
        </w:tc>
      </w:tr>
      <w:tr>
        <w:trPr/>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2276" w:type="dxa"/>
            <w:vAlign w:val="center"/>
          </w:tcPr>
          <w:p w14:paraId="2ED55FBE">
            <w:pPr>
              <w:pBdr/>
              <w:spacing w:after="0" w:before="0" w:line="240"/>
              <w:ind/>
              <w:rPr/>
            </w:pPr>
            <w:r>
              <w:rPr>
                <w:rFonts w:ascii="Arial" w:hAnsi="Arial" w:eastAsia="Arial" w:cs="Arial"/>
                <w:color w:val="141412"/>
                <w:sz w:val="21"/>
              </w:rPr>
              <w:t xml:space="preserve">Instance Name</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6A9EDE18">
            <w:pPr>
              <w:pBdr/>
              <w:spacing w:after="0" w:before="0" w:line="240"/>
              <w:ind/>
              <w:rPr/>
            </w:pPr>
            <w:r>
              <w:rPr>
                <w:rFonts w:ascii="Arial" w:hAnsi="Arial" w:eastAsia="Arial" w:cs="Arial"/>
                <w:color w:val="141412"/>
                <w:sz w:val="21"/>
              </w:rPr>
              <w:t xml:space="preserve">MSSQLSERVER</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75FEC342">
            <w:pPr>
              <w:pBdr/>
              <w:spacing w:after="0" w:before="0" w:line="240"/>
              <w:ind/>
              <w:rPr/>
            </w:pPr>
            <w:r>
              <w:rPr>
                <w:rFonts w:ascii="Arial" w:hAnsi="Arial" w:eastAsia="Arial" w:cs="Arial"/>
                <w:color w:val="141412"/>
                <w:sz w:val="21"/>
              </w:rPr>
              <w:t xml:space="preserve">MSSQLSERVER</w:t>
            </w:r>
            <w:r/>
          </w:p>
        </w:tc>
      </w:tr>
      <w:tr>
        <w:trPr/>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2276" w:type="dxa"/>
            <w:vAlign w:val="center"/>
          </w:tcPr>
          <w:p w14:paraId="44425989">
            <w:pPr>
              <w:pBdr/>
              <w:spacing w:after="0" w:before="0" w:line="240"/>
              <w:ind/>
              <w:rPr/>
            </w:pPr>
            <w:r>
              <w:rPr>
                <w:rFonts w:ascii="Arial" w:hAnsi="Arial" w:eastAsia="Arial" w:cs="Arial"/>
                <w:color w:val="141412"/>
                <w:sz w:val="21"/>
              </w:rPr>
              <w:t xml:space="preserve">Database Name</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76306117">
            <w:pPr>
              <w:pBdr/>
              <w:spacing w:after="0" w:before="0" w:line="240"/>
              <w:ind/>
              <w:rPr/>
            </w:pPr>
            <w:r>
              <w:rPr>
                <w:rFonts w:ascii="Arial" w:hAnsi="Arial" w:eastAsia="Arial" w:cs="Arial"/>
                <w:color w:val="141412"/>
                <w:sz w:val="21"/>
              </w:rPr>
              <w:t xml:space="preserve">SALES</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3EC0A7C6">
            <w:pPr>
              <w:pBdr/>
              <w:spacing w:after="0" w:before="0" w:line="240"/>
              <w:ind/>
              <w:rPr/>
            </w:pPr>
            <w:r>
              <w:rPr>
                <w:rFonts w:ascii="Arial" w:hAnsi="Arial" w:eastAsia="Arial" w:cs="Arial"/>
                <w:color w:val="141412"/>
                <w:sz w:val="21"/>
              </w:rPr>
              <w:t xml:space="preserve">SALES</w:t>
            </w:r>
            <w:r/>
          </w:p>
        </w:tc>
      </w:tr>
      <w:tr>
        <w:trPr/>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2276" w:type="dxa"/>
            <w:vAlign w:val="center"/>
          </w:tcPr>
          <w:p w14:paraId="36DE1ABA">
            <w:pPr>
              <w:pBdr/>
              <w:spacing w:after="0" w:before="0" w:line="240"/>
              <w:ind/>
              <w:rPr/>
            </w:pPr>
            <w:r>
              <w:rPr>
                <w:rFonts w:ascii="Arial" w:hAnsi="Arial" w:eastAsia="Arial" w:cs="Arial"/>
                <w:color w:val="141412"/>
                <w:sz w:val="21"/>
              </w:rPr>
              <w:t xml:space="preserve">Recovery Model</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29EF3BB0">
            <w:pPr>
              <w:pBdr/>
              <w:spacing w:after="0" w:before="0" w:line="240"/>
              <w:ind/>
              <w:rPr/>
            </w:pPr>
            <w:r>
              <w:rPr>
                <w:rFonts w:ascii="Arial" w:hAnsi="Arial" w:eastAsia="Arial" w:cs="Arial"/>
                <w:color w:val="141412"/>
                <w:sz w:val="21"/>
              </w:rPr>
              <w:t xml:space="preserve">FULL</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535736A9">
            <w:pPr>
              <w:pBdr/>
              <w:spacing w:after="0" w:before="0" w:line="240"/>
              <w:ind/>
              <w:rPr/>
            </w:pPr>
            <w:r>
              <w:rPr>
                <w:rFonts w:ascii="Arial" w:hAnsi="Arial" w:eastAsia="Arial" w:cs="Arial"/>
                <w:color w:val="141412"/>
                <w:sz w:val="21"/>
              </w:rPr>
              <w:t xml:space="preserve">FULL</w:t>
            </w:r>
            <w:r/>
          </w:p>
        </w:tc>
      </w:tr>
      <w:tr>
        <w:trPr/>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2276" w:type="dxa"/>
            <w:vAlign w:val="center"/>
          </w:tcPr>
          <w:p w14:paraId="363B0F4C">
            <w:pPr>
              <w:pBdr/>
              <w:spacing w:after="0" w:before="0" w:line="240"/>
              <w:ind/>
              <w:rPr/>
            </w:pPr>
            <w:r>
              <w:rPr>
                <w:rFonts w:ascii="Arial" w:hAnsi="Arial" w:eastAsia="Arial" w:cs="Arial"/>
                <w:color w:val="141412"/>
                <w:sz w:val="21"/>
              </w:rPr>
              <w:t xml:space="preserve">DR Location</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02A5B634">
            <w:pPr>
              <w:pBdr/>
              <w:spacing w:after="0" w:before="0" w:line="240"/>
              <w:ind/>
              <w:rPr/>
            </w:pPr>
            <w:r>
              <w:rPr>
                <w:rFonts w:ascii="Arial" w:hAnsi="Arial" w:eastAsia="Arial" w:cs="Arial"/>
                <w:color w:val="141412"/>
                <w:sz w:val="21"/>
              </w:rPr>
              <w:t xml:space="preserve">DC / Region 1</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4CC71BC6">
            <w:pPr>
              <w:pBdr/>
              <w:spacing w:after="0" w:before="0" w:line="240"/>
              <w:ind/>
              <w:rPr/>
            </w:pPr>
            <w:r>
              <w:rPr>
                <w:rFonts w:ascii="Arial" w:hAnsi="Arial" w:eastAsia="Arial" w:cs="Arial"/>
                <w:color w:val="141412"/>
                <w:sz w:val="21"/>
              </w:rPr>
              <w:t xml:space="preserve">DR / Region 2</w:t>
            </w:r>
            <w:r/>
          </w:p>
        </w:tc>
      </w:tr>
      <w:tr>
        <w:trPr/>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2276" w:type="dxa"/>
            <w:vAlign w:val="center"/>
          </w:tcPr>
          <w:p w14:paraId="0CC16048">
            <w:pPr>
              <w:pBdr/>
              <w:spacing w:after="0" w:before="0" w:line="240"/>
              <w:ind/>
              <w:rPr/>
            </w:pPr>
            <w:r>
              <w:rPr>
                <w:rFonts w:ascii="Arial" w:hAnsi="Arial" w:eastAsia="Arial" w:cs="Arial"/>
                <w:color w:val="141412"/>
                <w:sz w:val="21"/>
              </w:rPr>
              <w:t xml:space="preserve">T-Log Backup Path</w:t>
            </w:r>
            <w:r/>
          </w:p>
        </w:tc>
        <w:tc>
          <w:tcPr>
            <w:gridSpan w:val="2"/>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7078" w:type="dxa"/>
            <w:vAlign w:val="center"/>
          </w:tcPr>
          <w:p w14:paraId="0E039660">
            <w:pPr>
              <w:pBdr/>
              <w:spacing w:after="0" w:before="0" w:line="240"/>
              <w:ind/>
              <w:rPr/>
            </w:pPr>
            <w:r>
              <w:rPr>
                <w:rFonts w:ascii="Arial" w:hAnsi="Arial" w:eastAsia="Arial" w:cs="Arial"/>
                <w:color w:val="141412"/>
                <w:sz w:val="21"/>
              </w:rPr>
              <w:t xml:space="preserve">\\SGMSQL1\Backup_LogShip</w:t>
            </w:r>
            <w:r/>
          </w:p>
        </w:tc>
      </w:tr>
      <w:tr>
        <w:trPr/>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2276" w:type="dxa"/>
            <w:vAlign w:val="center"/>
          </w:tcPr>
          <w:p w14:paraId="086570B8">
            <w:pPr>
              <w:pBdr/>
              <w:spacing w:after="0" w:before="0" w:line="240"/>
              <w:ind/>
              <w:rPr/>
            </w:pPr>
            <w:r>
              <w:rPr>
                <w:rFonts w:ascii="Arial" w:hAnsi="Arial" w:eastAsia="Arial" w:cs="Arial"/>
                <w:color w:val="141412"/>
                <w:sz w:val="21"/>
              </w:rPr>
              <w:t xml:space="preserve">Copy Destination Path</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0A5849F8">
            <w:pPr>
              <w:pBdr/>
              <w:spacing w:after="0" w:before="0" w:line="240"/>
              <w:ind/>
              <w:rPr/>
            </w:pPr>
            <w:r>
              <w:rPr>
                <w:rFonts w:ascii="Arial" w:hAnsi="Arial" w:eastAsia="Arial" w:cs="Arial"/>
                <w:color w:val="141412"/>
                <w:sz w:val="21"/>
              </w:rPr>
              <w:t xml:space="preserve">N/A</w:t>
            </w:r>
            <w:r/>
          </w:p>
        </w:tc>
        <w:tc>
          <w:tcPr>
            <w:tcBorders>
              <w:top w:val="single" w:color="ededed" w:sz="6" w:space="0"/>
              <w:left w:val="single" w:color="808080" w:sz="4" w:space="0"/>
              <w:bottom w:val="single" w:color="ededed" w:sz="4" w:space="0"/>
              <w:right w:val="single" w:color="808080" w:sz="4" w:space="0"/>
            </w:tcBorders>
            <w:tcMar>
              <w:left w:w="0" w:type="dxa"/>
              <w:top w:w="90" w:type="dxa"/>
              <w:right w:w="150" w:type="dxa"/>
              <w:bottom w:w="90" w:type="dxa"/>
            </w:tcMar>
            <w:tcW w:w="3539" w:type="dxa"/>
            <w:vAlign w:val="center"/>
          </w:tcPr>
          <w:p w14:paraId="623B766C">
            <w:pPr>
              <w:pBdr/>
              <w:spacing w:after="0" w:before="0" w:line="240"/>
              <w:ind/>
              <w:rPr/>
            </w:pPr>
            <w:r>
              <w:rPr>
                <w:rFonts w:ascii="Arial" w:hAnsi="Arial" w:eastAsia="Arial" w:cs="Arial"/>
                <w:color w:val="141412"/>
                <w:sz w:val="21"/>
              </w:rPr>
              <w:t xml:space="preserve">D:\LogShipping\Copy</w:t>
            </w:r>
            <w:r/>
          </w:p>
        </w:tc>
      </w:tr>
    </w:tbl>
    <w:p w14:paraId="7A820F8D">
      <w:pPr>
        <w:pStyle w:val="140"/>
        <w:pBdr>
          <w:top w:val="none" w:color="000000" w:sz="4" w:space="0"/>
          <w:left w:val="none" w:color="000000" w:sz="4" w:space="0"/>
          <w:bottom w:val="none" w:color="000000" w:sz="4" w:space="0"/>
          <w:right w:val="none" w:color="000000" w:sz="4" w:space="0"/>
        </w:pBdr>
        <w:shd w:val="clear" w:color="ffffff" w:fill="ffffff"/>
        <w:spacing w:after="375" w:before="375" w:line="312" w:lineRule="auto"/>
        <w:ind w:right="0" w:firstLine="0" w:left="0"/>
        <w:rPr/>
      </w:pPr>
      <w:r>
        <w:rPr>
          <w:rFonts w:ascii="Arial" w:hAnsi="Arial" w:eastAsia="Arial" w:cs="Arial"/>
          <w:b/>
          <w:color w:val="0000ff"/>
          <w:sz w:val="45"/>
        </w:rPr>
        <w:t xml:space="preserve">Prerequisites</w:t>
      </w:r>
      <w:r/>
    </w:p>
    <w:p w14:paraId="71ED6ED2">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Arial" w:hAnsi="Arial" w:eastAsia="Arial" w:cs="Arial"/>
          <w:color w:val="141412"/>
          <w:sz w:val="24"/>
        </w:rPr>
        <w:t xml:space="preserve">SQL Server 2022 Standard or Enterprise</w:t>
      </w:r>
      <w:r/>
    </w:p>
    <w:p w14:paraId="7E9837EB">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Arial" w:hAnsi="Arial" w:eastAsia="Arial" w:cs="Arial"/>
          <w:color w:val="141412"/>
          <w:sz w:val="24"/>
        </w:rPr>
        <w:t xml:space="preserve">Same database name (collation recommended to be same)</w:t>
      </w:r>
      <w:r/>
    </w:p>
    <w:p w14:paraId="1509BF34">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Arial" w:hAnsi="Arial" w:eastAsia="Arial" w:cs="Arial"/>
          <w:color w:val="141412"/>
          <w:sz w:val="24"/>
        </w:rPr>
        <w:t xml:space="preserve">Database must be in </w:t>
      </w:r>
      <w:r>
        <w:rPr>
          <w:rFonts w:ascii="Arial" w:hAnsi="Arial" w:eastAsia="Arial" w:cs="Arial"/>
          <w:b/>
          <w:color w:val="141412"/>
          <w:sz w:val="24"/>
        </w:rPr>
        <w:t xml:space="preserve">FULL recovery model</w:t>
      </w:r>
      <w:r/>
    </w:p>
    <w:p w14:paraId="0F2E3CC9">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Arial" w:hAnsi="Arial" w:eastAsia="Arial" w:cs="Arial"/>
          <w:color w:val="141412"/>
          <w:sz w:val="24"/>
        </w:rPr>
        <w:t xml:space="preserve">SQL Server Agent must be running on Primary &amp; Secondary</w:t>
      </w:r>
      <w:r/>
    </w:p>
    <w:p w14:paraId="2C811A6D">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Arial" w:hAnsi="Arial" w:eastAsia="Arial" w:cs="Arial"/>
          <w:color w:val="141412"/>
          <w:sz w:val="24"/>
        </w:rPr>
        <w:t xml:space="preserve">Service accounts must have </w:t>
      </w:r>
      <w:r>
        <w:rPr>
          <w:rFonts w:ascii="Arial" w:hAnsi="Arial" w:eastAsia="Arial" w:cs="Arial"/>
          <w:b/>
          <w:color w:val="141412"/>
          <w:sz w:val="24"/>
        </w:rPr>
        <w:t xml:space="preserve">Read/Write</w:t>
      </w:r>
      <w:r>
        <w:rPr>
          <w:rFonts w:ascii="Arial" w:hAnsi="Arial" w:eastAsia="Arial" w:cs="Arial"/>
          <w:color w:val="141412"/>
          <w:sz w:val="24"/>
        </w:rPr>
        <w:t xml:space="preserve"> access to the shared folder</w:t>
      </w:r>
      <w:r/>
    </w:p>
    <w:p w14:paraId="059E974C">
      <w:pPr>
        <w:pStyle w:val="140"/>
        <w:pBdr>
          <w:top w:val="none" w:color="000000" w:sz="4" w:space="0"/>
          <w:left w:val="none" w:color="000000" w:sz="4" w:space="0"/>
          <w:bottom w:val="none" w:color="000000" w:sz="4" w:space="0"/>
          <w:right w:val="none" w:color="000000" w:sz="4" w:space="0"/>
        </w:pBdr>
        <w:shd w:val="clear" w:color="ffffff" w:fill="ffffff"/>
        <w:spacing w:after="375" w:before="375" w:line="312" w:lineRule="auto"/>
        <w:ind w:right="0" w:firstLine="0" w:left="0"/>
        <w:rPr/>
      </w:pPr>
      <w:r>
        <w:rPr>
          <w:rFonts w:ascii="Arial" w:hAnsi="Arial" w:eastAsia="Arial" w:cs="Arial"/>
          <w:b/>
          <w:color w:val="0000ff"/>
          <w:sz w:val="45"/>
        </w:rPr>
        <w:t xml:space="preserve">Step-by-Step Configuration</w:t>
      </w:r>
      <w:r/>
    </w:p>
    <w:p w14:paraId="30AC9C33">
      <w:pPr>
        <w:pStyle w:val="141"/>
        <w:pBdr>
          <w:top w:val="none" w:color="000000" w:sz="4" w:space="0"/>
          <w:left w:val="none" w:color="000000" w:sz="4" w:space="0"/>
          <w:bottom w:val="none" w:color="000000" w:sz="4" w:space="0"/>
          <w:right w:val="none" w:color="000000" w:sz="4" w:space="0"/>
        </w:pBdr>
        <w:shd w:val="clear" w:color="ffffff" w:fill="ffffff"/>
        <w:spacing w:after="330" w:before="330" w:line="312" w:lineRule="auto"/>
        <w:ind w:right="0" w:firstLine="0" w:left="0"/>
        <w:rPr/>
      </w:pPr>
      <w:r>
        <w:rPr>
          <w:rFonts w:ascii="Arial" w:hAnsi="Arial" w:eastAsia="Arial" w:cs="Arial"/>
          <w:b/>
          <w:color w:val="0000ff"/>
          <w:sz w:val="33"/>
        </w:rPr>
        <w:t xml:space="preserve">Step 1: Prepare the Primary Database</w:t>
      </w:r>
      <w:r/>
    </w:p>
    <w:p w14:paraId="17D0DD45">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color w:val="141412"/>
          <w:sz w:val="24"/>
        </w:rPr>
        <w:t xml:space="preserve">Right-click database → Properties → Options → Set </w:t>
      </w:r>
      <w:r>
        <w:rPr>
          <w:rFonts w:ascii="Arial" w:hAnsi="Arial" w:eastAsia="Arial" w:cs="Arial"/>
          <w:b/>
          <w:color w:val="141412"/>
          <w:sz w:val="24"/>
        </w:rPr>
        <w:t xml:space="preserve">Recovery Model = FULL</w:t>
      </w:r>
      <w:r>
        <w:rPr>
          <w:rFonts w:ascii="Arial" w:hAnsi="Arial" w:eastAsia="Arial" w:cs="Arial"/>
          <w:color w:val="141412"/>
          <w:sz w:val="24"/>
        </w:rPr>
        <w:t xml:space="preserve">.</w:t>
      </w:r>
      <w:r/>
    </w:p>
    <w:p w14:paraId="33C77329">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mc:AlternateContent>
          <mc:Choice Requires="wpg">
            <w:drawing>
              <wp:inline xmlns:wp="http://schemas.openxmlformats.org/drawingml/2006/wordprocessingDrawing" distT="0" distB="0" distL="0" distR="0">
                <wp:extent cx="5400040" cy="486553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32582" name=""/>
                        <pic:cNvPicPr>
                          <a:picLocks noChangeAspect="1"/>
                        </pic:cNvPicPr>
                        <pic:nvPr/>
                      </pic:nvPicPr>
                      <pic:blipFill rotWithShape="1">
                        <a:blip r:embed="rId16"/>
                        <a:stretch/>
                      </pic:blipFill>
                      <pic:spPr bwMode="auto">
                        <a:xfrm>
                          <a:off x="0" y="0"/>
                          <a:ext cx="5400039" cy="48655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5.20pt;height:383.11pt;mso-wrap-distance-left:0.00pt;mso-wrap-distance-top:0.00pt;mso-wrap-distance-right:0.00pt;mso-wrap-distance-bottom:0.00pt;z-index:1;" stroked="false">
                <v:imagedata r:id="rId16" o:title=""/>
                <o:lock v:ext="edit" rotation="t"/>
              </v:shape>
            </w:pict>
          </mc:Fallback>
        </mc:AlternateContent>
      </w:r>
      <w:r/>
    </w:p>
    <w:p w14:paraId="342C1889">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color w:val="141412"/>
          <w:sz w:val="24"/>
        </w:rPr>
        <w:t xml:space="preserve">Take a full database backup.</w:t>
      </w:r>
      <w:r/>
    </w:p>
    <w:p w14:paraId="4A2590DF">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mc:AlternateContent>
          <mc:Choice Requires="wpg">
            <w:drawing>
              <wp:inline xmlns:wp="http://schemas.openxmlformats.org/drawingml/2006/wordprocessingDrawing" distT="0" distB="0" distL="0" distR="0">
                <wp:extent cx="5400040" cy="396481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60133" name=""/>
                        <pic:cNvPicPr>
                          <a:picLocks noChangeAspect="1"/>
                        </pic:cNvPicPr>
                        <pic:nvPr/>
                      </pic:nvPicPr>
                      <pic:blipFill rotWithShape="1">
                        <a:blip r:embed="rId17"/>
                        <a:stretch/>
                      </pic:blipFill>
                      <pic:spPr bwMode="auto">
                        <a:xfrm>
                          <a:off x="0" y="0"/>
                          <a:ext cx="5400039" cy="39648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5.20pt;height:312.19pt;mso-wrap-distance-left:0.00pt;mso-wrap-distance-top:0.00pt;mso-wrap-distance-right:0.00pt;mso-wrap-distance-bottom:0.00pt;z-index:1;" stroked="false">
                <v:imagedata r:id="rId17" o:title=""/>
                <o:lock v:ext="edit" rotation="t"/>
              </v:shape>
            </w:pict>
          </mc:Fallback>
        </mc:AlternateContent>
      </w:r>
      <w:r/>
    </w:p>
    <w:p w14:paraId="7AE85D84">
      <w:pPr>
        <w:pStyle w:val="141"/>
        <w:pBdr>
          <w:top w:val="none" w:color="000000" w:sz="4" w:space="0"/>
          <w:left w:val="none" w:color="000000" w:sz="4" w:space="0"/>
          <w:bottom w:val="none" w:color="000000" w:sz="4" w:space="0"/>
          <w:right w:val="none" w:color="000000" w:sz="4" w:space="0"/>
        </w:pBdr>
        <w:shd w:val="clear" w:color="ffffff" w:fill="ffffff"/>
        <w:spacing w:after="330" w:before="330" w:line="312" w:lineRule="auto"/>
        <w:ind w:right="0" w:firstLine="0" w:left="0"/>
        <w:rPr/>
      </w:pPr>
      <w:r>
        <w:rPr>
          <w:rFonts w:ascii="Arial" w:hAnsi="Arial" w:eastAsia="Arial" w:cs="Arial"/>
          <w:b/>
          <w:color w:val="0000ff"/>
          <w:sz w:val="33"/>
        </w:rPr>
        <w:t xml:space="preserve">Step 2: Enable Log Shipping</w:t>
      </w:r>
      <w:r/>
    </w:p>
    <w:p w14:paraId="1547C5C5">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color w:val="141412"/>
          <w:sz w:val="24"/>
        </w:rPr>
        <w:t xml:space="preserve">Database → Properties → Transaction Log Shipping →</w:t>
        <w:br/>
        <w:t xml:space="preserve">Enable this as a primary database.</w:t>
      </w:r>
      <w:r/>
    </w:p>
    <w:p w14:paraId="76CA5332">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mc:AlternateContent>
          <mc:Choice Requires="wpg">
            <w:drawing>
              <wp:inline xmlns:wp="http://schemas.openxmlformats.org/drawingml/2006/wordprocessingDrawing" distT="0" distB="0" distL="0" distR="0">
                <wp:extent cx="5400040" cy="492773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15361" name=""/>
                        <pic:cNvPicPr>
                          <a:picLocks noChangeAspect="1"/>
                        </pic:cNvPicPr>
                        <pic:nvPr/>
                      </pic:nvPicPr>
                      <pic:blipFill rotWithShape="1">
                        <a:blip r:embed="rId18"/>
                        <a:stretch/>
                      </pic:blipFill>
                      <pic:spPr bwMode="auto">
                        <a:xfrm>
                          <a:off x="0" y="0"/>
                          <a:ext cx="5400039" cy="49277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5.20pt;height:388.01pt;mso-wrap-distance-left:0.00pt;mso-wrap-distance-top:0.00pt;mso-wrap-distance-right:0.00pt;mso-wrap-distance-bottom:0.00pt;z-index:1;" stroked="false">
                <v:imagedata r:id="rId18" o:title=""/>
                <o:lock v:ext="edit" rotation="t"/>
              </v:shape>
            </w:pict>
          </mc:Fallback>
        </mc:AlternateContent>
      </w:r>
      <w:r/>
    </w:p>
    <w:p w14:paraId="64899BC5">
      <w:pPr>
        <w:pStyle w:val="141"/>
        <w:pBdr>
          <w:top w:val="none" w:color="000000" w:sz="4" w:space="0"/>
          <w:left w:val="none" w:color="000000" w:sz="4" w:space="0"/>
          <w:bottom w:val="none" w:color="000000" w:sz="4" w:space="0"/>
          <w:right w:val="none" w:color="000000" w:sz="4" w:space="0"/>
        </w:pBdr>
        <w:shd w:val="clear" w:color="ffffff" w:fill="ffffff"/>
        <w:spacing w:after="330" w:before="330" w:line="312" w:lineRule="auto"/>
        <w:ind w:right="0" w:firstLine="0" w:left="0"/>
        <w:rPr/>
      </w:pPr>
      <w:r>
        <w:rPr>
          <w:rFonts w:ascii="Arial" w:hAnsi="Arial" w:eastAsia="Arial" w:cs="Arial"/>
          <w:b/>
          <w:color w:val="0000ff"/>
          <w:sz w:val="33"/>
        </w:rPr>
        <w:t xml:space="preserve">Step 3: Configure Backup Settings</w:t>
      </w:r>
      <w:r/>
    </w:p>
    <w:p w14:paraId="2B0840E4">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Arial" w:hAnsi="Arial" w:eastAsia="Arial" w:cs="Arial"/>
          <w:color w:val="141412"/>
          <w:sz w:val="24"/>
        </w:rPr>
        <w:t xml:space="preserve">Network path</w:t>
      </w:r>
      <w:r/>
    </w:p>
    <w:p w14:paraId="36B0FDF2">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Arial" w:hAnsi="Arial" w:eastAsia="Arial" w:cs="Arial"/>
          <w:color w:val="141412"/>
          <w:sz w:val="24"/>
        </w:rPr>
        <w:t xml:space="preserve">Local backup folder (if you are storing Tlog Backups in local drive )</w:t>
      </w:r>
      <w:r/>
    </w:p>
    <w:p w14:paraId="61EA20F8">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Arial" w:hAnsi="Arial" w:eastAsia="Arial" w:cs="Arial"/>
          <w:color w:val="141412"/>
          <w:sz w:val="24"/>
        </w:rPr>
        <w:t xml:space="preserve">Backup job schedule (e.g. every 5 minutes)</w:t>
      </w:r>
      <w:r/>
    </w:p>
    <w:p w14:paraId="4353A541">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mc:AlternateContent>
          <mc:Choice Requires="wpg">
            <w:drawing>
              <wp:inline xmlns:wp="http://schemas.openxmlformats.org/drawingml/2006/wordprocessingDrawing" distT="0" distB="0" distL="0" distR="0">
                <wp:extent cx="5400040" cy="539220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73757" name=""/>
                        <pic:cNvPicPr>
                          <a:picLocks noChangeAspect="1"/>
                        </pic:cNvPicPr>
                        <pic:nvPr/>
                      </pic:nvPicPr>
                      <pic:blipFill rotWithShape="1">
                        <a:blip r:embed="rId19"/>
                        <a:stretch/>
                      </pic:blipFill>
                      <pic:spPr bwMode="auto">
                        <a:xfrm>
                          <a:off x="0" y="0"/>
                          <a:ext cx="5400039" cy="53922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5.20pt;height:424.58pt;mso-wrap-distance-left:0.00pt;mso-wrap-distance-top:0.00pt;mso-wrap-distance-right:0.00pt;mso-wrap-distance-bottom:0.00pt;z-index:1;" stroked="false">
                <v:imagedata r:id="rId19" o:title=""/>
                <o:lock v:ext="edit" rotation="t"/>
              </v:shape>
            </w:pict>
          </mc:Fallback>
        </mc:AlternateContent>
      </w:r>
      <w:r/>
    </w:p>
    <w:p w14:paraId="40E76C9A">
      <w:pPr>
        <w:pStyle w:val="141"/>
        <w:pBdr>
          <w:top w:val="none" w:color="000000" w:sz="4" w:space="0"/>
          <w:left w:val="none" w:color="000000" w:sz="4" w:space="0"/>
          <w:bottom w:val="none" w:color="000000" w:sz="4" w:space="0"/>
          <w:right w:val="none" w:color="000000" w:sz="4" w:space="0"/>
        </w:pBdr>
        <w:shd w:val="clear" w:color="ffffff" w:fill="ffffff"/>
        <w:spacing w:after="330" w:before="330" w:line="312" w:lineRule="auto"/>
        <w:ind w:right="0" w:firstLine="0" w:left="0"/>
        <w:rPr/>
      </w:pPr>
      <w:r>
        <w:rPr>
          <w:rFonts w:ascii="Arial" w:hAnsi="Arial" w:eastAsia="Arial" w:cs="Arial"/>
          <w:b/>
          <w:color w:val="0000ff"/>
          <w:sz w:val="33"/>
        </w:rPr>
        <w:t xml:space="preserve">Step 4: Add Secondary Database</w:t>
      </w:r>
      <w:r/>
    </w:p>
    <w:p w14:paraId="5A469359">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color w:val="141412"/>
          <w:sz w:val="24"/>
        </w:rPr>
        <w:t xml:space="preserve">Initialize Secondary → Restore from backup (recommended).</w:t>
      </w:r>
      <w:r/>
    </w:p>
    <w:p w14:paraId="7574BEDF">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mc:AlternateContent>
          <mc:Choice Requires="wpg">
            <w:drawing>
              <wp:inline xmlns:wp="http://schemas.openxmlformats.org/drawingml/2006/wordprocessingDrawing" distT="0" distB="0" distL="0" distR="0">
                <wp:extent cx="5400040" cy="458705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41918" name=""/>
                        <pic:cNvPicPr>
                          <a:picLocks noChangeAspect="1"/>
                        </pic:cNvPicPr>
                        <pic:nvPr/>
                      </pic:nvPicPr>
                      <pic:blipFill rotWithShape="1">
                        <a:blip r:embed="rId20"/>
                        <a:stretch/>
                      </pic:blipFill>
                      <pic:spPr bwMode="auto">
                        <a:xfrm>
                          <a:off x="0" y="0"/>
                          <a:ext cx="5400039" cy="4587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5.20pt;height:361.19pt;mso-wrap-distance-left:0.00pt;mso-wrap-distance-top:0.00pt;mso-wrap-distance-right:0.00pt;mso-wrap-distance-bottom:0.00pt;z-index:1;" stroked="false">
                <v:imagedata r:id="rId20" o:title=""/>
                <o:lock v:ext="edit" rotation="t"/>
              </v:shape>
            </w:pict>
          </mc:Fallback>
        </mc:AlternateContent>
      </w:r>
      <w:r/>
    </w:p>
    <w:p w14:paraId="317D08F6">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color w:val="0000ff"/>
          <w:sz w:val="24"/>
        </w:rPr>
        <w:t xml:space="preserve">Configure Copy and Restore jobs.</w:t>
      </w:r>
      <w:r/>
    </w:p>
    <w:p w14:paraId="4D16B426">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mc:AlternateContent>
          <mc:Choice Requires="wpg">
            <w:drawing>
              <wp:inline xmlns:wp="http://schemas.openxmlformats.org/drawingml/2006/wordprocessingDrawing" distT="0" distB="0" distL="0" distR="0">
                <wp:extent cx="5400040" cy="458705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49464" name=""/>
                        <pic:cNvPicPr>
                          <a:picLocks noChangeAspect="1"/>
                        </pic:cNvPicPr>
                        <pic:nvPr/>
                      </pic:nvPicPr>
                      <pic:blipFill rotWithShape="1">
                        <a:blip r:embed="rId21"/>
                        <a:stretch/>
                      </pic:blipFill>
                      <pic:spPr bwMode="auto">
                        <a:xfrm>
                          <a:off x="0" y="0"/>
                          <a:ext cx="5400039" cy="45870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5.20pt;height:361.19pt;mso-wrap-distance-left:0.00pt;mso-wrap-distance-top:0.00pt;mso-wrap-distance-right:0.00pt;mso-wrap-distance-bottom:0.00pt;z-index:1;" stroked="false">
                <v:imagedata r:id="rId21" o:title=""/>
                <o:lock v:ext="edit" rotation="t"/>
              </v:shape>
            </w:pict>
          </mc:Fallback>
        </mc:AlternateContent>
        <w:br/>
        <mc:AlternateContent>
          <mc:Choice Requires="wpg">
            <w:drawing>
              <wp:inline xmlns:wp="http://schemas.openxmlformats.org/drawingml/2006/wordprocessingDrawing" distT="0" distB="0" distL="0" distR="0">
                <wp:extent cx="5400040" cy="461362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68196" name=""/>
                        <pic:cNvPicPr>
                          <a:picLocks noChangeAspect="1"/>
                        </pic:cNvPicPr>
                        <pic:nvPr/>
                      </pic:nvPicPr>
                      <pic:blipFill rotWithShape="1">
                        <a:blip r:embed="rId22"/>
                        <a:stretch/>
                      </pic:blipFill>
                      <pic:spPr bwMode="auto">
                        <a:xfrm>
                          <a:off x="0" y="0"/>
                          <a:ext cx="5400039" cy="46136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5.20pt;height:363.28pt;mso-wrap-distance-left:0.00pt;mso-wrap-distance-top:0.00pt;mso-wrap-distance-right:0.00pt;mso-wrap-distance-bottom:0.00pt;z-index:1;" stroked="false">
                <v:imagedata r:id="rId22" o:title=""/>
                <o:lock v:ext="edit" rotation="t"/>
              </v:shape>
            </w:pict>
          </mc:Fallback>
        </mc:AlternateContent>
      </w:r>
      <w:r/>
    </w:p>
    <w:p w14:paraId="73823C52">
      <w:pPr>
        <w:pStyle w:val="141"/>
        <w:pBdr>
          <w:top w:val="none" w:color="000000" w:sz="4" w:space="0"/>
          <w:left w:val="none" w:color="000000" w:sz="4" w:space="0"/>
          <w:bottom w:val="none" w:color="000000" w:sz="4" w:space="0"/>
          <w:right w:val="none" w:color="000000" w:sz="4" w:space="0"/>
        </w:pBdr>
        <w:shd w:val="clear" w:color="ffffff" w:fill="ffffff"/>
        <w:spacing w:after="330" w:before="330" w:line="312" w:lineRule="auto"/>
        <w:ind w:right="0" w:firstLine="0" w:left="0"/>
        <w:rPr/>
      </w:pPr>
      <w:r>
        <w:rPr>
          <w:rFonts w:ascii="Arial" w:hAnsi="Arial" w:eastAsia="Arial" w:cs="Arial"/>
          <w:b/>
          <w:color w:val="0000ff"/>
          <w:sz w:val="33"/>
        </w:rPr>
        <w:t xml:space="preserve">Step 5: Finish Configuration</w:t>
      </w:r>
      <w:r/>
    </w:p>
    <w:p w14:paraId="2092B255">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color w:val="141412"/>
          <w:sz w:val="24"/>
        </w:rPr>
        <w:t xml:space="preserve">Click OK. SQL Server will automatically create all required jobs.</w:t>
      </w:r>
      <w:r/>
    </w:p>
    <w:p w14:paraId="12992F83">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mc:AlternateContent>
          <mc:Choice Requires="wpg">
            <w:drawing>
              <wp:inline xmlns:wp="http://schemas.openxmlformats.org/drawingml/2006/wordprocessingDrawing" distT="0" distB="0" distL="0" distR="0">
                <wp:extent cx="5400040" cy="487644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01877" name=""/>
                        <pic:cNvPicPr>
                          <a:picLocks noChangeAspect="1"/>
                        </pic:cNvPicPr>
                        <pic:nvPr/>
                      </pic:nvPicPr>
                      <pic:blipFill rotWithShape="1">
                        <a:blip r:embed="rId23"/>
                        <a:stretch/>
                      </pic:blipFill>
                      <pic:spPr bwMode="auto">
                        <a:xfrm>
                          <a:off x="0" y="0"/>
                          <a:ext cx="5400039" cy="4876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5.20pt;height:383.97pt;mso-wrap-distance-left:0.00pt;mso-wrap-distance-top:0.00pt;mso-wrap-distance-right:0.00pt;mso-wrap-distance-bottom:0.00pt;z-index:1;" stroked="false">
                <v:imagedata r:id="rId23" o:title=""/>
                <o:lock v:ext="edit" rotation="t"/>
              </v:shape>
            </w:pict>
          </mc:Fallback>
        </mc:AlternateContent>
      </w:r>
      <w:r/>
    </w:p>
    <w:p w14:paraId="402A9BD0">
      <w:pPr>
        <w:pStyle w:val="140"/>
        <w:pBdr>
          <w:top w:val="none" w:color="000000" w:sz="4" w:space="0"/>
          <w:left w:val="none" w:color="000000" w:sz="4" w:space="0"/>
          <w:bottom w:val="none" w:color="000000" w:sz="4" w:space="0"/>
          <w:right w:val="none" w:color="000000" w:sz="4" w:space="0"/>
        </w:pBdr>
        <w:shd w:val="clear" w:color="ffffff" w:fill="ffffff"/>
        <w:spacing w:after="375" w:before="375" w:line="312" w:lineRule="auto"/>
        <w:ind w:right="0" w:firstLine="0" w:left="0"/>
        <w:rPr/>
      </w:pPr>
      <w:r>
        <w:rPr>
          <w:rFonts w:ascii="Arial" w:hAnsi="Arial" w:eastAsia="Arial" w:cs="Arial"/>
          <w:b/>
          <w:color w:val="0000ff"/>
          <w:sz w:val="45"/>
        </w:rPr>
        <w:t xml:space="preserve">Verification &amp; Testing</w:t>
      </w:r>
      <w:r/>
    </w:p>
    <w:p w14:paraId="2B715762">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b/>
          <w:color w:val="141412"/>
          <w:sz w:val="24"/>
        </w:rPr>
        <w:t xml:space="preserve">Jobs will be created automatically:</w:t>
      </w:r>
      <w:r/>
    </w:p>
    <w:p w14:paraId="47103958">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Arial" w:hAnsi="Arial" w:eastAsia="Arial" w:cs="Arial"/>
          <w:color w:val="141412"/>
          <w:sz w:val="24"/>
        </w:rPr>
        <w:t xml:space="preserve">Primary: LSBackup_SALES, LSAlert_SGMSQL1</w:t>
      </w:r>
      <w:r/>
    </w:p>
    <w:p w14:paraId="4E897545">
      <w:pPr>
        <w:pStyle w:val="668"/>
        <w:numPr>
          <w:ilvl w:val="0"/>
          <w:numId w:val="2"/>
        </w:numPr>
        <w:pBdr>
          <w:top w:val="none" w:color="000000" w:sz="4" w:space="0"/>
          <w:left w:val="none" w:color="000000" w:sz="4" w:space="0"/>
          <w:bottom w:val="none" w:color="000000" w:sz="4" w:space="0"/>
          <w:right w:val="none" w:color="000000" w:sz="4" w:space="0"/>
        </w:pBdr>
        <w:shd w:val="clear" w:color="ffffff" w:fill="ffffff"/>
        <w:spacing/>
        <w:ind w:right="0"/>
        <w:rPr/>
      </w:pPr>
      <w:r>
        <w:rPr>
          <w:rFonts w:ascii="Arial" w:hAnsi="Arial" w:eastAsia="Arial" w:cs="Arial"/>
          <w:color w:val="141412"/>
          <w:sz w:val="24"/>
        </w:rPr>
        <w:t xml:space="preserve">Secondary: LSCopy, LSRestore, LSAlert_SGMSQL2</w:t>
      </w:r>
      <w:r/>
    </w:p>
    <w:p w14:paraId="6967FBC1">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color w:val="141412"/>
          <w:sz w:val="24"/>
        </w:rPr>
        <w:t xml:space="preserve">Secondary database should be in </w:t>
      </w:r>
      <w:r>
        <w:rPr>
          <w:rFonts w:ascii="Arial" w:hAnsi="Arial" w:eastAsia="Arial" w:cs="Arial"/>
          <w:b/>
          <w:color w:val="141412"/>
          <w:sz w:val="24"/>
        </w:rPr>
        <w:t xml:space="preserve">Standby / Read-Only</w:t>
      </w:r>
      <w:r>
        <w:rPr>
          <w:rFonts w:ascii="Arial" w:hAnsi="Arial" w:eastAsia="Arial" w:cs="Arial"/>
          <w:color w:val="141412"/>
          <w:sz w:val="24"/>
        </w:rPr>
        <w:t xml:space="preserve"> mode.</w:t>
      </w:r>
      <w:r/>
    </w:p>
    <w:p w14:paraId="36CCA622">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mc:AlternateContent>
          <mc:Choice Requires="wpg">
            <w:drawing>
              <wp:inline xmlns:wp="http://schemas.openxmlformats.org/drawingml/2006/wordprocessingDrawing" distT="0" distB="0" distL="0" distR="0">
                <wp:extent cx="2752725" cy="106680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33814" name=""/>
                        <pic:cNvPicPr>
                          <a:picLocks noChangeAspect="1"/>
                        </pic:cNvPicPr>
                        <pic:nvPr/>
                      </pic:nvPicPr>
                      <pic:blipFill rotWithShape="1">
                        <a:blip r:embed="rId24"/>
                        <a:stretch/>
                      </pic:blipFill>
                      <pic:spPr bwMode="auto">
                        <a:xfrm>
                          <a:off x="0" y="0"/>
                          <a:ext cx="2752724" cy="1066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16.75pt;height:84.00pt;mso-wrap-distance-left:0.00pt;mso-wrap-distance-top:0.00pt;mso-wrap-distance-right:0.00pt;mso-wrap-distance-bottom:0.00pt;z-index:1;" stroked="false">
                <v:imagedata r:id="rId24" o:title=""/>
                <o:lock v:ext="edit" rotation="t"/>
              </v:shape>
            </w:pict>
          </mc:Fallback>
        </mc:AlternateContent>
      </w:r>
      <w:r/>
    </w:p>
    <w:p w14:paraId="27ABB494">
      <w:pPr>
        <w:pStyle w:val="141"/>
        <w:pBdr>
          <w:top w:val="none" w:color="000000" w:sz="4" w:space="0"/>
          <w:left w:val="none" w:color="000000" w:sz="4" w:space="0"/>
          <w:bottom w:val="none" w:color="000000" w:sz="4" w:space="0"/>
          <w:right w:val="none" w:color="000000" w:sz="4" w:space="0"/>
        </w:pBdr>
        <w:shd w:val="clear" w:color="ffffff" w:fill="ffffff"/>
        <w:spacing w:after="330" w:before="330" w:line="312" w:lineRule="auto"/>
        <w:ind w:right="0" w:firstLine="0" w:left="0"/>
        <w:rPr/>
      </w:pPr>
      <w:r>
        <w:rPr>
          <w:rFonts w:ascii="Arial" w:hAnsi="Arial" w:eastAsia="Arial" w:cs="Arial"/>
          <w:b/>
          <w:color w:val="339966"/>
          <w:sz w:val="33"/>
        </w:rPr>
        <w:t xml:space="preserve">Testing</w:t>
      </w:r>
      <w:r/>
    </w:p>
    <w:p w14:paraId="5BFD7CC7">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color w:val="141412"/>
          <w:sz w:val="24"/>
        </w:rPr>
        <w:t xml:space="preserve">Create a table on Primary and verify it appears on Secondary after restore.</w:t>
      </w:r>
      <w:r/>
    </w:p>
    <w:p w14:paraId="6F427426">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color w:val="141412"/>
          <w:sz w:val="24"/>
        </w:rPr>
        <w:t xml:space="preserve">On Primary :</w:t>
      </w:r>
      <w:r/>
    </w:p>
    <w:p w14:paraId="435B48EF">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mc:AlternateContent>
          <mc:Choice Requires="wpg">
            <w:drawing>
              <wp:inline xmlns:wp="http://schemas.openxmlformats.org/drawingml/2006/wordprocessingDrawing" distT="0" distB="0" distL="0" distR="0">
                <wp:extent cx="5400040" cy="279054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77334" name=""/>
                        <pic:cNvPicPr>
                          <a:picLocks noChangeAspect="1"/>
                        </pic:cNvPicPr>
                        <pic:nvPr/>
                      </pic:nvPicPr>
                      <pic:blipFill rotWithShape="1">
                        <a:blip r:embed="rId25"/>
                        <a:stretch/>
                      </pic:blipFill>
                      <pic:spPr bwMode="auto">
                        <a:xfrm>
                          <a:off x="0" y="0"/>
                          <a:ext cx="5400039" cy="27905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5.20pt;height:219.73pt;mso-wrap-distance-left:0.00pt;mso-wrap-distance-top:0.00pt;mso-wrap-distance-right:0.00pt;mso-wrap-distance-bottom:0.00pt;z-index:1;" stroked="false">
                <v:imagedata r:id="rId25" o:title=""/>
                <o:lock v:ext="edit" rotation="t"/>
              </v:shape>
            </w:pict>
          </mc:Fallback>
        </mc:AlternateContent>
      </w:r>
      <w:r/>
    </w:p>
    <w:p w14:paraId="34333CD8">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color w:val="141412"/>
          <w:sz w:val="24"/>
        </w:rPr>
        <w:t xml:space="preserve">On Standby : (After 5 Minutes)</w:t>
      </w:r>
      <w:r/>
    </w:p>
    <w:p w14:paraId="5A129896">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mc:AlternateContent>
          <mc:Choice Requires="wpg">
            <w:drawing>
              <wp:inline xmlns:wp="http://schemas.openxmlformats.org/drawingml/2006/wordprocessingDrawing" distT="0" distB="0" distL="0" distR="0">
                <wp:extent cx="5400040" cy="213143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44186" name=""/>
                        <pic:cNvPicPr>
                          <a:picLocks noChangeAspect="1"/>
                        </pic:cNvPicPr>
                        <pic:nvPr/>
                      </pic:nvPicPr>
                      <pic:blipFill rotWithShape="1">
                        <a:blip r:embed="rId26"/>
                        <a:stretch/>
                      </pic:blipFill>
                      <pic:spPr bwMode="auto">
                        <a:xfrm>
                          <a:off x="0" y="0"/>
                          <a:ext cx="5400039" cy="21314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5.20pt;height:167.83pt;mso-wrap-distance-left:0.00pt;mso-wrap-distance-top:0.00pt;mso-wrap-distance-right:0.00pt;mso-wrap-distance-bottom:0.00pt;z-index:1;" stroked="false">
                <v:imagedata r:id="rId26" o:title=""/>
                <o:lock v:ext="edit" rotation="t"/>
              </v:shape>
            </w:pict>
          </mc:Fallback>
        </mc:AlternateContent>
      </w:r>
      <w:r/>
    </w:p>
    <w:p w14:paraId="52F8F42B">
      <w:pPr>
        <w:pBdr>
          <w:top w:val="none" w:color="000000" w:sz="4" w:space="0"/>
          <w:left w:val="none" w:color="000000" w:sz="4" w:space="0"/>
          <w:bottom w:val="none" w:color="000000" w:sz="4" w:space="0"/>
          <w:right w:val="none" w:color="000000" w:sz="4" w:space="0"/>
        </w:pBdr>
        <w:shd w:val="clear" w:color="ffffff" w:fill="ffffff"/>
        <w:spacing w:after="360" w:before="0"/>
        <w:ind w:right="0" w:firstLine="0" w:left="0"/>
        <w:rPr/>
      </w:pPr>
      <w:r>
        <w:rPr>
          <w:rFonts w:ascii="Arial" w:hAnsi="Arial" w:eastAsia="Arial" w:cs="Arial"/>
          <w:b/>
          <w:color w:val="ff0000"/>
          <w:sz w:val="24"/>
        </w:rPr>
        <w:t xml:space="preserve">Caution:</w:t>
      </w:r>
      <w:r>
        <w:rPr>
          <w:rFonts w:ascii="Arial" w:hAnsi="Arial" w:eastAsia="Arial" w:cs="Arial"/>
          <w:b/>
          <w:i/>
          <w:color w:val="ff0000"/>
          <w:sz w:val="24"/>
        </w:rPr>
        <w:t xml:space="preserve"> Your use of any information or materials on this website is entirely at your own risk. It is provided for educational purposes only. It has been tested internally, however, we do not guarantee that it will work for you. Ensure that you run it in your test</w:t>
      </w:r>
      <w:r>
        <w:rPr>
          <w:rFonts w:ascii="Arial" w:hAnsi="Arial" w:eastAsia="Arial" w:cs="Arial"/>
          <w:b/>
          <w:i/>
          <w:color w:val="ff0000"/>
          <w:sz w:val="24"/>
        </w:rPr>
        <w:t xml:space="preserve"> environment before using.</w:t>
      </w:r>
      <w:r/>
    </w:p>
    <w:p>
      <w:pPr>
        <w:pBdr/>
        <w:spacing/>
        <w:ind/>
        <w:rPr/>
      </w:pPr>
      <w:r/>
      <w:bookmarkStart w:id="0" w:name="_GoBack"/>
      <w:r/>
      <w:bookmarkEnd w:id="0"/>
      <w:r/>
      <w:r/>
    </w:p>
    <w:sectPr>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New">
    <w:panose1 w:val="02070309020205020404"/>
  </w:font>
  <w:font w:name="Wingdings">
    <w:panose1 w:val="0500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DE4D5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4A35C980"/>
    <w:lvl w:ilvl="0">
      <w:isLgl w:val="false"/>
      <w:lvlJc w:val="left"/>
      <w:lvlText w:val="§"/>
      <w:numFmt w:val="bullet"/>
      <w:pPr>
        <w:pBdr/>
        <w:spacing/>
        <w:ind w:hanging="360" w:left="709"/>
      </w:pPr>
      <w:rPr>
        <w:rFonts w:hint="default"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br8dba.com/log-shipping-sql-server-2022/#overview" TargetMode="External"/><Relationship Id="rId10" Type="http://schemas.openxmlformats.org/officeDocument/2006/relationships/hyperlink" Target="https://www.br8dba.com/log-shipping-sql-server-2022/#oracle-vs-sql" TargetMode="External"/><Relationship Id="rId11" Type="http://schemas.openxmlformats.org/officeDocument/2006/relationships/hyperlink" Target="https://www.br8dba.com/log-shipping-sql-server-2022/#architecture" TargetMode="External"/><Relationship Id="rId12" Type="http://schemas.openxmlformats.org/officeDocument/2006/relationships/hyperlink" Target="https://www.br8dba.com/log-shipping-sql-server-2022/#environment" TargetMode="External"/><Relationship Id="rId13" Type="http://schemas.openxmlformats.org/officeDocument/2006/relationships/hyperlink" Target="https://www.br8dba.com/log-shipping-sql-server-2022/#prerequisites" TargetMode="External"/><Relationship Id="rId14" Type="http://schemas.openxmlformats.org/officeDocument/2006/relationships/hyperlink" Target="https://www.br8dba.com/log-shipping-sql-server-2022/#steps" TargetMode="External"/><Relationship Id="rId15" Type="http://schemas.openxmlformats.org/officeDocument/2006/relationships/hyperlink" Target="https://www.br8dba.com/log-shipping-sql-server-2022/#verification" TargetMode="Externa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2</cp:revision>
  <dcterms:modified xsi:type="dcterms:W3CDTF">2026-09-09T21:31:49Z</dcterms:modified>
</cp:coreProperties>
</file>