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ma-7--el-ministerio-del-interior"/>
    <w:p>
      <w:pPr>
        <w:pStyle w:val="Heading1"/>
        <w:keepNext/>
        <w:keepLines/>
        <w:spacing w:before="480" w:after="80"/>
        <w:jc w:val="center"/>
      </w:pPr>
      <w:r>
        <w:rPr>
          <w:rFonts w:ascii="Calibri" w:hAnsi="Calibri" w:eastAsia="Calibri"/>
          <w:b/>
          <w:color w:val="17365D"/>
          <w:sz w:val="46"/>
        </w:rPr>
        <w:t xml:space="preserve">TEMA 7 · EL MINISTERIO DEL INTERIOR</w:t>
      </w:r>
    </w:p>
    <w:bookmarkStart w:id="20" w:name="temario-esencial--el-parte"/>
    <w:p>
      <w:pPr>
        <w:pStyle w:val="Heading2"/>
        <w:keepNext/>
        <w:keepLines/>
        <w:spacing w:after="240"/>
        <w:jc w:val="center"/>
      </w:pPr>
      <w:r>
        <w:rPr>
          <w:rFonts w:ascii="Calibri" w:hAnsi="Calibri" w:eastAsia="Calibri"/>
          <w:b/>
          <w:color w:val="2E74B5"/>
          <w:sz w:val="26"/>
        </w:rPr>
        <w:t xml:space="preserve">Temario Esencial — EL PARTE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Policía Nacional · Escala Básica · Bloque A: Ciencias Jurídicas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🛡️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ACADEMIA EN VIGOR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·</w:t>
      </w:r>
      <w:r>
        <w:rPr>
          <w:rFonts w:ascii="Calibri" w:hAnsi="Calibri" w:eastAsia="Calibri"/>
        </w:rPr>
        <w:t xml:space="preserve"> </w:t>
      </w:r>
      <w:r>
        <w:rPr>
          <w:iCs/>
          <w:rFonts w:ascii="Calibri" w:hAnsi="Calibri" w:eastAsia="Calibri"/>
          <w:i/>
        </w:rPr>
        <w:t xml:space="preserve">El temario que nunca duerme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Versión: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1.0.0 ·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Corte normativo: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28/07/2026 ·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Estado: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publicado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Programa oficial cubierto: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«El Ministerio del Interior: estructura orgánica básica. La Secretaría de Estado de Seguridad: estructura y funciones».</w:t>
      </w:r>
    </w:p>
    <w:p>
      <w:pPr>
        <w:widowControl/>
      </w:pPr>
      <w:r>
        <w:rPr>
          <w:rFonts w:ascii="Calibri" w:hAnsi="Calibri" w:eastAsia="Calibri"/>
        </w:rPr>
        <w:pict>
          <v:rect style="width:0;height:1.5pt" o:hralign="center" o:hrstd="t" o:hr="t"/>
        </w:pict>
      </w:r>
    </w:p>
    <w:bookmarkEnd w:id="20"/>
    <w:bookmarkEnd w:id="21"/>
    <w:bookmarkStart w:id="25" w:name="X5be81e445c2cb32ee61ff6a1efe66b58776cf1d"/>
    <w:p>
      <w:pPr>
        <w:pStyle w:val="Heading1"/>
        <w:keepNext/>
        <w:keepLines/>
      </w:pPr>
      <w:r>
        <w:rPr>
          <w:rFonts w:ascii="Calibri" w:hAnsi="Calibri" w:eastAsia="Calibri"/>
        </w:rPr>
        <w:t xml:space="preserve">📋 MAPA DEL TEMA</w:t>
      </w:r>
    </w:p>
    <w:bookmarkStart w:id="22" w:name="qué-exige-el-programa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Qué exige el programa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El Tema 7 tiene dos núcleos: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Calibri" w:hAnsi="Calibri" w:eastAsia="Calibri"/>
          <w:b/>
        </w:rPr>
        <w:t xml:space="preserve">Ministerio del Interior: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competencias, mando y estructura orgánica básica.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Calibri" w:hAnsi="Calibri" w:eastAsia="Calibri"/>
          <w:b/>
        </w:rPr>
        <w:t xml:space="preserve">Secretaría de Estado de Seguridad (SES):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posición, funciones y órganos que dependen de ella.</w:t>
      </w:r>
    </w:p>
    <w:bookmarkEnd w:id="22"/>
    <w:bookmarkStart w:id="23" w:name="normativa-clave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Normativa clave</w:t>
      </w:r>
    </w:p>
    <w:tbl>
      <w:tblPr>
        <w:tblStyle w:val="Table"/>
        <w:tblW w:type="dxa" w:w="9648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3015"/>
        <w:gridCol w:w="6633"/>
      </w:tblGrid>
      <w:tr>
        <w:trPr>
          <w:tblHeader w:val="true"/>
          <w:tblHeader w:val="true"/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 xml:space="preserve">Norma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 xml:space="preserve">Función dentro del tema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Resolución de 7 de julio de 2026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Fija el enunciado oficial del Tema 7 para Escala Básica.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Real Decreto 207/2024, de 27 de febrero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Desarrolla la estructura del Ministerio hasta el nivel de subdirección general.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Real Decreto 328/2026, de 22 de abril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Reforma el organigrama y crea la Secretaría General de Protección Civil y Emergencias.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Real Decreto 1009/2023, de 5 de diciembre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Establece la estructura básica de los departamentos ministeriales.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Ley 40/2015, de 1 de octubre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Regula órganos superiores y directivos y las funciones generales de ministros, secretarios de Estado, subsecretarios y secretarios generales.</w:t>
            </w:r>
          </w:p>
        </w:tc>
      </w:tr>
    </w:tbl>
    <w:bookmarkEnd w:id="23"/>
    <w:bookmarkStart w:id="24" w:name="división-de-estudio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División de estudio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Calibri" w:hAnsi="Calibri" w:eastAsia="Calibri"/>
          <w:b/>
        </w:rPr>
        <w:t xml:space="preserve">El Ministerio: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qué hace, quién manda y cómo queda el organigrama en 2026.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Calibri" w:hAnsi="Calibri" w:eastAsia="Calibri"/>
          <w:b/>
        </w:rPr>
        <w:t xml:space="preserve">La SES: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sus quince grandes funciones.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Calibri" w:hAnsi="Calibri" w:eastAsia="Calibri"/>
          <w:b/>
        </w:rPr>
        <w:t xml:space="preserve">El núcleo directo de la SES: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Gabinete, CITCO, Comité Ejecutivo, dos subdirecciones y Gerencia.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Calibri" w:hAnsi="Calibri" w:eastAsia="Calibri"/>
          <w:b/>
        </w:rPr>
        <w:t xml:space="preserve">Los cuatro órganos directivos de la SES: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ubicación y funciones que pueden confundirse.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Calibri" w:hAnsi="Calibri" w:eastAsia="Calibri"/>
          <w:b/>
        </w:rPr>
        <w:t xml:space="preserve">Trampas, exámenes oficiales y última vuelta.</w:t>
      </w:r>
    </w:p>
    <w:p>
      <w:pPr>
        <w:pStyle w:val="AcademiaEnVigor·Destacado"/>
      </w:pPr>
      <w:r>
        <w:rPr>
          <w:rFonts w:ascii="Calibri" w:hAnsi="Calibri" w:eastAsia="Calibri"/>
          <w:color w:val="17365D"/>
          <w:sz w:val="20"/>
        </w:rPr>
        <w:t xml:space="preserve">⚠️</w:t>
      </w:r>
      <w:r>
        <w:rPr>
          <w:rFonts w:ascii="Calibri" w:hAnsi="Calibri" w:eastAsia="Calibri"/>
          <w:color w:val="17365D"/>
          <w:sz w:val="20"/>
        </w:rPr>
        <w:t xml:space="preserve"> </w:t>
      </w:r>
      <w:r>
        <w:rPr>
          <w:bCs/>
          <w:rFonts w:ascii="Calibri" w:hAnsi="Calibri" w:eastAsia="Calibri"/>
          <w:b/>
          <w:color w:val="17365D"/>
          <w:sz w:val="20"/>
        </w:rPr>
        <w:t xml:space="preserve">ALERTA DEL VIGÍA</w:t>
      </w:r>
      <w:r>
        <w:rPr>
          <w:rFonts w:ascii="Calibri" w:hAnsi="Calibri" w:eastAsia="Calibri"/>
          <w:color w:val="17365D"/>
          <w:sz w:val="20"/>
        </w:rPr>
        <w:t xml:space="preserve"> </w:t>
      </w:r>
      <w:r>
        <w:rPr>
          <w:rFonts w:ascii="Calibri" w:hAnsi="Calibri" w:eastAsia="Calibri"/>
          <w:color w:val="17365D"/>
          <w:sz w:val="20"/>
        </w:rPr>
        <w:t xml:space="preserve">La reforma de abril de 2026 sacó Protección Civil de la Subsecretaría y creó una</w:t>
      </w:r>
      <w:r>
        <w:rPr>
          <w:rFonts w:ascii="Calibri" w:hAnsi="Calibri" w:eastAsia="Calibri"/>
          <w:color w:val="17365D"/>
          <w:sz w:val="20"/>
        </w:rPr>
        <w:t xml:space="preserve"> </w:t>
      </w:r>
      <w:r>
        <w:rPr>
          <w:bCs/>
          <w:rFonts w:ascii="Calibri" w:hAnsi="Calibri" w:eastAsia="Calibri"/>
          <w:b/>
          <w:color w:val="17365D"/>
          <w:sz w:val="20"/>
        </w:rPr>
        <w:t xml:space="preserve">Secretaría General de Protección Civil y Emergencias</w:t>
      </w:r>
      <w:r>
        <w:rPr>
          <w:rFonts w:ascii="Calibri" w:hAnsi="Calibri" w:eastAsia="Calibri"/>
          <w:color w:val="17365D"/>
          <w:sz w:val="20"/>
        </w:rPr>
        <w:t xml:space="preserve">, dependiente directamente de la persona titular del Ministerio. Cualquier organigrama que coloque todavía la Dirección General de Protección Civil y Emergencias bajo la Subsecretaría está desactualizado.</w:t>
      </w:r>
    </w:p>
    <w:p>
      <w:pPr>
        <w:widowControl/>
      </w:pPr>
      <w:r>
        <w:rPr>
          <w:rFonts w:ascii="Calibri" w:hAnsi="Calibri" w:eastAsia="Calibri"/>
        </w:rPr>
        <w:pict>
          <v:rect style="width:0;height:1.5pt" o:hralign="center" o:hrstd="t" o:hr="t"/>
        </w:pict>
      </w:r>
    </w:p>
    <w:bookmarkEnd w:id="24"/>
    <w:bookmarkEnd w:id="25"/>
    <w:bookmarkStart w:id="35" w:name="Xa8ff583a4cb96251c6cf726d64c07c1eb4eaaf4"/>
    <w:p>
      <w:pPr>
        <w:pStyle w:val="Heading1"/>
        <w:keepNext/>
        <w:keepLines/>
      </w:pPr>
      <w:r>
        <w:rPr>
          <w:rFonts w:ascii="Calibri" w:hAnsi="Calibri" w:eastAsia="Calibri"/>
        </w:rPr>
        <w:t xml:space="preserve">🟦 PARTE 1 · EL MINISTERIO DEL INTERIOR</w:t>
      </w:r>
    </w:p>
    <w:bookmarkStart w:id="26" w:name="X70756d593e02382e1b582bcb836cd9e6ba5bb15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1. Competencias del Departamento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El Ministerio del Interior propone y ejecuta la política del Gobierno en estas materias:</w:t>
      </w:r>
    </w:p>
    <w:p>
      <w:pPr>
        <w:widowControl/>
        <w:numPr>
          <w:ilvl w:val="0"/>
          <w:numId w:val="1003"/>
        </w:numPr>
        <w:pStyle w:val="Compact"/>
      </w:pPr>
      <w:r>
        <w:rPr>
          <w:bCs/>
          <w:rFonts w:ascii="Calibri" w:hAnsi="Calibri" w:eastAsia="Calibri"/>
          <w:b/>
        </w:rPr>
        <w:t xml:space="preserve">Seguridad ciudadana.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Calibri" w:hAnsi="Calibri" w:eastAsia="Calibri"/>
        </w:rPr>
        <w:t xml:space="preserve">Promoción de las condiciones para ejercer los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derechos fundamentales</w:t>
      </w:r>
      <w:r>
        <w:rPr>
          <w:rFonts w:ascii="Calibri" w:hAnsi="Calibri" w:eastAsia="Calibri"/>
        </w:rPr>
        <w:t xml:space="preserve">, especialmente la libertad y seguridad personales.</w:t>
      </w:r>
    </w:p>
    <w:p>
      <w:pPr>
        <w:widowControl/>
        <w:numPr>
          <w:ilvl w:val="0"/>
          <w:numId w:val="1003"/>
        </w:numPr>
        <w:pStyle w:val="Compact"/>
      </w:pPr>
      <w:r>
        <w:rPr>
          <w:bCs/>
          <w:rFonts w:ascii="Calibri" w:hAnsi="Calibri" w:eastAsia="Calibri"/>
          <w:b/>
        </w:rPr>
        <w:t xml:space="preserve">Mando superior</w:t>
      </w:r>
      <w:r>
        <w:rPr>
          <w:rFonts w:ascii="Calibri" w:hAnsi="Calibri" w:eastAsia="Calibri"/>
        </w:rPr>
        <w:t xml:space="preserve">, dirección y coordinación de las Fuerzas y Cuerpos de Seguridad del Estado.</w:t>
      </w:r>
    </w:p>
    <w:p>
      <w:pPr>
        <w:widowControl/>
        <w:numPr>
          <w:ilvl w:val="0"/>
          <w:numId w:val="1003"/>
        </w:numPr>
        <w:pStyle w:val="Compact"/>
      </w:pPr>
      <w:r>
        <w:rPr>
          <w:bCs/>
          <w:rFonts w:ascii="Calibri" w:hAnsi="Calibri" w:eastAsia="Calibri"/>
          <w:b/>
        </w:rPr>
        <w:t xml:space="preserve">Seguridad privada.</w:t>
      </w:r>
    </w:p>
    <w:p>
      <w:pPr>
        <w:widowControl/>
        <w:numPr>
          <w:ilvl w:val="0"/>
          <w:numId w:val="1003"/>
        </w:numPr>
        <w:pStyle w:val="Compact"/>
      </w:pPr>
      <w:r>
        <w:rPr>
          <w:bCs/>
          <w:rFonts w:ascii="Calibri" w:hAnsi="Calibri" w:eastAsia="Calibri"/>
          <w:b/>
        </w:rPr>
        <w:t xml:space="preserve">Extranjería.</w:t>
      </w:r>
    </w:p>
    <w:p>
      <w:pPr>
        <w:widowControl/>
        <w:numPr>
          <w:ilvl w:val="0"/>
          <w:numId w:val="1003"/>
        </w:numPr>
        <w:pStyle w:val="Compact"/>
      </w:pPr>
      <w:r>
        <w:rPr>
          <w:bCs/>
          <w:rFonts w:ascii="Calibri" w:hAnsi="Calibri" w:eastAsia="Calibri"/>
          <w:b/>
        </w:rPr>
        <w:t xml:space="preserve">Protección internacional</w:t>
      </w:r>
      <w:r>
        <w:rPr>
          <w:rFonts w:ascii="Calibri" w:hAnsi="Calibri" w:eastAsia="Calibri"/>
        </w:rPr>
        <w:t xml:space="preserve">, apatridia y protección de personas desplazadas.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Calibri" w:hAnsi="Calibri" w:eastAsia="Calibri"/>
        </w:rPr>
        <w:t xml:space="preserve">Administración y régimen de las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instituciones penitenciarias</w:t>
      </w:r>
      <w:r>
        <w:rPr>
          <w:rFonts w:ascii="Calibri" w:hAnsi="Calibri" w:eastAsia="Calibri"/>
        </w:rPr>
        <w:t xml:space="preserve">.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Calibri" w:hAnsi="Calibri" w:eastAsia="Calibri"/>
        </w:rPr>
        <w:t xml:space="preserve">Actuaciones necesarias para los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procesos electorales</w:t>
      </w:r>
      <w:r>
        <w:rPr>
          <w:rFonts w:ascii="Calibri" w:hAnsi="Calibri" w:eastAsia="Calibri"/>
        </w:rPr>
        <w:t xml:space="preserve">.</w:t>
      </w:r>
    </w:p>
    <w:p>
      <w:pPr>
        <w:widowControl/>
        <w:numPr>
          <w:ilvl w:val="0"/>
          <w:numId w:val="1003"/>
        </w:numPr>
        <w:pStyle w:val="Compact"/>
      </w:pPr>
      <w:r>
        <w:rPr>
          <w:bCs/>
          <w:rFonts w:ascii="Calibri" w:hAnsi="Calibri" w:eastAsia="Calibri"/>
          <w:b/>
        </w:rPr>
        <w:t xml:space="preserve">Protección civil.</w:t>
      </w:r>
    </w:p>
    <w:p>
      <w:pPr>
        <w:widowControl/>
        <w:numPr>
          <w:ilvl w:val="0"/>
          <w:numId w:val="1003"/>
        </w:numPr>
        <w:pStyle w:val="Compact"/>
      </w:pPr>
      <w:r>
        <w:rPr>
          <w:bCs/>
          <w:rFonts w:ascii="Calibri" w:hAnsi="Calibri" w:eastAsia="Calibri"/>
          <w:b/>
        </w:rPr>
        <w:t xml:space="preserve">Tráfico, seguridad vial y movilidad sostenible.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Regla de memoria: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Se-De-Fuer-Seg-Ex-Pro-Pri-Ele-Ci-Tra</w:t>
      </w:r>
      <w:r>
        <w:rPr>
          <w:rFonts w:ascii="Calibri" w:hAnsi="Calibri" w:eastAsia="Calibri"/>
        </w:rPr>
        <w:t xml:space="preserve">. Es mejor recordarlo como cinco parejas: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Calibri" w:hAnsi="Calibri" w:eastAsia="Calibri"/>
        </w:rPr>
        <w:t xml:space="preserve">seguridad ciudadana + derechos;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Calibri" w:hAnsi="Calibri" w:eastAsia="Calibri"/>
        </w:rPr>
        <w:t xml:space="preserve">fuerzas de seguridad + seguridad privada;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Calibri" w:hAnsi="Calibri" w:eastAsia="Calibri"/>
        </w:rPr>
        <w:t xml:space="preserve">extranjería + protección internacional;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Calibri" w:hAnsi="Calibri" w:eastAsia="Calibri"/>
        </w:rPr>
        <w:t xml:space="preserve">prisiones + elecciones;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Calibri" w:hAnsi="Calibri" w:eastAsia="Calibri"/>
        </w:rPr>
        <w:t xml:space="preserve">protección civil + tráfico.</w:t>
      </w:r>
    </w:p>
    <w:p>
      <w:pPr>
        <w:pStyle w:val="AcademiaEnVigor·Destacado"/>
      </w:pPr>
      <w:r>
        <w:rPr>
          <w:rFonts w:ascii="Calibri" w:hAnsi="Calibri" w:eastAsia="Calibri"/>
          <w:color w:val="17365D"/>
          <w:sz w:val="20"/>
        </w:rPr>
        <w:t xml:space="preserve">💡</w:t>
      </w:r>
      <w:r>
        <w:rPr>
          <w:rFonts w:ascii="Calibri" w:hAnsi="Calibri" w:eastAsia="Calibri"/>
          <w:color w:val="17365D"/>
          <w:sz w:val="20"/>
        </w:rPr>
        <w:t xml:space="preserve"> </w:t>
      </w:r>
      <w:r>
        <w:rPr>
          <w:bCs/>
          <w:rFonts w:ascii="Calibri" w:hAnsi="Calibri" w:eastAsia="Calibri"/>
          <w:b/>
          <w:color w:val="17365D"/>
          <w:sz w:val="20"/>
        </w:rPr>
        <w:t xml:space="preserve">HABLEMOS CLARO</w:t>
      </w:r>
      <w:r>
        <w:rPr>
          <w:rFonts w:ascii="Calibri" w:hAnsi="Calibri" w:eastAsia="Calibri"/>
          <w:color w:val="17365D"/>
          <w:sz w:val="20"/>
        </w:rPr>
        <w:t xml:space="preserve"> </w:t>
      </w:r>
      <w:r>
        <w:rPr>
          <w:rFonts w:ascii="Calibri" w:hAnsi="Calibri" w:eastAsia="Calibri"/>
          <w:color w:val="17365D"/>
          <w:sz w:val="20"/>
        </w:rPr>
        <w:t xml:space="preserve">Interior no es «el ministerio de la Policía». Su campo es mucho más amplio: seguridad pública, extranjería y asilo, prisiones, elecciones, emergencias y tráfico. La Policía Nacional y la Guardia Civil son piezas esenciales, pero no agotan el Departamento. La idea que debe quedar es esta:</w:t>
      </w:r>
      <w:r>
        <w:rPr>
          <w:rFonts w:ascii="Calibri" w:hAnsi="Calibri" w:eastAsia="Calibri"/>
          <w:color w:val="17365D"/>
          <w:sz w:val="20"/>
        </w:rPr>
        <w:t xml:space="preserve"> </w:t>
      </w:r>
      <w:r>
        <w:rPr>
          <w:bCs/>
          <w:rFonts w:ascii="Calibri" w:hAnsi="Calibri" w:eastAsia="Calibri"/>
          <w:b/>
          <w:color w:val="17365D"/>
          <w:sz w:val="20"/>
        </w:rPr>
        <w:t xml:space="preserve">Interior protege seguridad, derechos y movilidad, y administra varios sistemas estatales críticos</w:t>
      </w:r>
      <w:r>
        <w:rPr>
          <w:rFonts w:ascii="Calibri" w:hAnsi="Calibri" w:eastAsia="Calibri"/>
          <w:color w:val="17365D"/>
          <w:sz w:val="20"/>
        </w:rPr>
        <w:t xml:space="preserve">.</w:t>
      </w:r>
    </w:p>
    <w:bookmarkEnd w:id="26"/>
    <w:bookmarkStart w:id="27" w:name="X3195ca9e4f7629704552fd35da6b521ddd74533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2. La persona titular del Ministerio y su asistencia inmediata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La persona titular del Ministerio: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dirige todos los servicios del Departamento;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ejerce el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mando superior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de las Fuerzas y Cuerpos de Seguridad del Estado;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dirige las competencias ministeriales en materia de Administración Penitenciaria;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ejerce las funciones generales del artículo 61 de la Ley 40/2015 y las que le atribuyan otras normas.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Dependen de ella dos piezas que no deben confundirse:</w:t>
      </w:r>
    </w:p>
    <w:tbl>
      <w:tblPr>
        <w:tblStyle w:val="Table"/>
        <w:tblW w:type="dxa" w:w="9648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2123"/>
        <w:gridCol w:w="2798"/>
        <w:gridCol w:w="4727"/>
      </w:tblGrid>
      <w:tr>
        <w:trPr>
          <w:tblHeader w:val="true"/>
          <w:tblHeader w:val="true"/>
          <w:cantSplit w:val="true"/>
        </w:trPr>
        <w:tc>
          <w:tcPr>
            <w:tcW w:type="dxa" w:w="2123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 xml:space="preserve">Órgano</w:t>
            </w:r>
          </w:p>
        </w:tc>
        <w:tc>
          <w:tcPr>
            <w:tcW w:type="dxa" w:w="279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keepNext/>
              <w:spacing w:after="40"/>
              <w:jc w:val="righ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 xml:space="preserve">Nivel</w:t>
            </w:r>
          </w:p>
        </w:tc>
        <w:tc>
          <w:tcPr>
            <w:tcW w:type="dxa" w:w="4727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 xml:space="preserve">Función esencial</w:t>
            </w:r>
          </w:p>
        </w:tc>
      </w:tr>
      <w:tr>
        <w:trPr>
          <w:cantSplit w:val="true"/>
        </w:trPr>
        <w:tc>
          <w:tcPr>
            <w:tcW w:type="dxa" w:w="212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Gabinete del Ministro</w:t>
            </w:r>
          </w:p>
        </w:tc>
        <w:tc>
          <w:tcPr>
            <w:tcW w:type="dxa" w:w="279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right"/>
            </w:pPr>
            <w:r>
              <w:rPr>
                <w:rFonts w:ascii="Calibri" w:hAnsi="Calibri" w:eastAsia="Calibri"/>
                <w:sz w:val="18"/>
              </w:rPr>
              <w:t xml:space="preserve">Dirección general</w:t>
            </w:r>
          </w:p>
        </w:tc>
        <w:tc>
          <w:tcPr>
            <w:tcW w:type="dxa" w:w="472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Asistencia inmediata; su titular supervisa protocolo y programa relaciones institucionales e internacionales cuando interviene directamente el Ministro.</w:t>
            </w:r>
          </w:p>
        </w:tc>
      </w:tr>
      <w:tr>
        <w:trPr>
          <w:cantSplit w:val="true"/>
        </w:trPr>
        <w:tc>
          <w:tcPr>
            <w:tcW w:type="dxa" w:w="2123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Oficina de Comunicación</w:t>
            </w:r>
          </w:p>
        </w:tc>
        <w:tc>
          <w:tcPr>
            <w:tcW w:type="dxa" w:w="2798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right"/>
            </w:pPr>
            <w:r>
              <w:rPr>
                <w:rFonts w:ascii="Calibri" w:hAnsi="Calibri" w:eastAsia="Calibri"/>
                <w:sz w:val="18"/>
              </w:rPr>
              <w:t xml:space="preserve">Subdirección general</w:t>
            </w:r>
          </w:p>
        </w:tc>
        <w:tc>
          <w:tcPr>
            <w:tcW w:type="dxa" w:w="4727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Comunicación oficial, relaciones con medios, publicidad institucional, coordinación informativa y contenidos de la web del Ministerio.</w:t>
            </w:r>
          </w:p>
        </w:tc>
      </w:tr>
    </w:tbl>
    <w:p>
      <w:pPr>
        <w:pStyle w:val="BodyText"/>
        <w:widowControl/>
      </w:pPr>
      <w:r>
        <w:rPr>
          <w:rFonts w:ascii="Calibri" w:hAnsi="Calibri" w:eastAsia="Calibri"/>
        </w:rPr>
        <w:t xml:space="preserve">⚠️ El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Gabinete del Ministro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tiene nivel de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dirección general</w:t>
      </w:r>
      <w:r>
        <w:rPr>
          <w:rFonts w:ascii="Calibri" w:hAnsi="Calibri" w:eastAsia="Calibri"/>
        </w:rPr>
        <w:t xml:space="preserve">. El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Gabinete de la SES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tiene nivel de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subdirección general</w:t>
      </w:r>
      <w:r>
        <w:rPr>
          <w:rFonts w:ascii="Calibri" w:hAnsi="Calibri" w:eastAsia="Calibri"/>
        </w:rPr>
        <w:t xml:space="preserve">.</w:t>
      </w:r>
    </w:p>
    <w:bookmarkEnd w:id="27"/>
    <w:bookmarkStart w:id="28" w:name="X68bdbaa28d06a803bceceb12263a3557c770aaf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3. La escalera del mando: superior, ejercicio y directo</w:t>
      </w:r>
    </w:p>
    <w:tbl>
      <w:tblPr>
        <w:tblStyle w:val="Table"/>
        <w:tblW w:type="dxa" w:w="9648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2123"/>
        <w:gridCol w:w="2798"/>
        <w:gridCol w:w="4727"/>
      </w:tblGrid>
      <w:tr>
        <w:trPr>
          <w:tblHeader w:val="true"/>
          <w:tblHeader w:val="true"/>
          <w:cantSplit w:val="true"/>
        </w:trPr>
        <w:tc>
          <w:tcPr>
            <w:tcW w:type="dxa" w:w="2123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 xml:space="preserve">Nivel</w:t>
            </w:r>
          </w:p>
        </w:tc>
        <w:tc>
          <w:tcPr>
            <w:tcW w:type="dxa" w:w="279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 xml:space="preserve">Titular</w:t>
            </w:r>
          </w:p>
        </w:tc>
        <w:tc>
          <w:tcPr>
            <w:tcW w:type="dxa" w:w="4727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 xml:space="preserve">Fórmula examinable</w:t>
            </w:r>
          </w:p>
        </w:tc>
      </w:tr>
      <w:tr>
        <w:trPr>
          <w:cantSplit w:val="true"/>
        </w:trPr>
        <w:tc>
          <w:tcPr>
            <w:tcW w:type="dxa" w:w="212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1</w:t>
            </w:r>
          </w:p>
        </w:tc>
        <w:tc>
          <w:tcPr>
            <w:tcW w:type="dxa" w:w="279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Ministro del Interior</w:t>
            </w:r>
          </w:p>
        </w:tc>
        <w:tc>
          <w:tcPr>
            <w:tcW w:type="dxa" w:w="472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Mando superior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sz w:val="18"/>
              </w:rPr>
              <w:t xml:space="preserve">de las Fuerzas y Cuerpos de Seguridad del Estado.</w:t>
            </w:r>
          </w:p>
        </w:tc>
      </w:tr>
      <w:tr>
        <w:trPr>
          <w:cantSplit w:val="true"/>
        </w:trPr>
        <w:tc>
          <w:tcPr>
            <w:tcW w:type="dxa" w:w="2123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2</w:t>
            </w:r>
          </w:p>
        </w:tc>
        <w:tc>
          <w:tcPr>
            <w:tcW w:type="dxa" w:w="2798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Secretario de Estado de Seguridad</w:t>
            </w:r>
          </w:p>
        </w:tc>
        <w:tc>
          <w:tcPr>
            <w:tcW w:type="dxa" w:w="4727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Ejercicio del mando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sz w:val="18"/>
              </w:rPr>
              <w:t xml:space="preserve">de las Fuerzas y Cuerpos de Seguridad del Estado.</w:t>
            </w:r>
          </w:p>
        </w:tc>
      </w:tr>
      <w:tr>
        <w:trPr>
          <w:cantSplit w:val="true"/>
        </w:trPr>
        <w:tc>
          <w:tcPr>
            <w:tcW w:type="dxa" w:w="212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3</w:t>
            </w:r>
          </w:p>
        </w:tc>
        <w:tc>
          <w:tcPr>
            <w:tcW w:type="dxa" w:w="279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Director General de la Policía / Guardia Civil</w:t>
            </w:r>
          </w:p>
        </w:tc>
        <w:tc>
          <w:tcPr>
            <w:tcW w:type="dxa" w:w="472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Mando directo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sz w:val="18"/>
              </w:rPr>
              <w:t xml:space="preserve">del Cuerpo correspondiente.</w:t>
            </w:r>
          </w:p>
        </w:tc>
      </w:tr>
    </w:tbl>
    <w:p>
      <w:pPr>
        <w:pStyle w:val="AcademiaEnVigor·Destacado"/>
      </w:pPr>
      <w:r>
        <w:rPr>
          <w:rFonts w:ascii="Calibri" w:hAnsi="Calibri" w:eastAsia="Calibri"/>
          <w:color w:val="17365D"/>
          <w:sz w:val="20"/>
        </w:rPr>
        <w:t xml:space="preserve">🎯</w:t>
      </w:r>
      <w:r>
        <w:rPr>
          <w:rFonts w:ascii="Calibri" w:hAnsi="Calibri" w:eastAsia="Calibri"/>
          <w:color w:val="17365D"/>
          <w:sz w:val="20"/>
        </w:rPr>
        <w:t xml:space="preserve"> </w:t>
      </w:r>
      <w:r>
        <w:rPr>
          <w:bCs/>
          <w:rFonts w:ascii="Calibri" w:hAnsi="Calibri" w:eastAsia="Calibri"/>
          <w:b/>
          <w:color w:val="17365D"/>
          <w:sz w:val="20"/>
        </w:rPr>
        <w:t xml:space="preserve">LO QUE CAE</w:t>
      </w:r>
      <w:r>
        <w:rPr>
          <w:rFonts w:ascii="Calibri" w:hAnsi="Calibri" w:eastAsia="Calibri"/>
          <w:color w:val="17365D"/>
          <w:sz w:val="20"/>
        </w:rPr>
        <w:t xml:space="preserve"> </w:t>
      </w:r>
      <w:r>
        <w:rPr>
          <w:rFonts w:ascii="Calibri" w:hAnsi="Calibri" w:eastAsia="Calibri"/>
          <w:color w:val="17365D"/>
          <w:sz w:val="20"/>
        </w:rPr>
        <w:t xml:space="preserve">La trampa no está en el órgano, sino en el adjetivo. El Ministro no ejerce el mando «directo» de la Policía Nacional y el Director General no ostenta el mando «superior» de todas las Fuerzas y Cuerpos de Seguridad del Estado.</w:t>
      </w:r>
    </w:p>
    <w:p>
      <w:pPr>
        <w:pStyle w:val="AcademiaEnVigor·Destacado"/>
      </w:pPr>
      <w:r>
        <w:rPr>
          <w:rFonts w:ascii="Calibri" w:hAnsi="Calibri" w:eastAsia="Calibri"/>
          <w:color w:val="17365D"/>
          <w:sz w:val="20"/>
        </w:rPr>
        <w:t xml:space="preserve">🚔</w:t>
      </w:r>
      <w:r>
        <w:rPr>
          <w:rFonts w:ascii="Calibri" w:hAnsi="Calibri" w:eastAsia="Calibri"/>
          <w:color w:val="17365D"/>
          <w:sz w:val="20"/>
        </w:rPr>
        <w:t xml:space="preserve"> </w:t>
      </w:r>
      <w:r>
        <w:rPr>
          <w:bCs/>
          <w:rFonts w:ascii="Calibri" w:hAnsi="Calibri" w:eastAsia="Calibri"/>
          <w:b/>
          <w:color w:val="17365D"/>
          <w:sz w:val="20"/>
        </w:rPr>
        <w:t xml:space="preserve">EN LA CALLE</w:t>
      </w:r>
      <w:r>
        <w:rPr>
          <w:rFonts w:ascii="Calibri" w:hAnsi="Calibri" w:eastAsia="Calibri"/>
          <w:color w:val="17365D"/>
          <w:sz w:val="20"/>
        </w:rPr>
        <w:t xml:space="preserve"> </w:t>
      </w:r>
      <w:r>
        <w:rPr>
          <w:rFonts w:ascii="Calibri" w:hAnsi="Calibri" w:eastAsia="Calibri"/>
          <w:color w:val="17365D"/>
          <w:sz w:val="20"/>
        </w:rPr>
        <w:t xml:space="preserve">Ante un dispositivo que exige una línea política común para Policía Nacional y Guardia Civil, el nivel departamental corresponde al Ministro y la coordinación ejecutiva a la SES. La dirección cotidiana de las unidades de Policía Nacional corresponde a la Dirección General de la Policía. El ejemplo sirve para separar niveles; no convierte a la SES en una jefatura operativa de cada unidad.</w:t>
      </w:r>
    </w:p>
    <w:bookmarkEnd w:id="28"/>
    <w:bookmarkStart w:id="34" w:name="X6fd8192b0a1dc0e1943d987f7c091a727443e83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4. Estructura orgánica básica vigente</w:t>
      </w:r>
    </w:p>
    <w:bookmarkStart w:id="29" w:name="a-secretaría-de-estado-de-seguridad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A. Secretaría de Estado de Seguridad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Es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órgano superior</w:t>
      </w:r>
      <w:r>
        <w:rPr>
          <w:rFonts w:ascii="Calibri" w:hAnsi="Calibri" w:eastAsia="Calibri"/>
        </w:rPr>
        <w:t xml:space="preserve">. De ella dependen cuatro órganos directivos: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Calibri" w:hAnsi="Calibri" w:eastAsia="Calibri"/>
        </w:rPr>
        <w:t xml:space="preserve">Dirección General de la Policía.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Calibri" w:hAnsi="Calibri" w:eastAsia="Calibri"/>
        </w:rPr>
        <w:t xml:space="preserve">Dirección General de la Guardia Civil.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Calibri" w:hAnsi="Calibri" w:eastAsia="Calibri"/>
        </w:rPr>
        <w:t xml:space="preserve">Dirección General de Relaciones Internacionales y Extranjería.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Calibri" w:hAnsi="Calibri" w:eastAsia="Calibri"/>
        </w:rPr>
        <w:t xml:space="preserve">Dirección General de Coordinación y Estudios.</w:t>
      </w:r>
    </w:p>
    <w:bookmarkEnd w:id="29"/>
    <w:bookmarkStart w:id="30" w:name="X62a0cbf13d575ad006ba79bd660d000b2afb434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B. Secretaría General de Instituciones Penitenciarias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De ella depende la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Dirección General de Ejecución Penal y Reinserción Social</w:t>
      </w:r>
      <w:r>
        <w:rPr>
          <w:rFonts w:ascii="Calibri" w:hAnsi="Calibri" w:eastAsia="Calibri"/>
        </w:rPr>
        <w:t xml:space="preserve">.</w:t>
      </w:r>
    </w:p>
    <w:bookmarkEnd w:id="30"/>
    <w:bookmarkStart w:id="31" w:name="X08c5d4fbb14aa826ebd3a04ae52f7b5f8b6b31c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C. Secretaría General de Protección Civil y Emergencias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Creada por el Real Decreto 328/2026. De ella depende la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Dirección General de Protección Civil y Emergencias</w:t>
      </w:r>
      <w:r>
        <w:rPr>
          <w:rFonts w:ascii="Calibri" w:hAnsi="Calibri" w:eastAsia="Calibri"/>
        </w:rPr>
        <w:t xml:space="preserve">.</w:t>
      </w:r>
    </w:p>
    <w:bookmarkEnd w:id="31"/>
    <w:bookmarkStart w:id="32" w:name="d-subsecretaría-del-interior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D. Subsecretaría del Interior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De ella dependen: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Calibri" w:hAnsi="Calibri" w:eastAsia="Calibri"/>
        </w:rPr>
        <w:t xml:space="preserve">Secretaría General Técnica.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Calibri" w:hAnsi="Calibri" w:eastAsia="Calibri"/>
        </w:rPr>
        <w:t xml:space="preserve">Dirección General de Política Interior.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Calibri" w:hAnsi="Calibri" w:eastAsia="Calibri"/>
        </w:rPr>
        <w:t xml:space="preserve">Dirección General de Tráfico.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Calibri" w:hAnsi="Calibri" w:eastAsia="Calibri"/>
        </w:rPr>
        <w:t xml:space="preserve">Dirección General de Apoyo a Víctimas del Terrorismo.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Calibri" w:hAnsi="Calibri" w:eastAsia="Calibri"/>
        </w:rPr>
        <w:t xml:space="preserve">Dirección General de Protección Internacional.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Mnemotecnia del primer nivel: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S-P-E-S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→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Seguridad, Prisiones, Emergencias y Servicios comunes</w:t>
      </w:r>
      <w:r>
        <w:rPr>
          <w:rFonts w:ascii="Calibri" w:hAnsi="Calibri" w:eastAsia="Calibri"/>
        </w:rPr>
        <w:t xml:space="preserve">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Mnemotecnia de la SES: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P-G-R-C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→ Policía, Guardia Civil, Relaciones Internacionales y Coordinación y Estudios.</w:t>
      </w:r>
    </w:p>
    <w:bookmarkEnd w:id="32"/>
    <w:bookmarkStart w:id="33" w:name="X3a420f6b290d30888ae49d6d228f677f4c210d2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El cambio que invalida los esquemas antiguos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Desde el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27 de abril de 2026</w:t>
      </w:r>
      <w:r>
        <w:rPr>
          <w:rFonts w:ascii="Calibri" w:hAnsi="Calibri" w:eastAsia="Calibri"/>
        </w:rPr>
        <w:t xml:space="preserve">: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Calibri" w:hAnsi="Calibri" w:eastAsia="Calibri"/>
        </w:rPr>
        <w:t xml:space="preserve">existe la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Secretaría General de Protección Civil y Emergencias</w:t>
      </w:r>
      <w:r>
        <w:rPr>
          <w:rFonts w:ascii="Calibri" w:hAnsi="Calibri" w:eastAsia="Calibri"/>
        </w:rPr>
        <w:t xml:space="preserve">;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Calibri" w:hAnsi="Calibri" w:eastAsia="Calibri"/>
        </w:rPr>
        <w:t xml:space="preserve">depende directamente de la persona titular del Ministerio;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Calibri" w:hAnsi="Calibri" w:eastAsia="Calibri"/>
        </w:rPr>
        <w:t xml:space="preserve">la Dirección General de Protección Civil y Emergencias depende de esa Secretaría General;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Calibri" w:hAnsi="Calibri" w:eastAsia="Calibri"/>
        </w:rPr>
        <w:t xml:space="preserve">la Subsecretaría ya no incluye Protección Civil entre sus direcciones generales.</w:t>
      </w:r>
    </w:p>
    <w:p>
      <w:pPr>
        <w:pStyle w:val="AcademiaEnVigor·Destacado"/>
      </w:pPr>
      <w:r>
        <w:rPr>
          <w:rFonts w:ascii="Calibri" w:hAnsi="Calibri" w:eastAsia="Calibri"/>
          <w:color w:val="17365D"/>
          <w:sz w:val="20"/>
        </w:rPr>
        <w:t xml:space="preserve">🎯</w:t>
      </w:r>
      <w:r>
        <w:rPr>
          <w:rFonts w:ascii="Calibri" w:hAnsi="Calibri" w:eastAsia="Calibri"/>
          <w:color w:val="17365D"/>
          <w:sz w:val="20"/>
        </w:rPr>
        <w:t xml:space="preserve"> </w:t>
      </w:r>
      <w:r>
        <w:rPr>
          <w:bCs/>
          <w:rFonts w:ascii="Calibri" w:hAnsi="Calibri" w:eastAsia="Calibri"/>
          <w:b/>
          <w:color w:val="17365D"/>
          <w:sz w:val="20"/>
        </w:rPr>
        <w:t xml:space="preserve">LO QUE CAE</w:t>
      </w:r>
      <w:r>
        <w:rPr>
          <w:rFonts w:ascii="Calibri" w:hAnsi="Calibri" w:eastAsia="Calibri"/>
          <w:color w:val="17365D"/>
          <w:sz w:val="20"/>
        </w:rPr>
        <w:t xml:space="preserve"> </w:t>
      </w:r>
      <w:r>
        <w:rPr>
          <w:rFonts w:ascii="Calibri" w:hAnsi="Calibri" w:eastAsia="Calibri"/>
          <w:color w:val="17365D"/>
          <w:sz w:val="20"/>
        </w:rPr>
        <w:t xml:space="preserve">Un test puede ofrecer como opción la antigua dependencia «Subsecretaría → Dirección General de Protección Civil y Emergencias». Esa relación fue válida antes de la reforma, pero hoy es falsa.</w:t>
      </w:r>
    </w:p>
    <w:p>
      <w:pPr>
        <w:widowControl/>
      </w:pPr>
      <w:r>
        <w:rPr>
          <w:rFonts w:ascii="Calibri" w:hAnsi="Calibri" w:eastAsia="Calibri"/>
        </w:rPr>
        <w:pict>
          <v:rect style="width:0;height:1.5pt" o:hralign="center" o:hrstd="t" o:hr="t"/>
        </w:pict>
      </w:r>
    </w:p>
    <w:bookmarkEnd w:id="33"/>
    <w:bookmarkEnd w:id="34"/>
    <w:bookmarkEnd w:id="35"/>
    <w:bookmarkStart w:id="44" w:name="X26b97227cb58e3786730ca695bc95019aeaa2a0"/>
    <w:p>
      <w:pPr>
        <w:pStyle w:val="Heading1"/>
        <w:keepNext/>
        <w:keepLines/>
      </w:pPr>
      <w:r>
        <w:rPr>
          <w:rFonts w:ascii="Calibri" w:hAnsi="Calibri" w:eastAsia="Calibri"/>
        </w:rPr>
        <w:t xml:space="preserve">🟦 PARTE 2 · LA SECRETARÍA DE ESTADO DE SEGURIDAD</w:t>
      </w:r>
    </w:p>
    <w:bookmarkStart w:id="36" w:name="Xb5a4e7e2ad289210980088bb2384437efce7dca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5. Posición de la SES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La persona titular de la SES actúa bajo la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inmediata autoridad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de la persona titular del Ministerio. Ejerce las funciones generales de los secretarios de Estado del artículo 62 de la Ley 40/2015 y dirige, coordina y supervisa los órganos directivos que dependen de la Secretaría de Estado.</w:t>
      </w:r>
    </w:p>
    <w:bookmarkEnd w:id="36"/>
    <w:bookmarkStart w:id="43" w:name="X5a040a003248e66d394e1a1a58b1c1c3ad5e34c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6. Funciones específicas de la SES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Para estudiarlas con lógica, se agrupan sin alterar su contenido examinable.</w:t>
      </w:r>
    </w:p>
    <w:bookmarkStart w:id="37" w:name="X7052d65ced6c66bad5171061c373f8609149bfa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6.1. Derechos y seguridad pública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Calibri" w:hAnsi="Calibri" w:eastAsia="Calibri"/>
        </w:rPr>
        <w:t xml:space="preserve">Promover las condiciones para el ejercicio de los derechos fundamentales, con atención especial a libertad y seguridad personales, inviolabilidad del domicilio y de las comunicaciones, y libertad de residencia y circulación.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Calibri" w:hAnsi="Calibri" w:eastAsia="Calibri"/>
        </w:rPr>
        <w:t xml:space="preserve">Ejercer el mando de las Fuerzas y Cuerpos de Seguridad del Estado y coordinar y supervisar sus servicios y misiones.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Calibri" w:hAnsi="Calibri" w:eastAsia="Calibri"/>
        </w:rPr>
        <w:t xml:space="preserve">Ejercer las competencias atribuidas por la legislación de seguridad privada.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Calibri" w:hAnsi="Calibri" w:eastAsia="Calibri"/>
        </w:rPr>
        <w:t xml:space="preserve">Gestionar la protección y garantía de los derechos de reunión y manifestación.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Calibri" w:hAnsi="Calibri" w:eastAsia="Calibri"/>
        </w:rPr>
        <w:t xml:space="preserve">Coordinar las competencias de Delegaciones y Subdelegaciones del Gobierno en seguridad ciudadana.</w:t>
      </w:r>
    </w:p>
    <w:bookmarkEnd w:id="37"/>
    <w:bookmarkStart w:id="38" w:name="Xc423e546eee5a2ae29a6e760531da8af8ed0567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6.2. Cooperación y representación</w:t>
      </w:r>
    </w:p>
    <w:p>
      <w:pPr>
        <w:widowControl/>
        <w:numPr>
          <w:ilvl w:val="0"/>
          <w:numId w:val="1010"/>
        </w:numPr>
        <w:pStyle w:val="Compact"/>
      </w:pPr>
      <w:r>
        <w:rPr>
          <w:rFonts w:ascii="Calibri" w:hAnsi="Calibri" w:eastAsia="Calibri"/>
        </w:rPr>
        <w:t xml:space="preserve">Dirigir y coordinar la cooperación policial internacional, especialmente con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EUROPOL, INTERPOL, SIRENE, los sistemas de información de Schengen y los Centros de Cooperación Policial y Aduanera</w:t>
      </w:r>
      <w:r>
        <w:rPr>
          <w:rFonts w:ascii="Calibri" w:hAnsi="Calibri" w:eastAsia="Calibri"/>
        </w:rPr>
        <w:t xml:space="preserve">.</w:t>
      </w:r>
    </w:p>
    <w:p>
      <w:pPr>
        <w:widowControl/>
        <w:numPr>
          <w:ilvl w:val="0"/>
          <w:numId w:val="1010"/>
        </w:numPr>
        <w:pStyle w:val="Compact"/>
      </w:pPr>
      <w:r>
        <w:rPr>
          <w:rFonts w:ascii="Calibri" w:hAnsi="Calibri" w:eastAsia="Calibri"/>
        </w:rPr>
        <w:t xml:space="preserve">Representar al Departamento cuando se lo encomiende la persona titular del Ministerio.</w:t>
      </w:r>
    </w:p>
    <w:p>
      <w:pPr>
        <w:widowControl/>
        <w:numPr>
          <w:ilvl w:val="0"/>
          <w:numId w:val="1010"/>
        </w:numPr>
        <w:pStyle w:val="Compact"/>
      </w:pPr>
      <w:r>
        <w:rPr>
          <w:rFonts w:ascii="Calibri" w:hAnsi="Calibri" w:eastAsia="Calibri"/>
        </w:rPr>
        <w:t xml:space="preserve">Coordinar, a través de la Dirección General de Relaciones Internacionales y Extranjería, las operaciones con efectos transnacionales dirigidas por cualquiera de las Fuerzas y Cuerpos de Seguridad del Estado.</w:t>
      </w:r>
    </w:p>
    <w:bookmarkEnd w:id="38"/>
    <w:bookmarkStart w:id="39" w:name="X884d80a7537eb81515dfe0797059bfdaf1cf46e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6.3. Amenazas graves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Calibri" w:hAnsi="Calibri" w:eastAsia="Calibri"/>
        </w:rPr>
        <w:t xml:space="preserve">Dirigir, impulsar y coordinar las actuaciones del Departamento frente a crimen organizado, terrorismo, trata de seres humanos, tráfico de drogas, blanqueo de capitales relacionado con ese tráfico y delitos conexos.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Calibri" w:hAnsi="Calibri" w:eastAsia="Calibri"/>
        </w:rPr>
        <w:t xml:space="preserve">Dirigir y coordinar las relaciones del Departamento con el Comité Europeo para la Prevención de la Tortura.</w:t>
      </w:r>
    </w:p>
    <w:bookmarkEnd w:id="39"/>
    <w:bookmarkStart w:id="40" w:name="X9eceafd268ff2f2bfe76d44ce044a7bea6cc57e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6.4. Infraestructuras y tecnología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Calibri" w:hAnsi="Calibri" w:eastAsia="Calibri"/>
        </w:rPr>
        <w:t xml:space="preserve">Planificar y coordinar las políticas de infraestructuras y material de seguridad.</w:t>
      </w:r>
    </w:p>
    <w:p>
      <w:pPr>
        <w:widowControl/>
        <w:numPr>
          <w:ilvl w:val="0"/>
          <w:numId w:val="1012"/>
        </w:numPr>
        <w:pStyle w:val="Compact"/>
      </w:pPr>
      <w:r>
        <w:rPr>
          <w:bCs/>
          <w:rFonts w:ascii="Calibri" w:hAnsi="Calibri" w:eastAsia="Calibri"/>
          <w:b/>
        </w:rPr>
        <w:t xml:space="preserve">Aprobar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los planes y programas de infraestructuras y material de seguridad.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Calibri" w:hAnsi="Calibri" w:eastAsia="Calibri"/>
        </w:rPr>
        <w:t xml:space="preserve">Dirigir el Sistema Nacional de Protección de Infraestructuras Críticas.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Calibri" w:hAnsi="Calibri" w:eastAsia="Calibri"/>
        </w:rPr>
        <w:t xml:space="preserve">Dirigir y coordinar las políticas de ciberseguridad del Ministerio dentro de su ámbito competencial.</w:t>
      </w:r>
    </w:p>
    <w:bookmarkEnd w:id="40"/>
    <w:bookmarkStart w:id="41" w:name="Xa373a41d8ad089e9d97a008381cc93719f291de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6.5. Precursores y pasajeros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Calibri" w:hAnsi="Calibri" w:eastAsia="Calibri"/>
        </w:rPr>
        <w:t xml:space="preserve">Dirigir y coordinar las actuaciones relativas a precursores de drogas, precursores de explosivos y tratamiento de datos del Sistema de Registro de Pasajeros (</w:t>
      </w:r>
      <w:r>
        <w:rPr>
          <w:bCs/>
          <w:rFonts w:ascii="Calibri" w:hAnsi="Calibri" w:eastAsia="Calibri"/>
          <w:b/>
        </w:rPr>
        <w:t xml:space="preserve">PNR</w:t>
      </w:r>
      <w:r>
        <w:rPr>
          <w:rFonts w:ascii="Calibri" w:hAnsi="Calibri" w:eastAsia="Calibri"/>
        </w:rPr>
        <w:t xml:space="preserve">).</w:t>
      </w:r>
    </w:p>
    <w:bookmarkEnd w:id="41"/>
    <w:bookmarkStart w:id="42" w:name="Xa31baf3e9eeaaffd7b5b0bf6f026aa63a569e1b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6.6. Fronteras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Calibri" w:hAnsi="Calibri" w:eastAsia="Calibri"/>
        </w:rPr>
        <w:t xml:space="preserve">Dirigir e impulsar la gestión integrada de fronteras.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Calibri" w:hAnsi="Calibri" w:eastAsia="Calibri"/>
        </w:rPr>
        <w:t xml:space="preserve">Mandar la participación española en la Guardia Europea de Fronteras y Costas.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Calibri" w:hAnsi="Calibri" w:eastAsia="Calibri"/>
        </w:rPr>
        <w:t xml:space="preserve">Mantener las relaciones con la Agencia Europea de la Guardia de Fronteras y Costas.</w:t>
      </w:r>
    </w:p>
    <w:p>
      <w:pPr>
        <w:pStyle w:val="AcademiaEnVigor·Destacado"/>
      </w:pPr>
      <w:r>
        <w:rPr>
          <w:rFonts w:ascii="Calibri" w:hAnsi="Calibri" w:eastAsia="Calibri"/>
          <w:color w:val="17365D"/>
          <w:sz w:val="20"/>
        </w:rPr>
        <w:t xml:space="preserve">🎯</w:t>
      </w:r>
      <w:r>
        <w:rPr>
          <w:rFonts w:ascii="Calibri" w:hAnsi="Calibri" w:eastAsia="Calibri"/>
          <w:color w:val="17365D"/>
          <w:sz w:val="20"/>
        </w:rPr>
        <w:t xml:space="preserve"> </w:t>
      </w:r>
      <w:r>
        <w:rPr>
          <w:bCs/>
          <w:rFonts w:ascii="Calibri" w:hAnsi="Calibri" w:eastAsia="Calibri"/>
          <w:b/>
          <w:color w:val="17365D"/>
          <w:sz w:val="20"/>
        </w:rPr>
        <w:t xml:space="preserve">LO QUE CAE</w:t>
      </w:r>
    </w:p>
    <w:p>
      <w:pPr>
        <w:widowControl/>
        <w:numPr>
          <w:ilvl w:val="0"/>
          <w:numId w:val="1015"/>
        </w:numPr>
        <w:pStyle w:val="Compact"/>
      </w:pPr>
      <w:r>
        <w:rPr>
          <w:bCs/>
          <w:rFonts w:ascii="Calibri" w:hAnsi="Calibri" w:eastAsia="Calibri"/>
          <w:b/>
        </w:rPr>
        <w:t xml:space="preserve">Planificar y coordinar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políticas de infraestructuras no equivale a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aprobar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planes y programas: ambas funciones pertenecen a la SES, pero son dos letras distintas del artículo 2.1.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Calibri" w:hAnsi="Calibri" w:eastAsia="Calibri"/>
        </w:rPr>
        <w:t xml:space="preserve">La cooperación policial internacional menciona expresamente EUROPOL, INTERPOL, SIRENE, Schengen y CCPA.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Calibri" w:hAnsi="Calibri" w:eastAsia="Calibri"/>
        </w:rPr>
        <w:t xml:space="preserve">La reunión y manifestación aparecen como competencia departamental gestionada por la SES.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Calibri" w:hAnsi="Calibri" w:eastAsia="Calibri"/>
        </w:rPr>
        <w:t xml:space="preserve">El blanqueo citado aquí está vinculado al tráfico de drogas y a sus delitos conexos; no se formula como una competencia ilimitada sobre cualquier blanqueo.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Calibri" w:hAnsi="Calibri" w:eastAsia="Calibri"/>
        </w:rPr>
        <w:t xml:space="preserve">La ciberseguridad se limita al ámbito competencial del Ministerio.</w:t>
      </w:r>
    </w:p>
    <w:p>
      <w:pPr>
        <w:widowControl/>
      </w:pPr>
      <w:r>
        <w:rPr>
          <w:rFonts w:ascii="Calibri" w:hAnsi="Calibri" w:eastAsia="Calibri"/>
        </w:rPr>
        <w:pict>
          <v:rect style="width:0;height:1.5pt" o:hralign="center" o:hrstd="t" o:hr="t"/>
        </w:pict>
      </w:r>
    </w:p>
    <w:bookmarkEnd w:id="42"/>
    <w:bookmarkEnd w:id="43"/>
    <w:bookmarkEnd w:id="44"/>
    <w:bookmarkStart w:id="54" w:name="X8a455f2afc971e862058ef6f63c0bafb98a1d2c"/>
    <w:p>
      <w:pPr>
        <w:pStyle w:val="Heading1"/>
        <w:keepNext/>
        <w:keepLines/>
      </w:pPr>
      <w:r>
        <w:rPr>
          <w:rFonts w:ascii="Calibri" w:hAnsi="Calibri" w:eastAsia="Calibri"/>
        </w:rPr>
        <w:t xml:space="preserve">🟦 PARTE 3 · EL NÚCLEO DIRECTO DE LA SES</w:t>
      </w:r>
    </w:p>
    <w:bookmarkStart w:id="45" w:name="X38e4ea4e11caac6f6f6768c1e1c505cdfd2ec92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7. Mapa de dependencias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Dependen o se integran en el entorno inmediato de la persona titular de la SES:</w:t>
      </w:r>
    </w:p>
    <w:p>
      <w:pPr>
        <w:widowControl/>
        <w:numPr>
          <w:ilvl w:val="0"/>
          <w:numId w:val="1016"/>
        </w:numPr>
        <w:pStyle w:val="Compact"/>
      </w:pPr>
      <w:r>
        <w:rPr>
          <w:bCs/>
          <w:rFonts w:ascii="Calibri" w:hAnsi="Calibri" w:eastAsia="Calibri"/>
          <w:b/>
        </w:rPr>
        <w:t xml:space="preserve">Gabinete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de asistencia inmediata — nivel de subdirección general.</w:t>
      </w:r>
    </w:p>
    <w:p>
      <w:pPr>
        <w:widowControl/>
        <w:numPr>
          <w:ilvl w:val="0"/>
          <w:numId w:val="1016"/>
        </w:numPr>
        <w:pStyle w:val="Compact"/>
      </w:pPr>
      <w:r>
        <w:rPr>
          <w:bCs/>
          <w:rFonts w:ascii="Calibri" w:hAnsi="Calibri" w:eastAsia="Calibri"/>
          <w:b/>
        </w:rPr>
        <w:t xml:space="preserve">CITCO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— nivel de subdirección general.</w:t>
      </w:r>
    </w:p>
    <w:p>
      <w:pPr>
        <w:widowControl/>
        <w:numPr>
          <w:ilvl w:val="0"/>
          <w:numId w:val="1016"/>
        </w:numPr>
        <w:pStyle w:val="Compact"/>
      </w:pPr>
      <w:r>
        <w:rPr>
          <w:bCs/>
          <w:rFonts w:ascii="Calibri" w:hAnsi="Calibri" w:eastAsia="Calibri"/>
          <w:b/>
        </w:rPr>
        <w:t xml:space="preserve">Comité Ejecutivo de Coordinación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— presidido por la persona titular de la SES, bajo dirección y supervisión ministerial.</w:t>
      </w:r>
    </w:p>
    <w:p>
      <w:pPr>
        <w:widowControl/>
        <w:numPr>
          <w:ilvl w:val="0"/>
          <w:numId w:val="1016"/>
        </w:numPr>
        <w:pStyle w:val="Compact"/>
      </w:pPr>
      <w:r>
        <w:rPr>
          <w:bCs/>
          <w:rFonts w:ascii="Calibri" w:hAnsi="Calibri" w:eastAsia="Calibri"/>
          <w:b/>
        </w:rPr>
        <w:t xml:space="preserve">Subdirección General de Planificación y Gestión de Infraestructuras y Medios para la Seguridad</w:t>
      </w:r>
      <w:r>
        <w:rPr>
          <w:rFonts w:ascii="Calibri" w:hAnsi="Calibri" w:eastAsia="Calibri"/>
        </w:rPr>
        <w:t xml:space="preserve">.</w:t>
      </w:r>
    </w:p>
    <w:p>
      <w:pPr>
        <w:widowControl/>
        <w:numPr>
          <w:ilvl w:val="0"/>
          <w:numId w:val="1016"/>
        </w:numPr>
        <w:pStyle w:val="Compact"/>
      </w:pPr>
      <w:r>
        <w:rPr>
          <w:bCs/>
          <w:rFonts w:ascii="Calibri" w:hAnsi="Calibri" w:eastAsia="Calibri"/>
          <w:b/>
        </w:rPr>
        <w:t xml:space="preserve">Subdirección General de Sistemas de Información y Comunicaciones para la Seguridad</w:t>
      </w:r>
      <w:r>
        <w:rPr>
          <w:rFonts w:ascii="Calibri" w:hAnsi="Calibri" w:eastAsia="Calibri"/>
        </w:rPr>
        <w:t xml:space="preserve">.</w:t>
      </w:r>
    </w:p>
    <w:p>
      <w:pPr>
        <w:widowControl/>
        <w:numPr>
          <w:ilvl w:val="0"/>
          <w:numId w:val="1016"/>
        </w:numPr>
        <w:pStyle w:val="Compact"/>
      </w:pPr>
      <w:r>
        <w:rPr>
          <w:rFonts w:ascii="Calibri" w:hAnsi="Calibri" w:eastAsia="Calibri"/>
        </w:rPr>
        <w:t xml:space="preserve">Organismo autónomo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Gerencia de Infraestructuras y Equipamiento de la Seguridad del Estado</w:t>
      </w:r>
      <w:r>
        <w:rPr>
          <w:rFonts w:ascii="Calibri" w:hAnsi="Calibri" w:eastAsia="Calibri"/>
        </w:rPr>
        <w:t xml:space="preserve">, adscrito a la SES.</w:t>
      </w:r>
    </w:p>
    <w:p>
      <w:pPr>
        <w:widowControl/>
        <w:numPr>
          <w:ilvl w:val="0"/>
          <w:numId w:val="1016"/>
        </w:numPr>
        <w:pStyle w:val="Compact"/>
      </w:pPr>
      <w:r>
        <w:rPr>
          <w:rFonts w:ascii="Calibri" w:hAnsi="Calibri" w:eastAsia="Calibri"/>
        </w:rPr>
        <w:t xml:space="preserve">Los cuatro órganos directivos: DGP, DGGC, DGRIE y DGCE.</w:t>
      </w:r>
    </w:p>
    <w:bookmarkEnd w:id="45"/>
    <w:bookmarkStart w:id="46" w:name="X112947f855c9886a340a9ae7b48538fb0fb55af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8. Gabinete de la SES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Es el órgano de asistencia inmediata y tiene nivel orgánico de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subdirección general</w:t>
      </w:r>
      <w:r>
        <w:rPr>
          <w:rFonts w:ascii="Calibri" w:hAnsi="Calibri" w:eastAsia="Calibri"/>
        </w:rPr>
        <w:t xml:space="preserve">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La persona que dirige el Gabinete: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Calibri" w:hAnsi="Calibri" w:eastAsia="Calibri"/>
        </w:rPr>
        <w:t xml:space="preserve">ejerce la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Relatoría Nacional contra la Trata de Seres Humanos</w:t>
      </w:r>
      <w:r>
        <w:rPr>
          <w:rFonts w:ascii="Calibri" w:hAnsi="Calibri" w:eastAsia="Calibri"/>
        </w:rPr>
        <w:t xml:space="preserve">;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Calibri" w:hAnsi="Calibri" w:eastAsia="Calibri"/>
        </w:rPr>
        <w:t xml:space="preserve">coordina, siguiendo instrucciones de la SES, las dos subdirecciones generales propias de esta.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⚠️ La Relatoría corresponde a la persona titular de la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dirección del Gabinete</w:t>
      </w:r>
      <w:r>
        <w:rPr>
          <w:rFonts w:ascii="Calibri" w:hAnsi="Calibri" w:eastAsia="Calibri"/>
        </w:rPr>
        <w:t xml:space="preserve">, no al CITCO. El CITCO actúa como punto focal de apoyo y asistencia técnica a esa Relatoría.</w:t>
      </w:r>
    </w:p>
    <w:bookmarkEnd w:id="46"/>
    <w:bookmarkStart w:id="50" w:name="X5e9714a4ecae16bd00955e0a977b513c21f5298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9. CITCO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El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Centro de Inteligencia contra el Terrorismo y el Crimen Organizado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depende de la persona titular de la SES y tiene nivel orgánico de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subdirección general</w:t>
      </w:r>
      <w:r>
        <w:rPr>
          <w:rFonts w:ascii="Calibri" w:hAnsi="Calibri" w:eastAsia="Calibri"/>
        </w:rPr>
        <w:t xml:space="preserve">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Su misión central es integrar y analizar información estratégica sobre delincuencia organizada o grave, terrorismo y radicalismo violento; diseñar estrategias frente a esas amenazas y su financiación; y fijar criterios de coordinación cuando concurran investigaciones o actuaciones.</w:t>
      </w:r>
    </w:p>
    <w:bookmarkStart w:id="47" w:name="funciones-examinables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Funciones examinables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Calibri" w:hAnsi="Calibri" w:eastAsia="Calibri"/>
        </w:rPr>
        <w:t xml:space="preserve">Recibir, integrar y analizar información y análisis operativos para elaborar inteligencia criminal estratégica y prospectiva, nacional e internacional.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Calibri" w:hAnsi="Calibri" w:eastAsia="Calibri"/>
        </w:rPr>
        <w:t xml:space="preserve">Fijar criterios de coordinación y actuación en intervenciones conjuntas o concurrentes.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Calibri" w:hAnsi="Calibri" w:eastAsia="Calibri"/>
        </w:rPr>
        <w:t xml:space="preserve">Elaborar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informes anuales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y evaluaciones periódicas de la amenaza.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Calibri" w:hAnsi="Calibri" w:eastAsia="Calibri"/>
        </w:rPr>
        <w:t xml:space="preserve">Elaborar con la DGCE estadísticas no clasificadas, especialmente sobre drogas, crimen organizado, trata y explotación de seres humanos.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Calibri" w:hAnsi="Calibri" w:eastAsia="Calibri"/>
        </w:rPr>
        <w:t xml:space="preserve">Proponer estrategias nacionales, mantenerlas actualizadas y verificar su desarrollo.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Calibri" w:hAnsi="Calibri" w:eastAsia="Calibri"/>
        </w:rPr>
        <w:t xml:space="preserve">Relacionarse con centros equivalentes de la UE, Estados miembros y terceros países.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Calibri" w:hAnsi="Calibri" w:eastAsia="Calibri"/>
        </w:rPr>
        <w:t xml:space="preserve">Fijar criterios de coordinación sobre precursores de drogas y explosivos.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Calibri" w:hAnsi="Calibri" w:eastAsia="Calibri"/>
        </w:rPr>
        <w:t xml:space="preserve">Planificar y ejecutar la destrucción de alijos de drogas intervenidos por Policía Nacional y Guardia Civil, sin invadir competencias de otros departamentos.</w:t>
      </w:r>
    </w:p>
    <w:bookmarkEnd w:id="47"/>
    <w:bookmarkStart w:id="48" w:name="unidades-dependientes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Unidades dependientes</w:t>
      </w:r>
    </w:p>
    <w:p>
      <w:pPr>
        <w:widowControl/>
        <w:numPr>
          <w:ilvl w:val="0"/>
          <w:numId w:val="1019"/>
        </w:numPr>
        <w:pStyle w:val="Compact"/>
      </w:pPr>
      <w:r>
        <w:rPr>
          <w:bCs/>
          <w:rFonts w:ascii="Calibri" w:hAnsi="Calibri" w:eastAsia="Calibri"/>
          <w:b/>
        </w:rPr>
        <w:t xml:space="preserve">UNECI: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Unidad Nacional de Retirada de Contenidos Ilícitos en Internet.</w:t>
      </w:r>
    </w:p>
    <w:p>
      <w:pPr>
        <w:widowControl/>
        <w:numPr>
          <w:ilvl w:val="0"/>
          <w:numId w:val="1019"/>
        </w:numPr>
        <w:pStyle w:val="Compact"/>
      </w:pPr>
      <w:r>
        <w:rPr>
          <w:bCs/>
          <w:rFonts w:ascii="Calibri" w:hAnsi="Calibri" w:eastAsia="Calibri"/>
          <w:b/>
        </w:rPr>
        <w:t xml:space="preserve">ONIP: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Oficina Nacional de Información sobre Pasajeros, que actúa como PIU nacional.</w:t>
      </w:r>
    </w:p>
    <w:p>
      <w:pPr>
        <w:widowControl/>
        <w:numPr>
          <w:ilvl w:val="0"/>
          <w:numId w:val="1019"/>
        </w:numPr>
        <w:pStyle w:val="Compact"/>
      </w:pPr>
      <w:r>
        <w:rPr>
          <w:bCs/>
          <w:rFonts w:ascii="Calibri" w:hAnsi="Calibri" w:eastAsia="Calibri"/>
          <w:b/>
        </w:rPr>
        <w:t xml:space="preserve">TEPOL: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Unidad de Policía Judicial para delitos de terrorismo.</w:t>
      </w:r>
    </w:p>
    <w:bookmarkEnd w:id="48"/>
    <w:bookmarkStart w:id="49" w:name="otros-puntos-de-contacto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Otros puntos de contacto</w:t>
      </w:r>
    </w:p>
    <w:p>
      <w:pPr>
        <w:widowControl/>
        <w:numPr>
          <w:ilvl w:val="0"/>
          <w:numId w:val="1020"/>
        </w:numPr>
        <w:pStyle w:val="Compact"/>
      </w:pPr>
      <w:r>
        <w:rPr>
          <w:rFonts w:ascii="Calibri" w:hAnsi="Calibri" w:eastAsia="Calibri"/>
        </w:rPr>
        <w:t xml:space="preserve">punto focal de apoyo a la Relatoría Nacional contra la Trata;</w:t>
      </w:r>
    </w:p>
    <w:p>
      <w:pPr>
        <w:widowControl/>
        <w:numPr>
          <w:ilvl w:val="0"/>
          <w:numId w:val="1020"/>
        </w:numPr>
        <w:pStyle w:val="Compact"/>
      </w:pPr>
      <w:r>
        <w:rPr>
          <w:rFonts w:ascii="Calibri" w:hAnsi="Calibri" w:eastAsia="Calibri"/>
        </w:rPr>
        <w:t xml:space="preserve">punto nacional de contacto sobre localización y recuperación de activos (</w:t>
      </w:r>
      <w:r>
        <w:rPr>
          <w:bCs/>
          <w:rFonts w:ascii="Calibri" w:hAnsi="Calibri" w:eastAsia="Calibri"/>
          <w:b/>
        </w:rPr>
        <w:t xml:space="preserve">ORA</w:t>
      </w:r>
      <w:r>
        <w:rPr>
          <w:rFonts w:ascii="Calibri" w:hAnsi="Calibri" w:eastAsia="Calibri"/>
        </w:rPr>
        <w:t xml:space="preserve">);</w:t>
      </w:r>
    </w:p>
    <w:p>
      <w:pPr>
        <w:widowControl/>
        <w:numPr>
          <w:ilvl w:val="0"/>
          <w:numId w:val="1020"/>
        </w:numPr>
        <w:pStyle w:val="Compact"/>
      </w:pPr>
      <w:r>
        <w:rPr>
          <w:rFonts w:ascii="Calibri" w:hAnsi="Calibri" w:eastAsia="Calibri"/>
        </w:rPr>
        <w:t xml:space="preserve">punto de contacto nacional para precursores de explosivos.</w:t>
      </w:r>
    </w:p>
    <w:p>
      <w:pPr>
        <w:pStyle w:val="AcademiaEnVigor·Destacado"/>
      </w:pPr>
      <w:r>
        <w:rPr>
          <w:rFonts w:ascii="Calibri" w:hAnsi="Calibri" w:eastAsia="Calibri"/>
          <w:color w:val="17365D"/>
          <w:sz w:val="20"/>
        </w:rPr>
        <w:t xml:space="preserve">🎯</w:t>
      </w:r>
      <w:r>
        <w:rPr>
          <w:rFonts w:ascii="Calibri" w:hAnsi="Calibri" w:eastAsia="Calibri"/>
          <w:color w:val="17365D"/>
          <w:sz w:val="20"/>
        </w:rPr>
        <w:t xml:space="preserve"> </w:t>
      </w:r>
      <w:r>
        <w:rPr>
          <w:bCs/>
          <w:rFonts w:ascii="Calibri" w:hAnsi="Calibri" w:eastAsia="Calibri"/>
          <w:b/>
          <w:color w:val="17365D"/>
          <w:sz w:val="20"/>
        </w:rPr>
        <w:t xml:space="preserve">LO QUE CAE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Calibri" w:hAnsi="Calibri" w:eastAsia="Calibri"/>
        </w:rPr>
        <w:t xml:space="preserve">Los informes son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anuales</w:t>
      </w:r>
      <w:r>
        <w:rPr>
          <w:rFonts w:ascii="Calibri" w:hAnsi="Calibri" w:eastAsia="Calibri"/>
        </w:rPr>
        <w:t xml:space="preserve">, no semestrales.</w:t>
      </w:r>
    </w:p>
    <w:p>
      <w:pPr>
        <w:widowControl/>
        <w:numPr>
          <w:ilvl w:val="0"/>
          <w:numId w:val="1021"/>
        </w:numPr>
        <w:pStyle w:val="Compact"/>
      </w:pPr>
      <w:r>
        <w:rPr>
          <w:bCs/>
          <w:rFonts w:ascii="Calibri" w:hAnsi="Calibri" w:eastAsia="Calibri"/>
          <w:b/>
        </w:rPr>
        <w:t xml:space="preserve">UNECI depende de CITCO</w:t>
      </w:r>
      <w:r>
        <w:rPr>
          <w:rFonts w:ascii="Calibri" w:hAnsi="Calibri" w:eastAsia="Calibri"/>
        </w:rPr>
        <w:t xml:space="preserve">.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Calibri" w:hAnsi="Calibri" w:eastAsia="Calibri"/>
        </w:rPr>
        <w:t xml:space="preserve">ONIP actúa como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PIU nacional</w:t>
      </w:r>
      <w:r>
        <w:rPr>
          <w:rFonts w:ascii="Calibri" w:hAnsi="Calibri" w:eastAsia="Calibri"/>
        </w:rPr>
        <w:t xml:space="preserve">.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Calibri" w:hAnsi="Calibri" w:eastAsia="Calibri"/>
        </w:rPr>
        <w:t xml:space="preserve">La dirección del Gabinete ejerce la Relatoría; CITCO presta apoyo técnico como punto focal.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Calibri" w:hAnsi="Calibri" w:eastAsia="Calibri"/>
        </w:rPr>
        <w:t xml:space="preserve">CITCO depende de la SES, no de la Dirección General de la Policía.</w:t>
      </w:r>
    </w:p>
    <w:bookmarkEnd w:id="49"/>
    <w:bookmarkEnd w:id="50"/>
    <w:bookmarkStart w:id="51" w:name="Xdf525ad0184bded2bb12444900205e505b54bf8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10. Comité Ejecutivo de Coordinación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Bajo dirección y supervisión de la persona titular del Ministerio, lo preside la persona titular de la SES.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Lo integran las personas titulares de: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Calibri" w:hAnsi="Calibri" w:eastAsia="Calibri"/>
        </w:rPr>
        <w:t xml:space="preserve">Subsecretaría del Interior;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Calibri" w:hAnsi="Calibri" w:eastAsia="Calibri"/>
        </w:rPr>
        <w:t xml:space="preserve">Dirección General de la Policía;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Calibri" w:hAnsi="Calibri" w:eastAsia="Calibri"/>
        </w:rPr>
        <w:t xml:space="preserve">Dirección General de la Guardia Civil;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Calibri" w:hAnsi="Calibri" w:eastAsia="Calibri"/>
        </w:rPr>
        <w:t xml:space="preserve">Secretaría General de Instituciones Penitenciarias;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Calibri" w:hAnsi="Calibri" w:eastAsia="Calibri"/>
        </w:rPr>
        <w:t xml:space="preserve">Gabinete del Ministro;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Calibri" w:hAnsi="Calibri" w:eastAsia="Calibri"/>
        </w:rPr>
        <w:t xml:space="preserve">Dirección General de Relaciones Internacionales y Extranjería;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Calibri" w:hAnsi="Calibri" w:eastAsia="Calibri"/>
        </w:rPr>
        <w:t xml:space="preserve">Dirección General de Coordinación y Estudios, que ejerce la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secretaría</w:t>
      </w:r>
      <w:r>
        <w:rPr>
          <w:rFonts w:ascii="Calibri" w:hAnsi="Calibri" w:eastAsia="Calibri"/>
        </w:rPr>
        <w:t xml:space="preserve">;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Calibri" w:hAnsi="Calibri" w:eastAsia="Calibri"/>
        </w:rPr>
        <w:t xml:space="preserve">Direcciones Adjuntas Operativas de Policía Nacional y Guardia Civil.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⚠️ La redacción vigente del artículo 2.4 no incorporó a la nueva Secretaría General de Protección Civil y Emergencias a esta composición.</w:t>
      </w:r>
    </w:p>
    <w:bookmarkEnd w:id="51"/>
    <w:bookmarkStart w:id="52" w:name="X62e02f73dbef0c3e6e96340a1f9c10ca07b00d4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11. Las dos subdirecciones generales propias de la SES</w:t>
      </w:r>
    </w:p>
    <w:tbl>
      <w:tblPr>
        <w:tblStyle w:val="Table"/>
        <w:tblW w:type="dxa" w:w="9648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3015"/>
        <w:gridCol w:w="6633"/>
      </w:tblGrid>
      <w:tr>
        <w:trPr>
          <w:tblHeader w:val="true"/>
          <w:tblHeader w:val="true"/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 xml:space="preserve">Subdirección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 xml:space="preserve">Núcleo examinable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Planificación y Gestión de Infraestructuras y Medios para la Seguridad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Inversiones, proyectos, obras, adquisiciones, fondos europeos y patrimonio inmobiliario de seguridad.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Sistemas de Información y Comunicaciones para la Seguridad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Sistemas y bases compartidas, eu-LISA, Schengen, SIRDEE, proyectos europeos de I+D+i y dirección de CETSE.</w:t>
            </w:r>
          </w:p>
        </w:tc>
      </w:tr>
    </w:tbl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Regla de memoria: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piedra y píxel</w:t>
      </w:r>
      <w:r>
        <w:rPr>
          <w:rFonts w:ascii="Calibri" w:hAnsi="Calibri" w:eastAsia="Calibri"/>
        </w:rPr>
        <w:t xml:space="preserve">.</w:t>
      </w:r>
    </w:p>
    <w:bookmarkEnd w:id="52"/>
    <w:bookmarkStart w:id="53" w:name="Xe830490cce319ea59b37e2274f54d2562a1ebc4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12. Gerencia de Infraestructuras y Equipamiento de la Seguridad del Estado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Es un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organismo autónomo adscrito a la SES</w:t>
      </w:r>
      <w:r>
        <w:rPr>
          <w:rFonts w:ascii="Calibri" w:hAnsi="Calibri" w:eastAsia="Calibri"/>
        </w:rPr>
        <w:t xml:space="preserve">. Su Estatuto fue aprobado por el Real Decreto 904/2021.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La disposición transitoria tercera del Real Decreto 207/2024 establece que, hasta la adaptación normativa del Estatuto, la persona titular de la SES ejerce transitoriamente las funciones de dirección del organismo.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⚠️ La Gerencia no es una subdirección general y la Subdirección de Infraestructuras no depende de la Gerencia: ambas se relacionan, pero ocupan posiciones diferentes.</w:t>
      </w:r>
    </w:p>
    <w:p>
      <w:pPr>
        <w:widowControl/>
      </w:pPr>
      <w:r>
        <w:rPr>
          <w:rFonts w:ascii="Calibri" w:hAnsi="Calibri" w:eastAsia="Calibri"/>
        </w:rPr>
        <w:pict>
          <v:rect style="width:0;height:1.5pt" o:hralign="center" o:hrstd="t" o:hr="t"/>
        </w:pict>
      </w:r>
    </w:p>
    <w:bookmarkEnd w:id="53"/>
    <w:bookmarkEnd w:id="54"/>
    <w:bookmarkStart w:id="58" w:name="X3677dfe296f7792c869c05bfd91966b76f5d51f"/>
    <w:p>
      <w:pPr>
        <w:pStyle w:val="Heading1"/>
        <w:keepNext/>
        <w:keepLines/>
      </w:pPr>
      <w:r>
        <w:rPr>
          <w:rFonts w:ascii="Calibri" w:hAnsi="Calibri" w:eastAsia="Calibri"/>
        </w:rPr>
        <w:t xml:space="preserve">🟦 PARTE 4 · LOS ÓRGANOS DIRECTIVOS DE LA SES</w:t>
      </w:r>
    </w:p>
    <w:bookmarkStart w:id="55" w:name="X6d30a91e5236933367e129a56a3271441f5cff5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13. Visión de conjunto</w:t>
      </w:r>
    </w:p>
    <w:tbl>
      <w:tblPr>
        <w:tblStyle w:val="Table"/>
        <w:tblW w:type="dxa" w:w="9648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3015"/>
        <w:gridCol w:w="6633"/>
      </w:tblGrid>
      <w:tr>
        <w:trPr>
          <w:tblHeader w:val="true"/>
          <w:tblHeader w:val="true"/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 xml:space="preserve">Órgano directivo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 xml:space="preserve">Idea nuclear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Dirección General de la Policía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Ordena, dirige, coordina y ejecuta las misiones de la Policía Nacional. Su titular tiene rango de subsecretario y mando directo del Cuerpo.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Dirección General de la Guardia Civil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Ordena, dirige, coordina y ejecuta las misiones de la Guardia Civil según las directrices de Interior y Defensa en sus respectivos ámbitos. Su titular tiene rango de subsecretario y mando directo del Cuerpo.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Dirección General de Relaciones Internacionales y Extranjería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Coordina la acción exterior del Ministerio, la cooperación policial internacional y las líneas estratégicas internacionales de migración y fronteras.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bCs/>
                <w:rFonts w:ascii="Calibri" w:hAnsi="Calibri" w:eastAsia="Calibri"/>
                <w:b/>
                <w:sz w:val="18"/>
              </w:rPr>
              <w:t xml:space="preserve">Dirección General de Coordinación y Estudios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Apoya a la SES en coordinación, supervisión, inspección, planificación, estadísticas, infraestructuras críticas, ciberseguridad y protección de colectivos vulnerables.</w:t>
            </w:r>
          </w:p>
        </w:tc>
      </w:tr>
    </w:tbl>
    <w:p>
      <w:pPr>
        <w:pStyle w:val="BodyText"/>
        <w:widowControl/>
      </w:pPr>
      <w:r>
        <w:rPr>
          <w:rFonts w:ascii="Calibri" w:hAnsi="Calibri" w:eastAsia="Calibri"/>
        </w:rPr>
        <w:t xml:space="preserve">El Tema 8 desarrolla la Dirección General de la Policía. En el Tema 7 basta con ubicarla, distinguir el mando directo y no confundir sus órganos con los órganos propios de la SES.</w:t>
      </w:r>
    </w:p>
    <w:bookmarkEnd w:id="55"/>
    <w:bookmarkStart w:id="56" w:name="X97d8d964d69a879fab98e38662a44ca74aed8ea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14. Dirección General de Relaciones Internacionales y Extranjería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Coordina la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acción exterior del Ministerio</w:t>
      </w:r>
      <w:r>
        <w:rPr>
          <w:rFonts w:ascii="Calibri" w:hAnsi="Calibri" w:eastAsia="Calibri"/>
        </w:rPr>
        <w:t xml:space="preserve">: relaciones internacionales, posición ante la UE, cooperación policial internacional, órganos técnicos en misiones diplomáticas, convenios, líneas internacionales de migración y fronteras, relaciones con la Agencia Europea de la Guardia de Fronteras y Costas y coordinación con Asuntos Exteriores.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Gestiona el punto nacional de contacto con la Guardia Europea de Fronteras y Costas y el Centro Nacional de Coordinación de Eurosur.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De ella dependen tres subdirecciones:</w:t>
      </w:r>
    </w:p>
    <w:p>
      <w:pPr>
        <w:widowControl/>
        <w:numPr>
          <w:ilvl w:val="0"/>
          <w:numId w:val="1023"/>
        </w:numPr>
        <w:pStyle w:val="Compact"/>
      </w:pPr>
      <w:r>
        <w:rPr>
          <w:rFonts w:ascii="Calibri" w:hAnsi="Calibri" w:eastAsia="Calibri"/>
        </w:rPr>
        <w:t xml:space="preserve">Cooperación Policial Internacional.</w:t>
      </w:r>
    </w:p>
    <w:p>
      <w:pPr>
        <w:widowControl/>
        <w:numPr>
          <w:ilvl w:val="0"/>
          <w:numId w:val="1023"/>
        </w:numPr>
        <w:pStyle w:val="Compact"/>
      </w:pPr>
      <w:r>
        <w:rPr>
          <w:rFonts w:ascii="Calibri" w:hAnsi="Calibri" w:eastAsia="Calibri"/>
        </w:rPr>
        <w:t xml:space="preserve">Relaciones Internacionales, Inmigración y Extranjería.</w:t>
      </w:r>
    </w:p>
    <w:p>
      <w:pPr>
        <w:widowControl/>
        <w:numPr>
          <w:ilvl w:val="0"/>
          <w:numId w:val="1023"/>
        </w:numPr>
        <w:pStyle w:val="Compact"/>
      </w:pPr>
      <w:r>
        <w:rPr>
          <w:rFonts w:ascii="Calibri" w:hAnsi="Calibri" w:eastAsia="Calibri"/>
        </w:rPr>
        <w:t xml:space="preserve">Asuntos Europeos.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Mnemotecnia: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Policía — Migración — Europa</w:t>
      </w:r>
      <w:r>
        <w:rPr>
          <w:rFonts w:ascii="Calibri" w:hAnsi="Calibri" w:eastAsia="Calibri"/>
        </w:rPr>
        <w:t xml:space="preserve">.</w:t>
      </w:r>
    </w:p>
    <w:p>
      <w:pPr>
        <w:pStyle w:val="AcademiaEnVigor·Destacado"/>
      </w:pPr>
      <w:r>
        <w:rPr>
          <w:rFonts w:ascii="Calibri" w:hAnsi="Calibri" w:eastAsia="Calibri"/>
          <w:color w:val="17365D"/>
          <w:sz w:val="20"/>
        </w:rPr>
        <w:t xml:space="preserve">🎯</w:t>
      </w:r>
      <w:r>
        <w:rPr>
          <w:rFonts w:ascii="Calibri" w:hAnsi="Calibri" w:eastAsia="Calibri"/>
          <w:color w:val="17365D"/>
          <w:sz w:val="20"/>
        </w:rPr>
        <w:t xml:space="preserve"> </w:t>
      </w:r>
      <w:r>
        <w:rPr>
          <w:bCs/>
          <w:rFonts w:ascii="Calibri" w:hAnsi="Calibri" w:eastAsia="Calibri"/>
          <w:b/>
          <w:color w:val="17365D"/>
          <w:sz w:val="20"/>
        </w:rPr>
        <w:t xml:space="preserve">LO QUE CAE</w:t>
      </w:r>
    </w:p>
    <w:p>
      <w:pPr>
        <w:widowControl/>
        <w:numPr>
          <w:ilvl w:val="0"/>
          <w:numId w:val="1024"/>
        </w:numPr>
        <w:pStyle w:val="Compact"/>
      </w:pPr>
      <w:r>
        <w:rPr>
          <w:rFonts w:ascii="Calibri" w:hAnsi="Calibri" w:eastAsia="Calibri"/>
        </w:rPr>
        <w:t xml:space="preserve">La DGRIE depende de la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SES</w:t>
      </w:r>
      <w:r>
        <w:rPr>
          <w:rFonts w:ascii="Calibri" w:hAnsi="Calibri" w:eastAsia="Calibri"/>
        </w:rPr>
        <w:t xml:space="preserve">, no de la Subsecretaría.</w:t>
      </w:r>
    </w:p>
    <w:p>
      <w:pPr>
        <w:widowControl/>
        <w:numPr>
          <w:ilvl w:val="0"/>
          <w:numId w:val="1024"/>
        </w:numPr>
        <w:pStyle w:val="Compact"/>
      </w:pPr>
      <w:r>
        <w:rPr>
          <w:rFonts w:ascii="Calibri" w:hAnsi="Calibri" w:eastAsia="Calibri"/>
        </w:rPr>
        <w:t xml:space="preserve">«Protección Internacional» y «Relaciones Internacionales y Extranjería» son direcciones generales distintas. La primera depende de la Subsecretaría; la segunda, de la SES.</w:t>
      </w:r>
    </w:p>
    <w:p>
      <w:pPr>
        <w:widowControl/>
        <w:numPr>
          <w:ilvl w:val="0"/>
          <w:numId w:val="1024"/>
        </w:numPr>
        <w:pStyle w:val="Compact"/>
      </w:pPr>
      <w:r>
        <w:rPr>
          <w:rFonts w:ascii="Calibri" w:hAnsi="Calibri" w:eastAsia="Calibri"/>
        </w:rPr>
        <w:t xml:space="preserve">La DGRIE coordina la dimensión internacional; no sustituye a la Oficina de Asilo y Refugio ni a la Dirección General de Protección Internacional.</w:t>
      </w:r>
    </w:p>
    <w:bookmarkEnd w:id="56"/>
    <w:bookmarkStart w:id="57" w:name="X14135717abbbc76b5221fc623f440b350242345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15. Dirección General de Coordinación y Estudios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Es el órgano de apoyo y asesoramiento con el que la SES coordina y supervisa Policía Nacional y Guardia Civil y colabora con policías autonómicas y locales.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Sus focos examinables son:</w:t>
      </w:r>
    </w:p>
    <w:p>
      <w:pPr>
        <w:widowControl/>
        <w:numPr>
          <w:ilvl w:val="0"/>
          <w:numId w:val="1025"/>
        </w:numPr>
        <w:pStyle w:val="Compact"/>
      </w:pPr>
      <w:r>
        <w:rPr>
          <w:rFonts w:ascii="Calibri" w:hAnsi="Calibri" w:eastAsia="Calibri"/>
        </w:rPr>
        <w:t xml:space="preserve">planes e instrucciones comunes de seguridad ciudadana;</w:t>
      </w:r>
    </w:p>
    <w:p>
      <w:pPr>
        <w:widowControl/>
        <w:numPr>
          <w:ilvl w:val="0"/>
          <w:numId w:val="1025"/>
        </w:numPr>
        <w:pStyle w:val="Compact"/>
      </w:pPr>
      <w:r>
        <w:rPr>
          <w:rFonts w:ascii="Calibri" w:hAnsi="Calibri" w:eastAsia="Calibri"/>
        </w:rPr>
        <w:t xml:space="preserve">Estadística Nacional de Criminalidad e informes;</w:t>
      </w:r>
    </w:p>
    <w:p>
      <w:pPr>
        <w:widowControl/>
        <w:numPr>
          <w:ilvl w:val="0"/>
          <w:numId w:val="1025"/>
        </w:numPr>
        <w:pStyle w:val="Compact"/>
      </w:pPr>
      <w:r>
        <w:rPr>
          <w:rFonts w:ascii="Calibri" w:hAnsi="Calibri" w:eastAsia="Calibri"/>
        </w:rPr>
        <w:t xml:space="preserve">Unidad Nacional de CEPOL;</w:t>
      </w:r>
    </w:p>
    <w:p>
      <w:pPr>
        <w:widowControl/>
        <w:numPr>
          <w:ilvl w:val="0"/>
          <w:numId w:val="1025"/>
        </w:numPr>
        <w:pStyle w:val="Compact"/>
      </w:pPr>
      <w:r>
        <w:rPr>
          <w:rFonts w:ascii="Calibri" w:hAnsi="Calibri" w:eastAsia="Calibri"/>
        </w:rPr>
        <w:t xml:space="preserve">infraestructuras críticas mediante CNPIC;</w:t>
      </w:r>
    </w:p>
    <w:p>
      <w:pPr>
        <w:widowControl/>
        <w:numPr>
          <w:ilvl w:val="0"/>
          <w:numId w:val="1025"/>
        </w:numPr>
        <w:pStyle w:val="Compact"/>
      </w:pPr>
      <w:r>
        <w:rPr>
          <w:rFonts w:ascii="Calibri" w:hAnsi="Calibri" w:eastAsia="Calibri"/>
        </w:rPr>
        <w:t xml:space="preserve">violencia de género, delitos de odio y desaparecidos;</w:t>
      </w:r>
    </w:p>
    <w:p>
      <w:pPr>
        <w:widowControl/>
        <w:numPr>
          <w:ilvl w:val="0"/>
          <w:numId w:val="1025"/>
        </w:numPr>
        <w:pStyle w:val="Compact"/>
      </w:pPr>
      <w:r>
        <w:rPr>
          <w:rFonts w:ascii="Calibri" w:hAnsi="Calibri" w:eastAsia="Calibri"/>
        </w:rPr>
        <w:t xml:space="preserve">ciberseguridad mediante OCC;</w:t>
      </w:r>
    </w:p>
    <w:p>
      <w:pPr>
        <w:widowControl/>
        <w:numPr>
          <w:ilvl w:val="0"/>
          <w:numId w:val="1025"/>
        </w:numPr>
        <w:pStyle w:val="Compact"/>
      </w:pPr>
      <w:r>
        <w:rPr>
          <w:rFonts w:ascii="Calibri" w:hAnsi="Calibri" w:eastAsia="Calibri"/>
        </w:rPr>
        <w:t xml:space="preserve">cooperación policial y CCPA;</w:t>
      </w:r>
    </w:p>
    <w:p>
      <w:pPr>
        <w:widowControl/>
        <w:numPr>
          <w:ilvl w:val="0"/>
          <w:numId w:val="1025"/>
        </w:numPr>
        <w:pStyle w:val="Compact"/>
      </w:pPr>
      <w:r>
        <w:rPr>
          <w:rFonts w:ascii="Calibri" w:hAnsi="Calibri" w:eastAsia="Calibri"/>
        </w:rPr>
        <w:t xml:space="preserve">información mediante CEPIC;</w:t>
      </w:r>
    </w:p>
    <w:p>
      <w:pPr>
        <w:widowControl/>
        <w:numPr>
          <w:ilvl w:val="0"/>
          <w:numId w:val="1025"/>
        </w:numPr>
        <w:pStyle w:val="Compact"/>
      </w:pPr>
      <w:r>
        <w:rPr>
          <w:rFonts w:ascii="Calibri" w:hAnsi="Calibri" w:eastAsia="Calibri"/>
        </w:rPr>
        <w:t xml:space="preserve">documentación clasificada y protección de datos de la SES.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De la DGCE depende la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Inspección de Personal y Servicios de Seguridad</w:t>
      </w:r>
      <w:r>
        <w:rPr>
          <w:rFonts w:ascii="Calibri" w:hAnsi="Calibri" w:eastAsia="Calibri"/>
        </w:rPr>
        <w:t xml:space="preserve">, con nivel de subdirección general. Esta dirige la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Oficina Nacional de Garantías de los Derechos Humanos (ONGADH)</w:t>
      </w:r>
      <w:r>
        <w:rPr>
          <w:rFonts w:ascii="Calibri" w:hAnsi="Calibri" w:eastAsia="Calibri"/>
        </w:rPr>
        <w:t xml:space="preserve">.</w:t>
      </w:r>
    </w:p>
    <w:p>
      <w:pPr>
        <w:pStyle w:val="AcademiaEnVigor·Destacado"/>
      </w:pPr>
      <w:r>
        <w:rPr>
          <w:rFonts w:ascii="Calibri" w:hAnsi="Calibri" w:eastAsia="Calibri"/>
          <w:color w:val="17365D"/>
          <w:sz w:val="20"/>
        </w:rPr>
        <w:t xml:space="preserve">🎯</w:t>
      </w:r>
      <w:r>
        <w:rPr>
          <w:rFonts w:ascii="Calibri" w:hAnsi="Calibri" w:eastAsia="Calibri"/>
          <w:color w:val="17365D"/>
          <w:sz w:val="20"/>
        </w:rPr>
        <w:t xml:space="preserve"> </w:t>
      </w:r>
      <w:r>
        <w:rPr>
          <w:bCs/>
          <w:rFonts w:ascii="Calibri" w:hAnsi="Calibri" w:eastAsia="Calibri"/>
          <w:b/>
          <w:color w:val="17365D"/>
          <w:sz w:val="20"/>
        </w:rPr>
        <w:t xml:space="preserve">LO QUE CAE</w:t>
      </w:r>
    </w:p>
    <w:p>
      <w:pPr>
        <w:widowControl/>
        <w:numPr>
          <w:ilvl w:val="0"/>
          <w:numId w:val="1026"/>
        </w:numPr>
        <w:pStyle w:val="Compact"/>
      </w:pPr>
      <w:r>
        <w:rPr>
          <w:rFonts w:ascii="Calibri" w:hAnsi="Calibri" w:eastAsia="Calibri"/>
        </w:rPr>
        <w:t xml:space="preserve">La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Inspección de Personal y Servicios de Seguridad depende de la DGCE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y tiene nivel de subdirección general.</w:t>
      </w:r>
    </w:p>
    <w:p>
      <w:pPr>
        <w:widowControl/>
        <w:numPr>
          <w:ilvl w:val="0"/>
          <w:numId w:val="1026"/>
        </w:numPr>
        <w:pStyle w:val="Compact"/>
      </w:pPr>
      <w:r>
        <w:rPr>
          <w:rFonts w:ascii="Calibri" w:hAnsi="Calibri" w:eastAsia="Calibri"/>
        </w:rPr>
        <w:t xml:space="preserve">La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ONGADH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depende funcionalmente de esa Inspección.</w:t>
      </w:r>
    </w:p>
    <w:p>
      <w:pPr>
        <w:widowControl/>
        <w:numPr>
          <w:ilvl w:val="0"/>
          <w:numId w:val="1026"/>
        </w:numPr>
        <w:pStyle w:val="Compact"/>
      </w:pPr>
      <w:r>
        <w:rPr>
          <w:rFonts w:ascii="Calibri" w:hAnsi="Calibri" w:eastAsia="Calibri"/>
        </w:rPr>
        <w:t xml:space="preserve">El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CNPIC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está en la órbita funcional de la DGCE, que auxilia a la SES como responsable superior del sistema.</w:t>
      </w:r>
    </w:p>
    <w:p>
      <w:pPr>
        <w:widowControl/>
        <w:numPr>
          <w:ilvl w:val="0"/>
          <w:numId w:val="1026"/>
        </w:numPr>
        <w:pStyle w:val="Compact"/>
      </w:pPr>
      <w:r>
        <w:rPr>
          <w:rFonts w:ascii="Calibri" w:hAnsi="Calibri" w:eastAsia="Calibri"/>
        </w:rPr>
        <w:t xml:space="preserve">La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OCC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no es la unidad policial que investiga todos los ciberdelitos: coordina, intercambia información y presta soporte como CSIRT-MIR-PJ.</w:t>
      </w:r>
    </w:p>
    <w:p>
      <w:pPr>
        <w:widowControl/>
        <w:numPr>
          <w:ilvl w:val="0"/>
          <w:numId w:val="1026"/>
        </w:numPr>
        <w:pStyle w:val="Compact"/>
      </w:pPr>
      <w:r>
        <w:rPr>
          <w:rFonts w:ascii="Calibri" w:hAnsi="Calibri" w:eastAsia="Calibri"/>
        </w:rPr>
        <w:t xml:space="preserve">CITCO y DGCE colaboran en estadísticas, pero CITCO no sustituye a la DGCE como órgano general de coordinación y estudios.</w:t>
      </w:r>
    </w:p>
    <w:p>
      <w:pPr>
        <w:widowControl/>
      </w:pPr>
      <w:r>
        <w:rPr>
          <w:rFonts w:ascii="Calibri" w:hAnsi="Calibri" w:eastAsia="Calibri"/>
        </w:rPr>
        <w:pict>
          <v:rect style="width:0;height:1.5pt" o:hralign="center" o:hrstd="t" o:hr="t"/>
        </w:pict>
      </w:r>
    </w:p>
    <w:bookmarkEnd w:id="57"/>
    <w:bookmarkEnd w:id="58"/>
    <w:bookmarkStart w:id="65" w:name="X1de8fb3db4e516a81c7efafa2fdf01047dca565"/>
    <w:p>
      <w:pPr>
        <w:pStyle w:val="Heading1"/>
        <w:keepNext/>
        <w:keepLines/>
      </w:pPr>
      <w:r>
        <w:rPr>
          <w:rFonts w:ascii="Calibri" w:hAnsi="Calibri" w:eastAsia="Calibri"/>
        </w:rPr>
        <w:t xml:space="preserve">🟦 PARTE 5 · DISPOSICIONES Y REGLAS DE CIERRE</w:t>
      </w:r>
    </w:p>
    <w:bookmarkStart w:id="64" w:name="X43ac335959ef447a13b4374ee62268b4736431f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16. Reglas especiales con capacidad de cambiar una respuesta</w:t>
      </w:r>
    </w:p>
    <w:bookmarkStart w:id="59" w:name="X7ed5fde800e82579448572561e838f51d52edbf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Nombramiento de los directores generales de Policía y Guardia Civil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A efectos exclusivos de su nombramiento, se aplica el artículo 64.3 de la Ley 40/2015. En el nombramiento de la persona titular de la Dirección General de la Guardia Civil se añade la regla del artículo 14.2 de la Ley Orgánica 2/1986.</w:t>
      </w:r>
    </w:p>
    <w:bookmarkEnd w:id="59"/>
    <w:bookmarkStart w:id="60" w:name="cierre-temporal-de-puestos-fronterizos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Cierre temporal de puestos fronterizos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La competencia está desconcentrada en la persona titular de la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SES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cuando lo exija la seguridad del Estado o de los ciudadanos. Debe comunicar las medidas a los departamentos afectados y, por medio de Asuntos Exteriores, a los países e instituciones correspondientes.</w:t>
      </w:r>
    </w:p>
    <w:bookmarkEnd w:id="60"/>
    <w:bookmarkStart w:id="61" w:name="suplencia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Suplencia</w:t>
      </w:r>
    </w:p>
    <w:p>
      <w:pPr>
        <w:widowControl/>
        <w:numPr>
          <w:ilvl w:val="0"/>
          <w:numId w:val="1027"/>
        </w:numPr>
        <w:pStyle w:val="Compact"/>
      </w:pPr>
      <w:r>
        <w:rPr>
          <w:rFonts w:ascii="Calibri" w:hAnsi="Calibri" w:eastAsia="Calibri"/>
        </w:rPr>
        <w:t xml:space="preserve">Vacante, ausencia o enfermedad de la persona titular de la SES: la suplen los titulares de sus Direcciones Generales por el orden en que aparecen en el Real Decreto.</w:t>
      </w:r>
    </w:p>
    <w:p>
      <w:pPr>
        <w:widowControl/>
        <w:numPr>
          <w:ilvl w:val="0"/>
          <w:numId w:val="1027"/>
        </w:numPr>
        <w:pStyle w:val="Compact"/>
      </w:pPr>
      <w:r>
        <w:rPr>
          <w:rFonts w:ascii="Calibri" w:hAnsi="Calibri" w:eastAsia="Calibri"/>
        </w:rPr>
        <w:t xml:space="preserve">En un órgano directivo, si no se ha designado suplente conforme a la Ley 40/2015: actúan los directores generales o subdirectores generales por el orden normativo.</w:t>
      </w:r>
    </w:p>
    <w:bookmarkEnd w:id="61"/>
    <w:bookmarkStart w:id="62" w:name="reglas-transitorias-útiles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Reglas transitorias útiles</w:t>
      </w:r>
    </w:p>
    <w:p>
      <w:pPr>
        <w:widowControl/>
        <w:numPr>
          <w:ilvl w:val="0"/>
          <w:numId w:val="1028"/>
        </w:numPr>
        <w:pStyle w:val="Compact"/>
      </w:pPr>
      <w:r>
        <w:rPr>
          <w:rFonts w:ascii="Calibri" w:hAnsi="Calibri" w:eastAsia="Calibri"/>
        </w:rPr>
        <w:t xml:space="preserve">Las referencias al antiguo Comité Ejecutivo para el Mando Unificado se entienden hechas al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Comité Ejecutivo de Coordinación</w:t>
      </w:r>
      <w:r>
        <w:rPr>
          <w:rFonts w:ascii="Calibri" w:hAnsi="Calibri" w:eastAsia="Calibri"/>
        </w:rPr>
        <w:t xml:space="preserve">.</w:t>
      </w:r>
    </w:p>
    <w:p>
      <w:pPr>
        <w:widowControl/>
        <w:numPr>
          <w:ilvl w:val="0"/>
          <w:numId w:val="1028"/>
        </w:numPr>
        <w:pStyle w:val="Compact"/>
      </w:pPr>
      <w:r>
        <w:rPr>
          <w:rFonts w:ascii="Calibri" w:hAnsi="Calibri" w:eastAsia="Calibri"/>
        </w:rPr>
        <w:t xml:space="preserve">Hasta adaptar el Estatuto de la Gerencia, la persona titular de la SES ejerce transitoriamente su dirección.</w:t>
      </w:r>
    </w:p>
    <w:bookmarkEnd w:id="62"/>
    <w:bookmarkStart w:id="63" w:name="entrada-en-vigor"/>
    <w:p>
      <w:pPr>
        <w:pStyle w:val="Heading3"/>
        <w:keepNext/>
        <w:keepLines/>
      </w:pPr>
      <w:r>
        <w:rPr>
          <w:rFonts w:ascii="Calibri" w:hAnsi="Calibri" w:eastAsia="Calibri"/>
        </w:rPr>
        <w:t xml:space="preserve">Entrada en vigor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El Real Decreto 207/2024 entró en vigor al día siguiente de su publicación: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29 de febrero de 2024</w:t>
      </w:r>
      <w:r>
        <w:rPr>
          <w:rFonts w:ascii="Calibri" w:hAnsi="Calibri" w:eastAsia="Calibri"/>
        </w:rPr>
        <w:t xml:space="preserve">. Su estructura fue reformada con efectos de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27 de abril de 2026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por el Real Decreto 328/2026.</w:t>
      </w:r>
    </w:p>
    <w:p>
      <w:pPr>
        <w:widowControl/>
      </w:pPr>
      <w:r>
        <w:rPr>
          <w:rFonts w:ascii="Calibri" w:hAnsi="Calibri" w:eastAsia="Calibri"/>
        </w:rPr>
        <w:pict>
          <v:rect style="width:0;height:1.5pt" o:hralign="center" o:hrstd="t" o:hr="t"/>
        </w:pict>
      </w:r>
    </w:p>
    <w:bookmarkEnd w:id="63"/>
    <w:bookmarkEnd w:id="64"/>
    <w:bookmarkEnd w:id="65"/>
    <w:bookmarkStart w:id="77" w:name="X37f2d52cbca00841312c71c41b4c7a87244984b"/>
    <w:p>
      <w:pPr>
        <w:pStyle w:val="Heading1"/>
        <w:keepNext/>
        <w:keepLines/>
      </w:pPr>
      <w:r>
        <w:rPr>
          <w:rFonts w:ascii="Calibri" w:hAnsi="Calibri" w:eastAsia="Calibri"/>
        </w:rPr>
        <w:t xml:space="preserve">🎯 CIERRE DEL TEMA</w:t>
      </w:r>
    </w:p>
    <w:bookmarkStart w:id="66" w:name="X5e249817448f95200d52396a7256aca68fc7b58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Última vuelta: 20 datos que deben salir de memoria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Ministro: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mando superior</w:t>
      </w:r>
      <w:r>
        <w:rPr>
          <w:rFonts w:ascii="Calibri" w:hAnsi="Calibri" w:eastAsia="Calibri"/>
        </w:rPr>
        <w:t xml:space="preserve">; SES: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ejercicio del mando</w:t>
      </w:r>
      <w:r>
        <w:rPr>
          <w:rFonts w:ascii="Calibri" w:hAnsi="Calibri" w:eastAsia="Calibri"/>
        </w:rPr>
        <w:t xml:space="preserve">; directores generales: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mando directo</w:t>
      </w:r>
      <w:r>
        <w:rPr>
          <w:rFonts w:ascii="Calibri" w:hAnsi="Calibri" w:eastAsia="Calibri"/>
        </w:rPr>
        <w:t xml:space="preserve">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Gabinete del Ministro: dirección general; Oficina de Comunicación: subdirección general.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Primer nivel: Seguridad, Prisiones, Emergencias y Subsecretaría.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La Secretaría General de Protección Civil y Emergencias existe desde el 27/04/2026.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De la Subsecretaría ya no depende Protección Civil.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De la SES: Policía, Guardia Civil, Relaciones Internacionales y Coordinación y Estudios.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Gabinete de la SES y CITCO: nivel de subdirección general.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La dirección del Gabinete ejerce la Relatoría Nacional contra la Trata.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CITCO es estratégico y coordinador; depende directamente de la SES.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CITCO elabora informes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anuales</w:t>
      </w:r>
      <w:r>
        <w:rPr>
          <w:rFonts w:ascii="Calibri" w:hAnsi="Calibri" w:eastAsia="Calibri"/>
        </w:rPr>
        <w:t xml:space="preserve">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UNECI, ONIP/PIU y TEPOL dependen de CITCO.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El Comité Ejecutivo lo preside la SES y su secretaría la ejerce la DGCE.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Subdirecciones propias de la SES: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infraestructuras y medios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/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sistemas y comunicaciones</w:t>
      </w:r>
      <w:r>
        <w:rPr>
          <w:rFonts w:ascii="Calibri" w:hAnsi="Calibri" w:eastAsia="Calibri"/>
        </w:rPr>
        <w:t xml:space="preserve">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CETSE depende de Sistemas de Información y Comunicaciones.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La Gerencia es organismo autónomo adscrito a la SES.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La DGRIE depende de la SES; Protección Internacional depende de la Subsecretaría.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Las tres subdirecciones de la DGRIE son Policía, Migración y Europa.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La Inspección de Personal y Servicios de Seguridad depende de la DGCE y tiene nivel de subdirección general.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La ONGADH está dirigida por esa Inspección.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Calibri" w:hAnsi="Calibri" w:eastAsia="Calibri"/>
        </w:rPr>
        <w:t xml:space="preserve">El cierre temporal de puestos fronterizos por razones de seguridad corresponde a la SES.</w:t>
      </w:r>
    </w:p>
    <w:bookmarkEnd w:id="66"/>
    <w:bookmarkStart w:id="67" w:name="trampas-del-tribunal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Trampas del tribunal</w:t>
      </w:r>
    </w:p>
    <w:tbl>
      <w:tblPr>
        <w:tblStyle w:val="Table"/>
        <w:tblW w:type="dxa" w:w="9648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3015"/>
        <w:gridCol w:w="6633"/>
      </w:tblGrid>
      <w:tr>
        <w:trPr>
          <w:tblHeader w:val="true"/>
          <w:tblHeader w:val="true"/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 xml:space="preserve">Si el enunciado dice...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 xml:space="preserve">Debes comprobar...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«Protección Civil depende de la Subsecretaría»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Es estructura anterior al 27/04/2026.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«El Ministro ejerce el mando directo»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El Ministro tiene mando superior.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«CITCO elabora informes semestrales»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Son anuales.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«UNECI depende de una brigada policial»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Depende de CITCO.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«La Relatoría Nacional contra la Trata la ejerce CITCO»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La ejerce la dirección del Gabinete de la SES; CITCO presta apoyo técnico.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«La Gerencia es una subdirección de la SES»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Es organismo autónomo adscrito.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«DGRIE depende de la Subsecretaría»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Depende de la SES.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«Protección Internacional depende de la SES»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Depende de la Subsecretaría.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«La Inspección depende directamente de la SES»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Depende de la DGCE.</w:t>
            </w:r>
          </w:p>
        </w:tc>
      </w:tr>
      <w:tr>
        <w:trPr>
          <w:cantSplit w:val="true"/>
        </w:trPr>
        <w:tc>
          <w:tcPr>
            <w:tcW w:type="dxa" w:w="3015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«ONGADH» con singular «Garantía»</w:t>
            </w:r>
          </w:p>
        </w:tc>
        <w:tc>
          <w:tcPr>
            <w:tcW w:type="dxa" w:w="6633"/>
            <w:tcMar>
              <w:top w:w="80" w:type="dxa"/>
              <w:bottom w:w="80" w:type="dxa"/>
              <w:start w:w="120" w:type="dxa"/>
              <w:end w:w="120" w:type="dxa"/>
            </w:tcMar>
            <w:shd w:fill="F5F8FC"/>
          </w:tcPr>
          <w:p>
            <w:pPr>
              <w:pStyle w:val="Compact"/>
              <w:widowControl/>
              <w:spacing w:after="4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 xml:space="preserve">La denominación vigente es Oficina Nacional de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bCs/>
                <w:rFonts w:ascii="Calibri" w:hAnsi="Calibri" w:eastAsia="Calibri"/>
                <w:b/>
                <w:sz w:val="18"/>
              </w:rPr>
              <w:t xml:space="preserve">Garantías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sz w:val="18"/>
              </w:rPr>
              <w:t xml:space="preserve">de los Derechos Humanos.</w:t>
            </w:r>
          </w:p>
        </w:tc>
      </w:tr>
    </w:tbl>
    <w:bookmarkEnd w:id="67"/>
    <w:bookmarkStart w:id="68" w:name="Xbdf3954105c6667d66cb991130b7d7d16dfef97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📅 Ha caído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Referencias verificadas en los exámenes conservados en el proyecto:</w:t>
      </w:r>
    </w:p>
    <w:p>
      <w:pPr>
        <w:widowControl/>
        <w:numPr>
          <w:ilvl w:val="0"/>
          <w:numId w:val="1030"/>
        </w:numPr>
        <w:pStyle w:val="Compact"/>
      </w:pPr>
      <w:r>
        <w:rPr>
          <w:bCs/>
          <w:rFonts w:ascii="Calibri" w:hAnsi="Calibri" w:eastAsia="Calibri"/>
          <w:b/>
        </w:rPr>
        <w:t xml:space="preserve">2015, preguntas 24-26: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ejercicio del mando por la SES; dependencia de la Subdirección de Infraestructuras; identificación de la DGRIE como órgano directivo de la SES.</w:t>
      </w:r>
    </w:p>
    <w:p>
      <w:pPr>
        <w:widowControl/>
        <w:numPr>
          <w:ilvl w:val="0"/>
          <w:numId w:val="1030"/>
        </w:numPr>
        <w:pStyle w:val="Compact"/>
      </w:pPr>
      <w:r>
        <w:rPr>
          <w:bCs/>
          <w:rFonts w:ascii="Calibri" w:hAnsi="Calibri" w:eastAsia="Calibri"/>
          <w:b/>
        </w:rPr>
        <w:t xml:space="preserve">2016, pregunta 15: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funciones de CITCO; el distractor cambiaba «informes anuales» por «semestrales».</w:t>
      </w:r>
    </w:p>
    <w:p>
      <w:pPr>
        <w:widowControl/>
        <w:numPr>
          <w:ilvl w:val="0"/>
          <w:numId w:val="1030"/>
        </w:numPr>
        <w:pStyle w:val="Compact"/>
      </w:pPr>
      <w:r>
        <w:rPr>
          <w:bCs/>
          <w:rFonts w:ascii="Calibri" w:hAnsi="Calibri" w:eastAsia="Calibri"/>
          <w:b/>
        </w:rPr>
        <w:t xml:space="preserve">2017, pregunta 30: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DGRIE no dependía de la Subsecretaría. La relación principal sigue vigente, aunque el resto del organigrama debe contestarse con la estructura de 2026.</w:t>
      </w:r>
    </w:p>
    <w:p>
      <w:pPr>
        <w:widowControl/>
        <w:numPr>
          <w:ilvl w:val="0"/>
          <w:numId w:val="1030"/>
        </w:numPr>
        <w:pStyle w:val="Compact"/>
      </w:pPr>
      <w:r>
        <w:rPr>
          <w:bCs/>
          <w:rFonts w:ascii="Calibri" w:hAnsi="Calibri" w:eastAsia="Calibri"/>
          <w:b/>
        </w:rPr>
        <w:t xml:space="preserve">2019, pregunta 13: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protección de infraestructuras críticas. La formulación respondía a la estructura entonces vigente; hoy debe estudiarse mediante la SES y la DGCE/CNPIC.</w:t>
      </w:r>
    </w:p>
    <w:p>
      <w:pPr>
        <w:widowControl/>
        <w:numPr>
          <w:ilvl w:val="0"/>
          <w:numId w:val="1030"/>
        </w:numPr>
        <w:pStyle w:val="Compact"/>
      </w:pPr>
      <w:r>
        <w:rPr>
          <w:bCs/>
          <w:rFonts w:ascii="Calibri" w:hAnsi="Calibri" w:eastAsia="Calibri"/>
          <w:b/>
        </w:rPr>
        <w:t xml:space="preserve">2025, pregunta 77: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Inspección de Personal y Servicios de Seguridad → DGCE; nivel de subdirección general.</w:t>
      </w:r>
    </w:p>
    <w:p>
      <w:pPr>
        <w:widowControl/>
        <w:numPr>
          <w:ilvl w:val="0"/>
          <w:numId w:val="1030"/>
        </w:numPr>
        <w:pStyle w:val="Compact"/>
      </w:pPr>
      <w:r>
        <w:rPr>
          <w:bCs/>
          <w:rFonts w:ascii="Calibri" w:hAnsi="Calibri" w:eastAsia="Calibri"/>
          <w:b/>
        </w:rPr>
        <w:t xml:space="preserve">2025, pregunta 78: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UNECI → CITCO.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No se reutiliza como vigente la pregunta de 2016 sobre la norma histórica de creación de la DGRIE: fue impugnada o quedó fuera de temario y sus opciones pertenecen a estructuras ya superadas.</w:t>
      </w:r>
    </w:p>
    <w:bookmarkEnd w:id="68"/>
    <w:bookmarkStart w:id="69" w:name="mini-test-de-última-vuelta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Mini-test de última vuelta</w:t>
      </w:r>
    </w:p>
    <w:p>
      <w:pPr>
        <w:widowControl/>
        <w:numPr>
          <w:ilvl w:val="0"/>
          <w:numId w:val="1031"/>
        </w:numPr>
      </w:pPr>
      <w:r>
        <w:rPr>
          <w:rFonts w:ascii="Calibri" w:hAnsi="Calibri" w:eastAsia="Calibri"/>
        </w:rPr>
        <w:t xml:space="preserve">Tras la reforma de 2026, la Dirección General de Protección Civil y Emergencias depende de: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a) La Subsecretaría.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b) La Secretaría General de Protección Civil y Emergencias.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c) La Secretaría de Estado de Seguridad.</w:t>
      </w:r>
    </w:p>
    <w:p>
      <w:pPr>
        <w:widowControl/>
        <w:numPr>
          <w:ilvl w:val="0"/>
          <w:numId w:val="1031"/>
        </w:numPr>
      </w:pPr>
      <w:r>
        <w:rPr>
          <w:rFonts w:ascii="Calibri" w:hAnsi="Calibri" w:eastAsia="Calibri"/>
        </w:rPr>
        <w:t xml:space="preserve">El ejercicio del mando de las Fuerzas y Cuerpos de Seguridad del Estado corresponde a: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a) La SES.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b) La DGP.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c) La Subsecretaría.</w:t>
      </w:r>
    </w:p>
    <w:p>
      <w:pPr>
        <w:widowControl/>
        <w:numPr>
          <w:ilvl w:val="0"/>
          <w:numId w:val="1031"/>
        </w:numPr>
      </w:pPr>
      <w:r>
        <w:rPr>
          <w:rFonts w:ascii="Calibri" w:hAnsi="Calibri" w:eastAsia="Calibri"/>
        </w:rPr>
        <w:t xml:space="preserve">El Gabinete de la SES tiene nivel de: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a) Dirección general.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b) Subsecretaría.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c) Subdirección general.</w:t>
      </w:r>
    </w:p>
    <w:p>
      <w:pPr>
        <w:widowControl/>
        <w:numPr>
          <w:ilvl w:val="0"/>
          <w:numId w:val="1031"/>
        </w:numPr>
      </w:pPr>
      <w:r>
        <w:rPr>
          <w:rFonts w:ascii="Calibri" w:hAnsi="Calibri" w:eastAsia="Calibri"/>
        </w:rPr>
        <w:t xml:space="preserve">UNECI depende de: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a) CITCO.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b) DGCE.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c) DGP.</w:t>
      </w:r>
    </w:p>
    <w:p>
      <w:pPr>
        <w:widowControl/>
        <w:numPr>
          <w:ilvl w:val="0"/>
          <w:numId w:val="1031"/>
        </w:numPr>
      </w:pPr>
      <w:r>
        <w:rPr>
          <w:rFonts w:ascii="Calibri" w:hAnsi="Calibri" w:eastAsia="Calibri"/>
        </w:rPr>
        <w:t xml:space="preserve">Los informes periódicos expresamente atribuidos a CITCO son: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a) Trimestrales.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b) Semestrales.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c) Anuales.</w:t>
      </w:r>
    </w:p>
    <w:p>
      <w:pPr>
        <w:widowControl/>
        <w:numPr>
          <w:ilvl w:val="0"/>
          <w:numId w:val="1031"/>
        </w:numPr>
      </w:pPr>
      <w:r>
        <w:rPr>
          <w:rFonts w:ascii="Calibri" w:hAnsi="Calibri" w:eastAsia="Calibri"/>
        </w:rPr>
        <w:t xml:space="preserve">La secretaría del Comité Ejecutivo de Coordinación corresponde a: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a) DGRIE.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b) DGCE.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c) Gabinete del Ministro.</w:t>
      </w:r>
    </w:p>
    <w:p>
      <w:pPr>
        <w:widowControl/>
        <w:numPr>
          <w:ilvl w:val="0"/>
          <w:numId w:val="1031"/>
        </w:numPr>
      </w:pPr>
      <w:r>
        <w:rPr>
          <w:rFonts w:ascii="Calibri" w:hAnsi="Calibri" w:eastAsia="Calibri"/>
        </w:rPr>
        <w:t xml:space="preserve">CETSE es dirigido por la Subdirección General de: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a) Sistemas de Información y Comunicaciones para la Seguridad.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b) Planificación y Gestión de Infraestructuras.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c) Cooperación Policial Internacional.</w:t>
      </w:r>
    </w:p>
    <w:p>
      <w:pPr>
        <w:widowControl/>
        <w:numPr>
          <w:ilvl w:val="0"/>
          <w:numId w:val="1031"/>
        </w:numPr>
      </w:pPr>
      <w:r>
        <w:rPr>
          <w:rFonts w:ascii="Calibri" w:hAnsi="Calibri" w:eastAsia="Calibri"/>
        </w:rPr>
        <w:t xml:space="preserve">La Gerencia de Infraestructuras y Equipamiento es: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a) Una subdirección general.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b) Un organismo autónomo adscrito a la SES.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c) Una unidad de la DGP.</w:t>
      </w:r>
    </w:p>
    <w:p>
      <w:pPr>
        <w:widowControl/>
        <w:numPr>
          <w:ilvl w:val="0"/>
          <w:numId w:val="1031"/>
        </w:numPr>
      </w:pPr>
      <w:r>
        <w:rPr>
          <w:rFonts w:ascii="Calibri" w:hAnsi="Calibri" w:eastAsia="Calibri"/>
        </w:rPr>
        <w:t xml:space="preserve">La Inspección de Personal y Servicios de Seguridad depende de: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a) DGCE.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b) CITCO.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c) Directamente del Ministro.</w:t>
      </w:r>
    </w:p>
    <w:p>
      <w:pPr>
        <w:widowControl/>
        <w:numPr>
          <w:ilvl w:val="0"/>
          <w:numId w:val="1031"/>
        </w:numPr>
      </w:pPr>
      <w:r>
        <w:rPr>
          <w:rFonts w:ascii="Calibri" w:hAnsi="Calibri" w:eastAsia="Calibri"/>
        </w:rPr>
        <w:t xml:space="preserve">La competencia para acordar temporalmente el cierre de puestos fronterizos por razones de seguridad está desconcentrada en: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a) La SES.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b) La DGRIE.</w:t>
      </w:r>
      <w:r>
        <w:rPr>
          <w:rFonts w:ascii="Calibri" w:hAnsi="Calibri" w:eastAsia="Calibri"/>
        </w:rPr>
        <w:br/>
      </w:r>
      <w:r>
        <w:rPr>
          <w:rFonts w:ascii="Calibri" w:hAnsi="Calibri" w:eastAsia="Calibri"/>
        </w:rPr>
        <w:t xml:space="preserve">c) La Subsecretaría.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Respuestas: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1-b · 2-a · 3-c · 4-a · 5-c · 6-b · 7-a · 8-b · 9-a · 10-a.</w:t>
      </w:r>
    </w:p>
    <w:bookmarkEnd w:id="69"/>
    <w:bookmarkStart w:id="76" w:name="fuentes-oficiales"/>
    <w:p>
      <w:pPr>
        <w:pStyle w:val="Heading2"/>
        <w:keepNext/>
        <w:keepLines/>
      </w:pPr>
      <w:r>
        <w:rPr>
          <w:rFonts w:ascii="Calibri" w:hAnsi="Calibri" w:eastAsia="Calibri"/>
        </w:rPr>
        <w:t xml:space="preserve">Fuentes oficiales</w:t>
      </w:r>
    </w:p>
    <w:p>
      <w:pPr>
        <w:widowControl/>
        <w:numPr>
          <w:ilvl w:val="0"/>
          <w:numId w:val="1032"/>
        </w:numPr>
        <w:pStyle w:val="Compact"/>
      </w:pPr>
      <w:hyperlink r:id="rId70">
        <w:r>
          <w:rPr>
            <w:rStyle w:val="Hyperlink"/>
          </w:rPr>
          <w:t xml:space="preserve">Convocatoria de Escala Básica de 2026 — BOE-A-2026-15055</w:t>
        </w:r>
      </w:hyperlink>
    </w:p>
    <w:p>
      <w:pPr>
        <w:widowControl/>
        <w:numPr>
          <w:ilvl w:val="0"/>
          <w:numId w:val="1032"/>
        </w:numPr>
        <w:pStyle w:val="Compact"/>
      </w:pPr>
      <w:hyperlink r:id="rId71">
        <w:r>
          <w:rPr>
            <w:rStyle w:val="Hyperlink"/>
          </w:rPr>
          <w:t xml:space="preserve">Real Decreto 207/2024, texto consolidado</w:t>
        </w:r>
      </w:hyperlink>
    </w:p>
    <w:p>
      <w:pPr>
        <w:widowControl/>
        <w:numPr>
          <w:ilvl w:val="0"/>
          <w:numId w:val="1032"/>
        </w:numPr>
        <w:pStyle w:val="Compact"/>
      </w:pPr>
      <w:hyperlink r:id="rId72">
        <w:r>
          <w:rPr>
            <w:rStyle w:val="Hyperlink"/>
          </w:rPr>
          <w:t xml:space="preserve">Real Decreto 328/2026, reforma de la estructura</w:t>
        </w:r>
      </w:hyperlink>
    </w:p>
    <w:p>
      <w:pPr>
        <w:widowControl/>
        <w:numPr>
          <w:ilvl w:val="0"/>
          <w:numId w:val="1032"/>
        </w:numPr>
        <w:pStyle w:val="Compact"/>
      </w:pPr>
      <w:hyperlink r:id="rId73">
        <w:r>
          <w:rPr>
            <w:rStyle w:val="Hyperlink"/>
          </w:rPr>
          <w:t xml:space="preserve">Real Decreto 1009/2023, texto consolidado</w:t>
        </w:r>
      </w:hyperlink>
    </w:p>
    <w:p>
      <w:pPr>
        <w:widowControl/>
        <w:numPr>
          <w:ilvl w:val="0"/>
          <w:numId w:val="1032"/>
        </w:numPr>
        <w:pStyle w:val="Compact"/>
      </w:pPr>
      <w:hyperlink r:id="rId74">
        <w:r>
          <w:rPr>
            <w:rStyle w:val="Hyperlink"/>
          </w:rPr>
          <w:t xml:space="preserve">Ley 40/2015, texto consolidado</w:t>
        </w:r>
      </w:hyperlink>
    </w:p>
    <w:p>
      <w:pPr>
        <w:widowControl/>
        <w:numPr>
          <w:ilvl w:val="0"/>
          <w:numId w:val="1032"/>
        </w:numPr>
        <w:pStyle w:val="Compact"/>
      </w:pPr>
      <w:hyperlink r:id="rId75">
        <w:r>
          <w:rPr>
            <w:rStyle w:val="Hyperlink"/>
          </w:rPr>
          <w:t xml:space="preserve">Organigrama oficial del Ministerio del Interior</w:t>
        </w:r>
      </w:hyperlink>
    </w:p>
    <w:bookmarkEnd w:id="76"/>
    <w:bookmarkEnd w:id="77"/>
    <w:sectPr>
      <w:headerReference w:type="default" r:id="rId9"/>
      <w:headerReference w:type="even" r:id="rId10"/>
      <w:headerReference w:type="first" r:id="rId11"/>
      <w:footerReference w:type="default" r:id="rId12"/>
      <w:pgSz w:w="12240" w:h="15840"/>
      <w:pgMar w:top="1152" w:bottom="1080" w:left="1296" w:right="1296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D6D6D"/>
        <w:sz w:val="16"/>
      </w:rPr>
      <w:t>EL PARTE  ·  Corte normativo 28/07/2026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color w:val="2E74B5"/>
        <w:sz w:val="17"/>
      </w:rPr>
      <w:t>ACADEMIA EN VIGOR  ·  TEMA 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color w:val="2E74B5"/>
        <w:sz w:val="17"/>
      </w:rPr>
      <w:t>ACADEMIA EN VIGOR  ·  TEMA 7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color w:val="2E74B5"/>
        <w:sz w:val="17"/>
      </w:rPr>
      <w:t>ACADEMIA EN VIGOR  ·  TEMA 7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00" w:line="276" w:lineRule="auto"/>
      <w:jc w:val="left"/>
    </w:pPr>
    <w:rPr>
      <w:rFonts w:ascii="Calibri" w:hAnsi="Calibri"/>
      <w:color w:val="1F1F1F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Theme="majorHAnsi" w:cstheme="majorBidi" w:eastAsiaTheme="majorEastAsia" w:hAnsiTheme="majorHAnsi" w:ascii="Calibri" w:hAnsi="Calibri"/>
      <w:b/>
      <w:bCs/>
      <w:color w:val="17365D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cademiaEnVigor·Destacado">
    <w:name w:val="Academia En Vigor · Destacado"/>
    <w:basedOn w:val="Normal"/>
    <w:pPr>
      <w:keepLines/>
      <w:spacing w:before="100" w:after="140"/>
      <w:ind w:left="317" w:right="173"/>
    </w:pPr>
    <w:rPr>
      <w:rFonts w:ascii="Calibri" w:hAnsi="Calibri"/>
      <w:color w:val="17365D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74" Type="http://schemas.openxmlformats.org/officeDocument/2006/relationships/hyperlink" Target="https://www.boe.es/buscar/act.php?id=BOE-A-2015-10566" TargetMode="External"/><Relationship Id="rId73" Type="http://schemas.openxmlformats.org/officeDocument/2006/relationships/hyperlink" Target="https://www.boe.es/buscar/act.php?id=BOE-A-2023-24842" TargetMode="External"/><Relationship Id="rId71" Type="http://schemas.openxmlformats.org/officeDocument/2006/relationships/hyperlink" Target="https://www.boe.es/buscar/act.php?id=BOE-A-2024-3793" TargetMode="External"/><Relationship Id="rId72" Type="http://schemas.openxmlformats.org/officeDocument/2006/relationships/hyperlink" Target="https://www.boe.es/buscar/doc.php?id=BOE-A-2026-9079" TargetMode="External"/><Relationship Id="rId70" Type="http://schemas.openxmlformats.org/officeDocument/2006/relationships/hyperlink" Target="https://www.boe.es/diario_boe/txt.php?id=BOE-A-2026-15055" TargetMode="External"/><Relationship Id="rId75" Type="http://schemas.openxmlformats.org/officeDocument/2006/relationships/hyperlink" Target="https://www.interior.gob.es/opencms/es/el-ministerio/organigrama/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74" Type="http://schemas.openxmlformats.org/officeDocument/2006/relationships/hyperlink" Target="https://www.boe.es/buscar/act.php?id=BOE-A-2015-10566" TargetMode="External"/><Relationship Id="rId73" Type="http://schemas.openxmlformats.org/officeDocument/2006/relationships/hyperlink" Target="https://www.boe.es/buscar/act.php?id=BOE-A-2023-24842" TargetMode="External"/><Relationship Id="rId71" Type="http://schemas.openxmlformats.org/officeDocument/2006/relationships/hyperlink" Target="https://www.boe.es/buscar/act.php?id=BOE-A-2024-3793" TargetMode="External"/><Relationship Id="rId72" Type="http://schemas.openxmlformats.org/officeDocument/2006/relationships/hyperlink" Target="https://www.boe.es/buscar/doc.php?id=BOE-A-2026-9079" TargetMode="External"/><Relationship Id="rId70" Type="http://schemas.openxmlformats.org/officeDocument/2006/relationships/hyperlink" Target="https://www.boe.es/diario_boe/txt.php?id=BOE-A-2026-15055" TargetMode="External"/><Relationship Id="rId75" Type="http://schemas.openxmlformats.org/officeDocument/2006/relationships/hyperlink" Target="https://www.interior.gob.es/opencms/es/el-ministerio/organigra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7 · El Ministerio del Interior y la Secretaría de Estado de Seguridad</dc:title>
  <dc:creator>Academia En Vigor</dc:creator>
  <cp:keywords>Tema 7, Ministerio del Interior, SES</cp:keywords>
  <dcterms:created xsi:type="dcterms:W3CDTF">2026-07-28T17:26:25Z</dcterms:created>
  <dcterms:modified xsi:type="dcterms:W3CDTF">2026-07-28T17:26:25Z</dcterms:modified>
  <cp:lastModifiedBy>Academia En Vigor</cp:lastModifiedBy>
  <dc:subject>Policía Nacional · Escala Básica · Temario Esencial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