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62"/>
      </w:pPr>
      <w:r>
        <w:rPr>
          <w:b w:val="false"/>
          <w:bCs w:val="false"/>
          <w:i w:val="false"/>
          <w:iCs w:val="false"/>
          <w:caps w:val="false"/>
          <w:color w:val="1C1C24"/>
          <w:sz w:val="21"/>
          <w:szCs w:val="21"/>
        </w:rPr>
        <w:t xml:space="preserve"/>
      </w:r>
    </w:p>
    <w:p>
      <w:pPr>
        <w:spacing w:after="60"/>
        <w:jc w:val="center"/>
      </w:pPr>
      <w:r>
        <w:rPr>
          <w:b/>
          <w:bCs/>
          <w:i w:val="false"/>
          <w:iCs w:val="false"/>
          <w:caps/>
          <w:color w:val="B01128"/>
          <w:sz w:val="22"/>
          <w:szCs w:val="22"/>
        </w:rPr>
        <w:t xml:space="preserve">ACADEMIA SEÚL</w:t>
      </w:r>
    </w:p>
    <w:p>
      <w:pPr>
        <w:spacing w:after="260"/>
        <w:jc w:val="center"/>
      </w:pPr>
      <w:r>
        <w:rPr>
          <w:b w:val="false"/>
          <w:bCs w:val="false"/>
          <w:i w:val="false"/>
          <w:iCs w:val="false"/>
          <w:caps w:val="false"/>
          <w:color w:val="5A5A66"/>
          <w:sz w:val="20"/>
          <w:szCs w:val="20"/>
        </w:rPr>
        <w:t xml:space="preserve">Department of Language Education</w:t>
      </w:r>
    </w:p>
    <w:p>
      <w:pPr>
        <w:spacing w:after="80"/>
        <w:jc w:val="center"/>
      </w:pPr>
      <w:r>
        <w:rPr>
          <w:b/>
          <w:bCs/>
          <w:i w:val="false"/>
          <w:iCs w:val="false"/>
          <w:caps w:val="false"/>
          <w:color w:val="15243F"/>
          <w:sz w:val="52"/>
          <w:szCs w:val="52"/>
        </w:rPr>
        <w:t xml:space="preserve">Korean Culture, Conversation</w:t>
      </w:r>
    </w:p>
    <w:p>
      <w:pPr>
        <w:spacing w:after="200"/>
        <w:jc w:val="center"/>
      </w:pPr>
      <w:r>
        <w:rPr>
          <w:b/>
          <w:bCs/>
          <w:i w:val="false"/>
          <w:iCs w:val="false"/>
          <w:caps w:val="false"/>
          <w:color w:val="15243F"/>
          <w:sz w:val="52"/>
          <w:szCs w:val="52"/>
        </w:rPr>
        <w:t xml:space="preserve">&amp; Language</w:t>
      </w:r>
    </w:p>
    <w:p>
      <w:pPr>
        <w:pBdr>
          <w:bottom w:val="single" w:color="A8842C" w:sz="16" w:space="12"/>
        </w:pBdr>
        <w:spacing w:after="240"/>
        <w:jc w:val="center"/>
      </w:pPr>
      <w:r>
        <w:rPr>
          <w:b w:val="false"/>
          <w:bCs w:val="false"/>
          <w:i w:val="false"/>
          <w:iCs w:val="false"/>
          <w:caps w:val="false"/>
          <w:color w:val="B01128"/>
          <w:sz w:val="24"/>
          <w:szCs w:val="24"/>
        </w:rPr>
        <w:t xml:space="preserve">A Ten-Week Immersion Curriculum · A2 to Early Intermediate</w:t>
      </w:r>
    </w:p>
    <w:p>
      <w:pPr>
        <w:spacing w:after="100"/>
        <w:jc w:val="center"/>
      </w:pPr>
      <w:r>
        <w:rPr>
          <w:rFonts w:ascii="Malgun Gothic" w:cs="Malgun Gothic" w:eastAsia="Malgun Gothic" w:hAnsi="Malgun Gothic"/>
          <w:b/>
          <w:bCs/>
          <w:i w:val="false"/>
          <w:iCs w:val="false"/>
          <w:caps w:val="false"/>
          <w:color w:val="15243F"/>
          <w:sz w:val="26"/>
          <w:szCs w:val="26"/>
        </w:rPr>
        <w:t xml:space="preserve">10주 문화·회화·문법 통합 교육과정</w:t>
      </w:r>
    </w:p>
    <w:p>
      <w:pPr>
        <w:spacing w:after="600"/>
        <w:jc w:val="center"/>
      </w:pPr>
      <w:r>
        <w:rPr>
          <w:b w:val="false"/>
          <w:bCs w:val="false"/>
          <w:i/>
          <w:iCs/>
          <w:caps w:val="false"/>
          <w:color w:val="5A5A66"/>
          <w:sz w:val="20"/>
          <w:szCs w:val="20"/>
        </w:rPr>
        <w:t xml:space="preserve">Programa integrado de cultura, conversación y gramática · 10 semanas</w:t>
      </w:r>
    </w:p>
    <w:p>
      <w:pPr>
        <w:spacing w:after="40"/>
        <w:jc w:val="center"/>
      </w:pPr>
      <w:r>
        <w:rPr>
          <w:b w:val="false"/>
          <w:bCs w:val="false"/>
          <w:i w:val="false"/>
          <w:iCs w:val="false"/>
          <w:caps w:val="false"/>
          <w:color w:val="5A5A66"/>
          <w:sz w:val="19"/>
          <w:szCs w:val="19"/>
        </w:rPr>
        <w:t xml:space="preserve">Grammatical framework: Korean Grammar in Use — Beginning to Early Intermediate</w:t>
      </w:r>
    </w:p>
    <w:p>
      <w:pPr>
        <w:spacing w:after="40"/>
        <w:jc w:val="center"/>
      </w:pPr>
      <w:r>
        <w:rPr>
          <w:rFonts w:ascii="Malgun Gothic" w:cs="Malgun Gothic" w:eastAsia="Malgun Gothic" w:hAnsi="Malgun Gothic"/>
          <w:b w:val="false"/>
          <w:bCs w:val="false"/>
          <w:i w:val="false"/>
          <w:iCs w:val="false"/>
          <w:caps w:val="false"/>
          <w:color w:val="5A5A66"/>
          <w:sz w:val="19"/>
          <w:szCs w:val="19"/>
        </w:rPr>
        <w:t xml:space="preserve">Eight new modules specified herein · Two existing modules by 홍미영 (Abby), integrated</w:t>
      </w:r>
    </w:p>
    <w:p>
      <w:pPr>
        <w:jc w:val="center"/>
      </w:pPr>
      <w:r>
        <w:rPr>
          <w:b/>
          <w:bCs/>
          <w:i w:val="false"/>
          <w:iCs w:val="false"/>
          <w:caps w:val="false"/>
          <w:color w:val="B01128"/>
          <w:sz w:val="19"/>
          <w:szCs w:val="19"/>
        </w:rPr>
        <w:t xml:space="preserve">academiaseul.com</w:t>
      </w:r>
    </w:p>
    <w:p>
      <w:pPr>
        <w:pStyle w:val="Heading1"/>
        <w:pageBreakBefore/>
        <w:pBdr>
          <w:bottom w:val="single" w:color="B01128" w:sz="14" w:space="8"/>
        </w:pBdr>
        <w:spacing w:after="160" w:before="0"/>
      </w:pPr>
      <w:r>
        <w:rPr>
          <w:b/>
          <w:bCs/>
          <w:i w:val="false"/>
          <w:iCs w:val="false"/>
          <w:caps w:val="false"/>
          <w:color w:val="15243F"/>
          <w:sz w:val="30"/>
          <w:szCs w:val="30"/>
        </w:rPr>
        <w:t xml:space="preserve">I. Institutional Mandate &amp; Positioning</w:t>
      </w:r>
    </w:p>
    <w:p>
      <w:pPr>
        <w:spacing w:after="110" w:before="0" w:line="262"/>
      </w:pPr>
      <w:r>
        <w:rPr>
          <w:b w:val="false"/>
          <w:bCs w:val="false"/>
          <w:i w:val="false"/>
          <w:iCs w:val="false"/>
          <w:caps w:val="false"/>
          <w:color w:val="1C1C24"/>
          <w:sz w:val="21"/>
          <w:szCs w:val="21"/>
        </w:rPr>
        <w:t xml:space="preserve">This document establishes the academic specification for Academia Seúl's ten-week Korean Culture, Conversation &amp; Language track, targeted at learners at the A2 to Early Intermediate threshold. Eight modules are newly specified here; two existing modules by 홍미영 (Abby) are integrated into the sequence at grammatically supported positions. It is a teaching specification, not a marketing asset: each module is defined by a cultural theme, a set of grammatical targets traceable to a single authoritative reference, a delimited semantic field, and a measurable communicative objective.</w:t>
      </w:r>
    </w:p>
    <w:p>
      <w:pPr>
        <w:spacing w:after="110" w:before="0" w:line="262"/>
      </w:pPr>
      <w:r>
        <w:rPr>
          <w:b w:val="false"/>
          <w:bCs w:val="false"/>
          <w:i w:val="false"/>
          <w:iCs w:val="false"/>
          <w:caps w:val="false"/>
          <w:color w:val="1C1C24"/>
          <w:sz w:val="21"/>
          <w:szCs w:val="21"/>
        </w:rPr>
        <w:t xml:space="preserve">The curriculum operates on one governing principle: culture is the carrier, grammar is the cargo. A cultural module that does not generate obligatory, repeated use of its target structure is decorative and has no place in a language program. Every theme selected below was chosen because the discourse it produces naturally requires the grammar assigned to it — not because the theme is merely appealing.</w:t>
      </w:r>
    </w:p>
    <w:p>
      <w:pPr>
        <w:pStyle w:val="Heading2"/>
        <w:spacing w:after="70" w:before="180"/>
      </w:pPr>
      <w:r>
        <w:rPr>
          <w:b/>
          <w:bCs/>
          <w:i w:val="false"/>
          <w:iCs w:val="false"/>
          <w:caps w:val="false"/>
          <w:color w:val="B01128"/>
          <w:sz w:val="22"/>
          <w:szCs w:val="22"/>
        </w:rPr>
        <w:t xml:space="preserve">Integration of the existing modules</w:t>
      </w:r>
    </w:p>
    <w:p>
      <w:pPr>
        <w:spacing w:after="110" w:before="0" w:line="262"/>
      </w:pPr>
      <w:r>
        <w:rPr>
          <w:b w:val="false"/>
          <w:bCs w:val="false"/>
          <w:i w:val="false"/>
          <w:iCs w:val="false"/>
          <w:caps w:val="false"/>
          <w:color w:val="1C1C24"/>
          <w:sz w:val="21"/>
          <w:szCs w:val="21"/>
        </w:rPr>
        <w:t xml:space="preserve">Two culture modules were already developed by 홍미영 (Abby): Korean Food Culture (essential fermented pastes and their dishes) and Korean Holidays (Seollal and Chuseok). The eight modules specified here are thematically disjoint from both. Rather than appending Abby's modules to the end of the programme, they are placed inside the sequence at the two points where their grammar is already supported — Week 03 and Week 09 — so the track runs as a single ten-week progression rather than an eight-week course with two extras.</w:t>
      </w:r>
    </w:p>
    <w:p>
      <w:pPr>
        <w:spacing w:after="110" w:before="0" w:line="262"/>
      </w:pPr>
      <w:r>
        <w:rPr>
          <w:b w:val="false"/>
          <w:bCs w:val="false"/>
          <w:i w:val="false"/>
          <w:iCs w:val="false"/>
          <w:caps w:val="false"/>
          <w:color w:val="1C1C24"/>
          <w:sz w:val="21"/>
          <w:szCs w:val="21"/>
        </w:rPr>
        <w:t xml:space="preserve">One deliberate adjustment: Module 03 (Hanbok) has been re-angled toward aesthetics and contemporary fashion rather than holiday ritual, because 한복 already appears in Abby's Holidays deck. Teaching it twice under the same framing would waste a session; teaching it as a design language does not.</w:t>
      </w:r>
    </w:p>
    <w:p>
      <w:pPr>
        <w:pStyle w:val="Heading2"/>
        <w:spacing w:after="70" w:before="180"/>
      </w:pPr>
      <w:r>
        <w:rPr>
          <w:b/>
          <w:bCs/>
          <w:i w:val="false"/>
          <w:iCs w:val="false"/>
          <w:caps w:val="false"/>
          <w:color w:val="B01128"/>
          <w:sz w:val="22"/>
          <w:szCs w:val="22"/>
        </w:rPr>
        <w:t xml:space="preserve">Language of delivery</w:t>
      </w:r>
    </w:p>
    <w:p>
      <w:pPr>
        <w:spacing w:after="110" w:before="0" w:line="262"/>
      </w:pPr>
      <w:r>
        <w:rPr>
          <w:b w:val="false"/>
          <w:bCs w:val="false"/>
          <w:i w:val="false"/>
          <w:iCs w:val="false"/>
          <w:caps w:val="false"/>
          <w:color w:val="1C1C24"/>
          <w:sz w:val="21"/>
          <w:szCs w:val="21"/>
        </w:rPr>
        <w:t xml:space="preserve">Instruction is trilingual, following the format already established in the existing modules: Korean as the target, English as the metalinguistic reference, Spanish as the language of explanation. This specification is written in English as the institutional working language; all student-facing artifacts derived from it must lead in Spanish.</w:t>
      </w:r>
    </w:p>
    <w:p>
      <w:pPr>
        <w:pStyle w:val="Heading1"/>
        <w:pageBreakBefore/>
        <w:pBdr>
          <w:bottom w:val="single" w:color="B01128" w:sz="14" w:space="8"/>
        </w:pBdr>
        <w:spacing w:after="160" w:before="0"/>
      </w:pPr>
      <w:r>
        <w:rPr>
          <w:b/>
          <w:bCs/>
          <w:i w:val="false"/>
          <w:iCs w:val="false"/>
          <w:caps w:val="false"/>
          <w:color w:val="15243F"/>
          <w:sz w:val="30"/>
          <w:szCs w:val="30"/>
        </w:rPr>
        <w:t xml:space="preserve">II. Methodological Framework</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050"/>
        <w:gridCol w:w="7310"/>
      </w:tblGrid>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Grammar base</w:t>
            </w:r>
          </w:p>
        </w:tc>
        <w:tc>
          <w:tcPr>
            <w:tcW w:type="dxa" w:w="731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1C1C24"/>
                <w:sz w:val="21"/>
                <w:szCs w:val="21"/>
              </w:rPr>
              <w:t xml:space="preserve">Every target structure is drawn from Korean Grammar in Use: Beginning to Early Intermediate and cited by unit and printed page. No structure is introduced that the textbook does not treat, and no structure is re-labeled with a form the textbook does not use.</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Syntactic progression</w:t>
            </w:r>
          </w:p>
        </w:tc>
        <w:tc>
          <w:tcPr>
            <w:tcW w:type="dxa" w:w="731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1C1C24"/>
                <w:sz w:val="21"/>
                <w:szCs w:val="21"/>
              </w:rPr>
              <w:t xml:space="preserve">Modules are sequenced by grammatical load, not by thematic appeal. The program opens with clause-level connectives, moves through comparison and description, then conditions and register, and closes with clause embedding.</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Cultural integration</w:t>
            </w:r>
          </w:p>
        </w:tc>
        <w:tc>
          <w:tcPr>
            <w:tcW w:type="dxa" w:w="731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1C1C24"/>
                <w:sz w:val="21"/>
                <w:szCs w:val="21"/>
              </w:rPr>
              <w:t xml:space="preserve">Each module isolates one facet of Korean culture whose internal logic mirrors the logic of its target grammar — rule-governed institutions carry conditionals, hierarchies carry honorifics, narrative carries past tense.</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Practical application</w:t>
            </w:r>
          </w:p>
        </w:tc>
        <w:tc>
          <w:tcPr>
            <w:tcW w:type="dxa" w:w="731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1C1C24"/>
                <w:sz w:val="21"/>
                <w:szCs w:val="21"/>
              </w:rPr>
              <w:t xml:space="preserve">Each session terminates in production. The measure of a module is not comprehension of the cultural content but the learner's ability to deploy the structure unprompted in conversation.</w:t>
            </w:r>
          </w:p>
        </w:tc>
      </w:tr>
    </w:tbl>
    <w:p>
      <w:pPr>
        <w:spacing w:after="140" w:before="0" w:line="262"/>
      </w:pPr>
      <w:r>
        <w:rPr>
          <w:b w:val="false"/>
          <w:bCs w:val="false"/>
          <w:i w:val="false"/>
          <w:iCs w:val="false"/>
          <w:caps w:val="false"/>
          <w:color w:val="1C1C24"/>
          <w:sz w:val="21"/>
          <w:szCs w:val="21"/>
        </w:rPr>
        <w:t xml:space="preserve"/>
      </w:r>
    </w:p>
    <w:p>
      <w:pPr>
        <w:pStyle w:val="Heading2"/>
        <w:spacing w:after="70" w:before="180"/>
      </w:pPr>
      <w:r>
        <w:rPr>
          <w:b/>
          <w:bCs/>
          <w:i w:val="false"/>
          <w:iCs w:val="false"/>
          <w:caps w:val="false"/>
          <w:color w:val="B01128"/>
          <w:sz w:val="22"/>
          <w:szCs w:val="22"/>
        </w:rPr>
        <w:t xml:space="preserve">Session architecture (60 minutes)</w:t>
      </w:r>
    </w:p>
    <w:p>
      <w:pPr>
        <w:spacing w:after="110" w:before="0" w:line="262"/>
      </w:pPr>
      <w:r>
        <w:rPr>
          <w:b w:val="false"/>
          <w:bCs w:val="false"/>
          <w:i w:val="false"/>
          <w:iCs w:val="false"/>
          <w:caps w:val="false"/>
          <w:color w:val="1C1C24"/>
          <w:sz w:val="21"/>
          <w:szCs w:val="21"/>
        </w:rPr>
        <w:t xml:space="preserve">All eight modules follow the lesson roadmap already in production use, ensuring instructors can move between Abby's modules and these without retraining:</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1100"/>
        <w:gridCol w:w="5660"/>
      </w:tblGrid>
      <w:tr>
        <w:tc>
          <w:tcPr>
            <w:tcW w:type="dxa" w:w="26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Stage</w:t>
            </w:r>
          </w:p>
        </w:tc>
        <w:tc>
          <w:tcPr>
            <w:tcW w:type="dxa" w:w="11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Time</w:t>
            </w:r>
          </w:p>
        </w:tc>
        <w:tc>
          <w:tcPr>
            <w:tcW w:type="dxa" w:w="566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Function</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9"/>
                <w:szCs w:val="19"/>
              </w:rPr>
              <w:t xml:space="preserve">워밍업 · Warm-up</w:t>
            </w:r>
          </w:p>
        </w:tc>
        <w:tc>
          <w:tcPr>
            <w:tcW w:type="dxa" w:w="110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B01128"/>
                <w:sz w:val="19"/>
                <w:szCs w:val="19"/>
              </w:rPr>
              <w:t xml:space="preserve">5 min</w:t>
            </w:r>
          </w:p>
        </w:tc>
        <w:tc>
          <w:tcPr>
            <w:tcW w:type="dxa" w:w="56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1C1C24"/>
                <w:sz w:val="19"/>
                <w:szCs w:val="19"/>
              </w:rPr>
              <w:t xml:space="preserve">Photo-prompted activation of prior knowledge and personal experience.</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9"/>
                <w:szCs w:val="19"/>
              </w:rPr>
              <w:t xml:space="preserve">어휘 · Vocabulary</w:t>
            </w:r>
          </w:p>
        </w:tc>
        <w:tc>
          <w:tcPr>
            <w:tcW w:type="dxa" w:w="110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B01128"/>
                <w:sz w:val="19"/>
                <w:szCs w:val="19"/>
              </w:rPr>
              <w:t xml:space="preserve">10 min</w:t>
            </w:r>
          </w:p>
        </w:tc>
        <w:tc>
          <w:tcPr>
            <w:tcW w:type="dxa" w:w="56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1C1C24"/>
                <w:sz w:val="19"/>
                <w:szCs w:val="19"/>
              </w:rPr>
              <w:t xml:space="preserve">Semantic field presented in Korean with English and Spanish glosses.</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9"/>
                <w:szCs w:val="19"/>
              </w:rPr>
              <w:t xml:space="preserve">문화 · Culture</w:t>
            </w:r>
          </w:p>
        </w:tc>
        <w:tc>
          <w:tcPr>
            <w:tcW w:type="dxa" w:w="110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B01128"/>
                <w:sz w:val="19"/>
                <w:szCs w:val="19"/>
              </w:rPr>
              <w:t xml:space="preserve">15 min</w:t>
            </w:r>
          </w:p>
        </w:tc>
        <w:tc>
          <w:tcPr>
            <w:tcW w:type="dxa" w:w="56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1C1C24"/>
                <w:sz w:val="19"/>
                <w:szCs w:val="19"/>
              </w:rPr>
              <w:t xml:space="preserve">The cultural content proper, delivered with visual support.</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9"/>
                <w:szCs w:val="19"/>
              </w:rPr>
              <w:t xml:space="preserve">문법 · Grammar</w:t>
            </w:r>
          </w:p>
        </w:tc>
        <w:tc>
          <w:tcPr>
            <w:tcW w:type="dxa" w:w="110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B01128"/>
                <w:sz w:val="19"/>
                <w:szCs w:val="19"/>
              </w:rPr>
              <w:t xml:space="preserve">15 min</w:t>
            </w:r>
          </w:p>
        </w:tc>
        <w:tc>
          <w:tcPr>
            <w:tcW w:type="dxa" w:w="56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1C1C24"/>
                <w:sz w:val="19"/>
                <w:szCs w:val="19"/>
              </w:rPr>
              <w:t xml:space="preserve">Target structures, each with two model sentences drawn from the module's own cultural content.</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9"/>
                <w:szCs w:val="19"/>
              </w:rPr>
              <w:t xml:space="preserve">회화 · Conversation</w:t>
            </w:r>
          </w:p>
        </w:tc>
        <w:tc>
          <w:tcPr>
            <w:tcW w:type="dxa" w:w="110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B01128"/>
                <w:sz w:val="19"/>
                <w:szCs w:val="19"/>
              </w:rPr>
              <w:t xml:space="preserve">15 min</w:t>
            </w:r>
          </w:p>
        </w:tc>
        <w:tc>
          <w:tcPr>
            <w:tcW w:type="dxa" w:w="56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1C1C24"/>
                <w:sz w:val="19"/>
                <w:szCs w:val="19"/>
              </w:rPr>
              <w:t xml:space="preserve">Six comparative discussion questions requiring the target grammar.</w:t>
            </w:r>
          </w:p>
        </w:tc>
      </w:tr>
    </w:tbl>
    <w:p>
      <w:pPr>
        <w:spacing w:after="140" w:before="0" w:line="262"/>
      </w:pPr>
      <w:r>
        <w:rPr>
          <w:b w:val="false"/>
          <w:bCs w:val="false"/>
          <w:i w:val="false"/>
          <w:iCs w:val="false"/>
          <w:caps w:val="false"/>
          <w:color w:val="1C1C24"/>
          <w:sz w:val="21"/>
          <w:szCs w:val="21"/>
        </w:rPr>
        <w:t xml:space="preserve"/>
      </w:r>
    </w:p>
    <w:p>
      <w:pPr>
        <w:pStyle w:val="Heading2"/>
        <w:spacing w:after="70" w:before="180"/>
      </w:pPr>
      <w:r>
        <w:rPr>
          <w:b/>
          <w:bCs/>
          <w:i w:val="false"/>
          <w:iCs w:val="false"/>
          <w:caps w:val="false"/>
          <w:color w:val="B01128"/>
          <w:sz w:val="22"/>
          <w:szCs w:val="22"/>
        </w:rPr>
        <w:t xml:space="preserve">A note on the comparative method</w:t>
      </w:r>
    </w:p>
    <w:p>
      <w:pPr>
        <w:spacing w:after="110" w:before="0" w:line="262"/>
      </w:pPr>
      <w:r>
        <w:rPr>
          <w:b w:val="false"/>
          <w:bCs w:val="false"/>
          <w:i w:val="false"/>
          <w:iCs w:val="false"/>
          <w:caps w:val="false"/>
          <w:color w:val="1C1C24"/>
          <w:sz w:val="21"/>
          <w:szCs w:val="21"/>
        </w:rPr>
        <w:t xml:space="preserve">Every module's conversation stage is built on a Korea-versus-home-country contrast, following the model already established in the Holidays deck. This is not a stylistic preference. Our learners are Spanish speakers with their own festivals, workplaces, schools and folklore; comparison converts passive cultural reception into active production, and it guarantees that every student has something to say regardless of prior exposure to Korea.</w:t>
      </w:r>
    </w:p>
    <w:p>
      <w:pPr>
        <w:pStyle w:val="Heading1"/>
        <w:pageBreakBefore/>
        <w:pBdr>
          <w:bottom w:val="single" w:color="B01128" w:sz="14" w:space="8"/>
        </w:pBdr>
        <w:spacing w:after="160" w:before="0"/>
      </w:pPr>
      <w:r>
        <w:rPr>
          <w:b/>
          <w:bCs/>
          <w:i w:val="false"/>
          <w:iCs w:val="false"/>
          <w:caps w:val="false"/>
          <w:color w:val="15243F"/>
          <w:sz w:val="30"/>
          <w:szCs w:val="30"/>
        </w:rPr>
        <w:t xml:space="preserve">III. Editorial Audit of the Working Draft</w:t>
      </w:r>
    </w:p>
    <w:p>
      <w:pPr>
        <w:spacing w:after="110" w:before="0" w:line="262"/>
      </w:pPr>
      <w:r>
        <w:rPr>
          <w:b w:val="false"/>
          <w:bCs w:val="false"/>
          <w:i w:val="false"/>
          <w:iCs w:val="false"/>
          <w:caps w:val="false"/>
          <w:color w:val="1C1C24"/>
          <w:sz w:val="21"/>
          <w:szCs w:val="21"/>
        </w:rPr>
        <w:t xml:space="preserve">The preliminary eight-class outline was audited line by line against the textbook. The thematic selection was sound and has been retained. Six corrections were required before the outline could be treated as an academic specification. They are recorded here in full, because a curriculum that miscites its own reference text cannot be defended to instructors or to students.</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3400"/>
        <w:gridCol w:w="5960"/>
      </w:tblGrid>
      <w:tr>
        <w:tc>
          <w:tcPr>
            <w:tcW w:type="dxa" w:w="3400"/>
            <w:shd w:fill="B01128"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Finding in draft</w:t>
            </w:r>
          </w:p>
        </w:tc>
        <w:tc>
          <w:tcPr>
            <w:tcW w:type="dxa" w:w="5960"/>
            <w:shd w:fill="B01128"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Correction applied</w:t>
            </w:r>
          </w:p>
        </w:tc>
      </w:tr>
      <w:tr>
        <w:tc>
          <w:tcPr>
            <w:tcW w:type="dxa" w:w="3400"/>
            <w:shd w:fill="FDF6F7"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18"/>
                <w:szCs w:val="18"/>
              </w:rPr>
              <w:t xml:space="preserve">-고 하다 labeled "Indirect Quotation"</w:t>
            </w:r>
          </w:p>
        </w:tc>
        <w:tc>
          <w:tcPr>
            <w:tcW w:type="dxa" w:w="5960"/>
            <w:shd w:fill="FDF6F7"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The textbook does not present this form. Unit 23 (p. 319) presents four distinct patterns differentiated by sentence type: -다고 하다 (statement), -냐고 하다 (question), -자고 하다 (proposal), -(으)라고 하다 (command). Corrected and expanded.</w:t>
            </w:r>
          </w:p>
        </w:tc>
      </w:tr>
      <w:tr>
        <w:tc>
          <w:tcPr>
            <w:tcW w:type="dxa" w:w="34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18"/>
                <w:szCs w:val="18"/>
              </w:rPr>
              <w:t xml:space="preserve">-(으)면 좋겠다 labeled "Hope"</w:t>
            </w:r>
          </w:p>
        </w:tc>
        <w:tc>
          <w:tcPr>
            <w:tcW w:type="dxa" w:w="596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The textbook's citation form is A/V-았/었으면 좋겠다 (Unit 8, p. 184), with the past marker obligatory in the standard pattern. Corrected.</w:t>
            </w:r>
          </w:p>
        </w:tc>
      </w:tr>
      <w:tr>
        <w:tc>
          <w:tcPr>
            <w:tcW w:type="dxa" w:w="3400"/>
            <w:shd w:fill="FDF6F7"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18"/>
                <w:szCs w:val="18"/>
              </w:rPr>
              <w:t xml:space="preserve">-(으)시 labeled a unit-level target</w:t>
            </w:r>
          </w:p>
        </w:tc>
        <w:tc>
          <w:tcPr>
            <w:tcW w:type="dxa" w:w="5960"/>
            <w:shd w:fill="FDF6F7"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-(으)시- is not a numbered unit. It is treated in the Introduction, §5 Honorific Expressions (pp. 20–24), alongside suppletive honorific verbs and the particle 께서. Re-cited, and paired with Unit 7 forms so the module still has productive endings to teach.</w:t>
            </w:r>
          </w:p>
        </w:tc>
      </w:tr>
      <w:tr>
        <w:tc>
          <w:tcPr>
            <w:tcW w:type="dxa" w:w="34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18"/>
                <w:szCs w:val="18"/>
              </w:rPr>
              <w:t xml:space="preserve">-아/어 본 적이 있다 cited as one form</w:t>
            </w:r>
          </w:p>
        </w:tc>
        <w:tc>
          <w:tcPr>
            <w:tcW w:type="dxa" w:w="596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The textbook separates V-아/어 보다 (Unit 11, p. 204) from V-(으)ㄴ 적이 있다/없다 (Unit 11, p. 207). The composite is legitimate for teaching but must be presented as a composite. Both loci now cited.</w:t>
            </w:r>
          </w:p>
        </w:tc>
      </w:tr>
      <w:tr>
        <w:tc>
          <w:tcPr>
            <w:tcW w:type="dxa" w:w="3400"/>
            <w:shd w:fill="FDF6F7"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18"/>
                <w:szCs w:val="18"/>
              </w:rPr>
              <w:t xml:space="preserve">Indirect quotation placed in Class 4</w:t>
            </w:r>
          </w:p>
        </w:tc>
        <w:tc>
          <w:tcPr>
            <w:tcW w:type="dxa" w:w="5960"/>
            <w:shd w:fill="FDF6F7"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Clause embedding presupposes control of the modifier and connective system. Moved to Module 08 as the capstone structure.</w:t>
            </w:r>
          </w:p>
        </w:tc>
      </w:tr>
      <w:tr>
        <w:tc>
          <w:tcPr>
            <w:tcW w:type="dxa" w:w="34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18"/>
                <w:szCs w:val="18"/>
              </w:rPr>
              <w:t xml:space="preserve">Hanbok module overlapping the Holidays deck</w:t>
            </w:r>
          </w:p>
        </w:tc>
        <w:tc>
          <w:tcPr>
            <w:tcW w:type="dxa" w:w="596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한복 is already presented in the existing Holidays module. Module 03 re-angled to aesthetics and contemporary fashion to eliminate redundancy.</w:t>
            </w:r>
          </w:p>
        </w:tc>
      </w:tr>
    </w:tbl>
    <w:p>
      <w:pPr>
        <w:spacing w:after="140" w:before="0" w:line="262"/>
      </w:pPr>
      <w:r>
        <w:rPr>
          <w:b w:val="false"/>
          <w:bCs w:val="false"/>
          <w:i w:val="false"/>
          <w:iCs w:val="false"/>
          <w:caps w:val="false"/>
          <w:color w:val="1C1C24"/>
          <w:sz w:val="21"/>
          <w:szCs w:val="21"/>
        </w:rPr>
        <w:t xml:space="preserve"/>
      </w:r>
    </w:p>
    <w:p>
      <w:pPr>
        <w:spacing w:after="110" w:before="0" w:line="262"/>
      </w:pPr>
      <w:r>
        <w:rPr>
          <w:b w:val="false"/>
          <w:bCs w:val="false"/>
          <w:i/>
          <w:iCs/>
          <w:caps w:val="false"/>
          <w:color w:val="5A5A66"/>
          <w:sz w:val="19"/>
          <w:szCs w:val="19"/>
        </w:rPr>
        <w:t xml:space="preserve">Two structures retained from the draft without change, and confirmed correct: -아/어서 as reason (Unit 9, p. 188) and A/V-았/었었어요 as past perfect (Unit 1, p. 56).</w:t>
      </w:r>
    </w:p>
    <w:p>
      <w:pPr>
        <w:pStyle w:val="Heading1"/>
        <w:pageBreakBefore/>
        <w:pBdr>
          <w:bottom w:val="single" w:color="B01128" w:sz="14" w:space="8"/>
        </w:pBdr>
        <w:spacing w:after="160" w:before="0"/>
      </w:pPr>
      <w:r>
        <w:rPr>
          <w:b/>
          <w:bCs/>
          <w:i w:val="false"/>
          <w:iCs w:val="false"/>
          <w:caps w:val="false"/>
          <w:color w:val="15243F"/>
          <w:sz w:val="30"/>
          <w:szCs w:val="30"/>
        </w:rPr>
        <w:t xml:space="preserve">IV. Syntactic Progression Map</w:t>
      </w:r>
    </w:p>
    <w:p>
      <w:pPr>
        <w:spacing w:after="110" w:before="0" w:line="262"/>
      </w:pPr>
      <w:r>
        <w:rPr>
          <w:b w:val="false"/>
          <w:bCs w:val="false"/>
          <w:i w:val="false"/>
          <w:iCs w:val="false"/>
          <w:caps w:val="false"/>
          <w:color w:val="1C1C24"/>
          <w:sz w:val="21"/>
          <w:szCs w:val="21"/>
        </w:rPr>
        <w:t xml:space="preserve">The order below is the pedagogical spine of the track. Weeks may not be resequenced without re-auditing dependencies: Week 08 assumes the connective contrast established in Week 01, Week 10 assumes the modifier system introduced in Week 04, and both of Abby's modules are load-bearing at their assigned positions.</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640"/>
        <w:gridCol w:w="2900"/>
        <w:gridCol w:w="780"/>
        <w:gridCol w:w="1900"/>
        <w:gridCol w:w="3140"/>
      </w:tblGrid>
      <w:tr>
        <w:tc>
          <w:tcPr>
            <w:tcW w:type="dxa" w:w="640"/>
            <w:shd w:fill="15243F" w:color="auto" w:val="clear"/>
            <w:tcMar>
              <w:top w:type="dxa" w:w="75"/>
              <w:left w:type="dxa" w:w="120"/>
              <w:bottom w:type="dxa" w:w="75"/>
              <w:right w:type="dxa" w:w="120"/>
            </w:tcMar>
          </w:tcPr>
          <w:p>
            <w:pPr>
              <w:spacing w:after="0" w:before="0" w:line="262"/>
            </w:pPr>
            <w:r>
              <w:rPr>
                <w:b/>
                <w:bCs/>
                <w:i w:val="false"/>
                <w:iCs w:val="false"/>
                <w:caps/>
                <w:color w:val="FFFFFF"/>
                <w:sz w:val="17"/>
                <w:szCs w:val="17"/>
              </w:rPr>
              <w:t xml:space="preserve">Wk</w:t>
            </w:r>
          </w:p>
        </w:tc>
        <w:tc>
          <w:tcPr>
            <w:tcW w:type="dxa" w:w="2900"/>
            <w:shd w:fill="15243F" w:color="auto" w:val="clear"/>
            <w:tcMar>
              <w:top w:type="dxa" w:w="75"/>
              <w:left w:type="dxa" w:w="120"/>
              <w:bottom w:type="dxa" w:w="75"/>
              <w:right w:type="dxa" w:w="120"/>
            </w:tcMar>
          </w:tcPr>
          <w:p>
            <w:pPr>
              <w:spacing w:after="0" w:before="0" w:line="262"/>
            </w:pPr>
            <w:r>
              <w:rPr>
                <w:b/>
                <w:bCs/>
                <w:i w:val="false"/>
                <w:iCs w:val="false"/>
                <w:caps/>
                <w:color w:val="FFFFFF"/>
                <w:sz w:val="17"/>
                <w:szCs w:val="17"/>
              </w:rPr>
              <w:t xml:space="preserve">Module</w:t>
            </w:r>
          </w:p>
        </w:tc>
        <w:tc>
          <w:tcPr>
            <w:tcW w:type="dxa" w:w="780"/>
            <w:shd w:fill="15243F" w:color="auto" w:val="clear"/>
            <w:tcMar>
              <w:top w:type="dxa" w:w="75"/>
              <w:left w:type="dxa" w:w="120"/>
              <w:bottom w:type="dxa" w:w="75"/>
              <w:right w:type="dxa" w:w="120"/>
            </w:tcMar>
          </w:tcPr>
          <w:p>
            <w:pPr>
              <w:spacing w:after="0" w:before="0" w:line="262"/>
            </w:pPr>
            <w:r>
              <w:rPr>
                <w:b/>
                <w:bCs/>
                <w:i w:val="false"/>
                <w:iCs w:val="false"/>
                <w:caps/>
                <w:color w:val="FFFFFF"/>
                <w:sz w:val="17"/>
                <w:szCs w:val="17"/>
              </w:rPr>
              <w:t xml:space="preserve">Src</w:t>
            </w:r>
          </w:p>
        </w:tc>
        <w:tc>
          <w:tcPr>
            <w:tcW w:type="dxa" w:w="1900"/>
            <w:shd w:fill="15243F" w:color="auto" w:val="clear"/>
            <w:tcMar>
              <w:top w:type="dxa" w:w="75"/>
              <w:left w:type="dxa" w:w="120"/>
              <w:bottom w:type="dxa" w:w="75"/>
              <w:right w:type="dxa" w:w="120"/>
            </w:tcMar>
          </w:tcPr>
          <w:p>
            <w:pPr>
              <w:spacing w:after="0" w:before="0" w:line="262"/>
            </w:pPr>
            <w:r>
              <w:rPr>
                <w:b/>
                <w:bCs/>
                <w:i w:val="false"/>
                <w:iCs w:val="false"/>
                <w:caps/>
                <w:color w:val="FFFFFF"/>
                <w:sz w:val="17"/>
                <w:szCs w:val="17"/>
              </w:rPr>
              <w:t xml:space="preserve">Textbook units</w:t>
            </w:r>
          </w:p>
        </w:tc>
        <w:tc>
          <w:tcPr>
            <w:tcW w:type="dxa" w:w="3140"/>
            <w:shd w:fill="15243F" w:color="auto" w:val="clear"/>
            <w:tcMar>
              <w:top w:type="dxa" w:w="75"/>
              <w:left w:type="dxa" w:w="120"/>
              <w:bottom w:type="dxa" w:w="75"/>
              <w:right w:type="dxa" w:w="120"/>
            </w:tcMar>
          </w:tcPr>
          <w:p>
            <w:pPr>
              <w:spacing w:after="0" w:before="0" w:line="262"/>
            </w:pPr>
            <w:r>
              <w:rPr>
                <w:b/>
                <w:bCs/>
                <w:i w:val="false"/>
                <w:iCs w:val="false"/>
                <w:caps/>
                <w:color w:val="FFFFFF"/>
                <w:sz w:val="17"/>
                <w:szCs w:val="17"/>
              </w:rPr>
              <w:t xml:space="preserve">Grammatical operation</w:t>
            </w:r>
          </w:p>
        </w:tc>
      </w:tr>
      <w:tr>
        <w:tc>
          <w:tcPr>
            <w:tcW w:type="dxa" w:w="6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01</w:t>
            </w:r>
          </w:p>
        </w:tc>
        <w:tc>
          <w:tcPr>
            <w:tcW w:type="dxa" w:w="2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K-Pop &amp; Fan Culture</w:t>
            </w:r>
          </w:p>
        </w:tc>
        <w:tc>
          <w:tcPr>
            <w:tcW w:type="dxa" w:w="78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5A5A66"/>
                <w:sz w:val="16"/>
                <w:szCs w:val="16"/>
              </w:rPr>
              <w:t xml:space="preserve">NEW</w:t>
            </w:r>
          </w:p>
        </w:tc>
        <w:tc>
          <w:tcPr>
            <w:tcW w:type="dxa" w:w="1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Units 6, 9</w:t>
            </w:r>
          </w:p>
        </w:tc>
        <w:tc>
          <w:tcPr>
            <w:tcW w:type="dxa" w:w="31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Reason + ability</w:t>
            </w:r>
          </w:p>
        </w:tc>
      </w:tr>
      <w:tr>
        <w:tc>
          <w:tcPr>
            <w:tcW w:type="dxa" w:w="6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02</w:t>
            </w:r>
          </w:p>
        </w:tc>
        <w:tc>
          <w:tcPr>
            <w:tcW w:type="dxa" w:w="2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Travel: Jeju vs. Seoul</w:t>
            </w:r>
          </w:p>
        </w:tc>
        <w:tc>
          <w:tcPr>
            <w:tcW w:type="dxa" w:w="78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5A5A66"/>
                <w:sz w:val="16"/>
                <w:szCs w:val="16"/>
              </w:rPr>
              <w:t xml:space="preserve">NEW</w:t>
            </w:r>
          </w:p>
        </w:tc>
        <w:tc>
          <w:tcPr>
            <w:tcW w:type="dxa" w:w="1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Units 3, 11</w:t>
            </w:r>
          </w:p>
        </w:tc>
        <w:tc>
          <w:tcPr>
            <w:tcW w:type="dxa" w:w="31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Comparison + experience</w:t>
            </w:r>
          </w:p>
        </w:tc>
      </w:tr>
      <w:tr>
        <w:tc>
          <w:tcPr>
            <w:tcW w:type="dxa" w:w="64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03</w:t>
            </w:r>
          </w:p>
        </w:tc>
        <w:tc>
          <w:tcPr>
            <w:tcW w:type="dxa" w:w="290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Korean Food Culture</w:t>
            </w:r>
          </w:p>
        </w:tc>
        <w:tc>
          <w:tcPr>
            <w:tcW w:type="dxa" w:w="78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A8842C"/>
                <w:sz w:val="16"/>
                <w:szCs w:val="16"/>
              </w:rPr>
              <w:t xml:space="preserve">ABBY</w:t>
            </w:r>
          </w:p>
        </w:tc>
        <w:tc>
          <w:tcPr>
            <w:tcW w:type="dxa" w:w="190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Units 9, 3</w:t>
            </w:r>
          </w:p>
        </w:tc>
        <w:tc>
          <w:tcPr>
            <w:tcW w:type="dxa" w:w="314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Reason + ingredient particles — reinforces Week 01</w:t>
            </w:r>
          </w:p>
        </w:tc>
      </w:tr>
      <w:tr>
        <w:tc>
          <w:tcPr>
            <w:tcW w:type="dxa" w:w="6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04</w:t>
            </w:r>
          </w:p>
        </w:tc>
        <w:tc>
          <w:tcPr>
            <w:tcW w:type="dxa" w:w="2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Hanbok &amp; Aesthetics</w:t>
            </w:r>
          </w:p>
        </w:tc>
        <w:tc>
          <w:tcPr>
            <w:tcW w:type="dxa" w:w="78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5A5A66"/>
                <w:sz w:val="16"/>
                <w:szCs w:val="16"/>
              </w:rPr>
              <w:t xml:space="preserve">NEW</w:t>
            </w:r>
          </w:p>
        </w:tc>
        <w:tc>
          <w:tcPr>
            <w:tcW w:type="dxa" w:w="1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Units 8, 18</w:t>
            </w:r>
          </w:p>
        </w:tc>
        <w:tc>
          <w:tcPr>
            <w:tcW w:type="dxa" w:w="31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Noun modification + desire</w:t>
            </w:r>
          </w:p>
        </w:tc>
      </w:tr>
      <w:tr>
        <w:tc>
          <w:tcPr>
            <w:tcW w:type="dxa" w:w="6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05</w:t>
            </w:r>
          </w:p>
        </w:tc>
        <w:tc>
          <w:tcPr>
            <w:tcW w:type="dxa" w:w="2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PC방 &amp; E-Sports</w:t>
            </w:r>
          </w:p>
        </w:tc>
        <w:tc>
          <w:tcPr>
            <w:tcW w:type="dxa" w:w="78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5A5A66"/>
                <w:sz w:val="16"/>
                <w:szCs w:val="16"/>
              </w:rPr>
              <w:t xml:space="preserve">NEW</w:t>
            </w:r>
          </w:p>
        </w:tc>
        <w:tc>
          <w:tcPr>
            <w:tcW w:type="dxa" w:w="1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Units 1, 5, 15</w:t>
            </w:r>
          </w:p>
        </w:tc>
        <w:tc>
          <w:tcPr>
            <w:tcW w:type="dxa" w:w="31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Temporal sequence + plans</w:t>
            </w:r>
          </w:p>
        </w:tc>
      </w:tr>
      <w:tr>
        <w:tc>
          <w:tcPr>
            <w:tcW w:type="dxa" w:w="6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06</w:t>
            </w:r>
          </w:p>
        </w:tc>
        <w:tc>
          <w:tcPr>
            <w:tcW w:type="dxa" w:w="2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Education &amp; Exam Culture</w:t>
            </w:r>
          </w:p>
        </w:tc>
        <w:tc>
          <w:tcPr>
            <w:tcW w:type="dxa" w:w="78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5A5A66"/>
                <w:sz w:val="16"/>
                <w:szCs w:val="16"/>
              </w:rPr>
              <w:t xml:space="preserve">NEW</w:t>
            </w:r>
          </w:p>
        </w:tc>
        <w:tc>
          <w:tcPr>
            <w:tcW w:type="dxa" w:w="1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Units 7, 16</w:t>
            </w:r>
          </w:p>
        </w:tc>
        <w:tc>
          <w:tcPr>
            <w:tcW w:type="dxa" w:w="31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Condition + obligation</w:t>
            </w:r>
          </w:p>
        </w:tc>
      </w:tr>
      <w:tr>
        <w:tc>
          <w:tcPr>
            <w:tcW w:type="dxa" w:w="6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07</w:t>
            </w:r>
          </w:p>
        </w:tc>
        <w:tc>
          <w:tcPr>
            <w:tcW w:type="dxa" w:w="2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Workplace &amp; Hoesik</w:t>
            </w:r>
          </w:p>
        </w:tc>
        <w:tc>
          <w:tcPr>
            <w:tcW w:type="dxa" w:w="78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5A5A66"/>
                <w:sz w:val="16"/>
                <w:szCs w:val="16"/>
              </w:rPr>
              <w:t xml:space="preserve">NEW</w:t>
            </w:r>
          </w:p>
        </w:tc>
        <w:tc>
          <w:tcPr>
            <w:tcW w:type="dxa" w:w="1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Intro §5, Unit 7</w:t>
            </w:r>
          </w:p>
        </w:tc>
        <w:tc>
          <w:tcPr>
            <w:tcW w:type="dxa" w:w="31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Honorific register + permission</w:t>
            </w:r>
          </w:p>
        </w:tc>
      </w:tr>
      <w:tr>
        <w:tc>
          <w:tcPr>
            <w:tcW w:type="dxa" w:w="6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08</w:t>
            </w:r>
          </w:p>
        </w:tc>
        <w:tc>
          <w:tcPr>
            <w:tcW w:type="dxa" w:w="2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Folklore &amp; Myths</w:t>
            </w:r>
          </w:p>
        </w:tc>
        <w:tc>
          <w:tcPr>
            <w:tcW w:type="dxa" w:w="78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5A5A66"/>
                <w:sz w:val="16"/>
                <w:szCs w:val="16"/>
              </w:rPr>
              <w:t xml:space="preserve">NEW</w:t>
            </w:r>
          </w:p>
        </w:tc>
        <w:tc>
          <w:tcPr>
            <w:tcW w:type="dxa" w:w="1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Units 1, 9, 21</w:t>
            </w:r>
          </w:p>
        </w:tc>
        <w:tc>
          <w:tcPr>
            <w:tcW w:type="dxa" w:w="31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Past narration + reaction</w:t>
            </w:r>
          </w:p>
        </w:tc>
      </w:tr>
      <w:tr>
        <w:tc>
          <w:tcPr>
            <w:tcW w:type="dxa" w:w="64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09</w:t>
            </w:r>
          </w:p>
        </w:tc>
        <w:tc>
          <w:tcPr>
            <w:tcW w:type="dxa" w:w="290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Korean Holidays</w:t>
            </w:r>
          </w:p>
        </w:tc>
        <w:tc>
          <w:tcPr>
            <w:tcW w:type="dxa" w:w="78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A8842C"/>
                <w:sz w:val="16"/>
                <w:szCs w:val="16"/>
              </w:rPr>
              <w:t xml:space="preserve">ABBY</w:t>
            </w:r>
          </w:p>
        </w:tc>
        <w:tc>
          <w:tcPr>
            <w:tcW w:type="dxa" w:w="190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Units 3, 18</w:t>
            </w:r>
          </w:p>
        </w:tc>
        <w:tc>
          <w:tcPr>
            <w:tcW w:type="dxa" w:w="3140"/>
            <w:shd w:fill="FBF7EC"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Contrast -(으)ㄴ 반면에 — needs Weeks 02 &amp; 04</w:t>
            </w:r>
          </w:p>
        </w:tc>
      </w:tr>
      <w:tr>
        <w:tc>
          <w:tcPr>
            <w:tcW w:type="dxa" w:w="6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B01128"/>
                <w:sz w:val="18"/>
                <w:szCs w:val="18"/>
              </w:rPr>
              <w:t xml:space="preserve">10</w:t>
            </w:r>
          </w:p>
        </w:tc>
        <w:tc>
          <w:tcPr>
            <w:tcW w:type="dxa" w:w="2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18"/>
                <w:szCs w:val="18"/>
              </w:rPr>
              <w:t xml:space="preserve">K-Drama &amp; Media</w:t>
            </w:r>
          </w:p>
        </w:tc>
        <w:tc>
          <w:tcPr>
            <w:tcW w:type="dxa" w:w="78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5A5A66"/>
                <w:sz w:val="16"/>
                <w:szCs w:val="16"/>
              </w:rPr>
              <w:t xml:space="preserve">NEW</w:t>
            </w:r>
          </w:p>
        </w:tc>
        <w:tc>
          <w:tcPr>
            <w:tcW w:type="dxa" w:w="19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5A5A66"/>
                <w:sz w:val="18"/>
                <w:szCs w:val="18"/>
              </w:rPr>
              <w:t xml:space="preserve">Units 8, 17, 23</w:t>
            </w:r>
          </w:p>
        </w:tc>
        <w:tc>
          <w:tcPr>
            <w:tcW w:type="dxa" w:w="314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val="false"/>
                <w:bCs w:val="false"/>
                <w:i w:val="false"/>
                <w:iCs w:val="false"/>
                <w:caps w:val="false"/>
                <w:color w:val="1C1C24"/>
                <w:sz w:val="18"/>
                <w:szCs w:val="18"/>
              </w:rPr>
              <w:t xml:space="preserve">Reported speech + supposition</w:t>
            </w:r>
          </w:p>
        </w:tc>
      </w:tr>
    </w:tbl>
    <w:p>
      <w:pPr>
        <w:spacing w:after="140" w:before="0" w:line="262"/>
      </w:pPr>
      <w:r>
        <w:rPr>
          <w:b w:val="false"/>
          <w:bCs w:val="false"/>
          <w:i w:val="false"/>
          <w:iCs w:val="false"/>
          <w:caps w:val="false"/>
          <w:color w:val="1C1C24"/>
          <w:sz w:val="21"/>
          <w:szCs w:val="21"/>
        </w:rPr>
        <w:t xml:space="preserve"/>
      </w:r>
    </w:p>
    <w:p>
      <w:pPr>
        <w:spacing w:after="110" w:before="0" w:line="262"/>
      </w:pPr>
      <w:r>
        <w:rPr>
          <w:b w:val="false"/>
          <w:bCs w:val="false"/>
          <w:i/>
          <w:iCs/>
          <w:caps w:val="false"/>
          <w:color w:val="5A5A66"/>
          <w:sz w:val="19"/>
          <w:szCs w:val="19"/>
        </w:rPr>
        <w:t xml:space="preserve">Rationale for the two insertion points. Food Culture sits at Week 03 because it reuses -아/어서 from Week 01 and the comparison work of Week 02, consolidating without adding load. Holidays sits at Week 09 because its -(으)ㄴ 반면에 contrast requires both the comparison particles of Week 02 and the noun modifiers of Week 04, and because its narrative register pairs naturally with the folklore work immediately preceding it. Neither module may be moved earlier without creating an unsupported grammatical jump.</w:t>
      </w:r>
    </w:p>
    <w:p>
      <w:pPr>
        <w:pStyle w:val="Heading1"/>
        <w:pBdr>
          <w:bottom w:val="single" w:color="B01128" w:sz="14" w:space="8"/>
        </w:pBdr>
        <w:spacing w:after="160" w:before="300"/>
      </w:pPr>
      <w:r>
        <w:rPr>
          <w:b/>
          <w:bCs/>
          <w:i w:val="false"/>
          <w:iCs w:val="false"/>
          <w:caps w:val="false"/>
          <w:color w:val="15243F"/>
          <w:sz w:val="30"/>
          <w:szCs w:val="30"/>
        </w:rPr>
        <w:t xml:space="preserve">V. Specifications — The Eight New Modules</w:t>
      </w:r>
    </w:p>
    <w:p>
      <w:pPr>
        <w:spacing w:after="110" w:before="0" w:line="262"/>
      </w:pPr>
      <w:r>
        <w:rPr>
          <w:b w:val="false"/>
          <w:bCs w:val="false"/>
          <w:i w:val="false"/>
          <w:iCs w:val="false"/>
          <w:caps w:val="false"/>
          <w:color w:val="1C1C24"/>
          <w:sz w:val="21"/>
          <w:szCs w:val="21"/>
        </w:rPr>
        <w:t xml:space="preserve">The eight modules below are the new material; Abby's two existing decks require no respecification. Each entry is complete enough for an instructor to build a 60-minute deck without further briefing. Grammar citations are to unit and printed page of Korean Grammar in Use: Beginning to Early Intermediate; all page references have been verified against the source text.</w:t>
      </w:r>
    </w:p>
    <w:p>
      <w:pPr>
        <w:pageBreakBefore/>
        <w:spacing w:after="50"/>
      </w:pPr>
      <w:r>
        <w:rPr>
          <w:b/>
          <w:bCs/>
          <w:i w:val="false"/>
          <w:iCs w:val="false"/>
          <w:caps/>
          <w:color w:val="A8842C"/>
          <w:sz w:val="17"/>
          <w:szCs w:val="17"/>
        </w:rPr>
        <w:t xml:space="preserve">Module 01  ·  Week 01 / Semana 01</w:t>
      </w:r>
    </w:p>
    <w:p>
      <w:pPr>
        <w:spacing w:after="30"/>
      </w:pPr>
      <w:r>
        <w:rPr>
          <w:b/>
          <w:bCs/>
          <w:i w:val="false"/>
          <w:iCs w:val="false"/>
          <w:caps w:val="false"/>
          <w:color w:val="15243F"/>
          <w:sz w:val="30"/>
          <w:szCs w:val="30"/>
        </w:rPr>
        <w:t xml:space="preserve">K-Pop &amp; Fan Culture</w:t>
      </w:r>
    </w:p>
    <w:p>
      <w:pPr>
        <w:spacing w:after="30"/>
      </w:pPr>
      <w:r>
        <w:rPr>
          <w:rFonts w:ascii="Malgun Gothic" w:cs="Malgun Gothic" w:eastAsia="Malgun Gothic" w:hAnsi="Malgun Gothic"/>
          <w:b/>
          <w:bCs/>
          <w:i w:val="false"/>
          <w:iCs w:val="false"/>
          <w:caps w:val="false"/>
          <w:color w:val="B01128"/>
          <w:sz w:val="22"/>
          <w:szCs w:val="22"/>
        </w:rPr>
        <w:t xml:space="preserve">케이팝과 팬 문화</w:t>
      </w:r>
    </w:p>
    <w:p>
      <w:pPr>
        <w:pBdr>
          <w:bottom w:val="single" w:color="A8842C" w:sz="10" w:space="6"/>
        </w:pBdr>
        <w:spacing w:after="130"/>
      </w:pPr>
      <w:r>
        <w:rPr>
          <w:b w:val="false"/>
          <w:bCs w:val="false"/>
          <w:i/>
          <w:iCs/>
          <w:caps w:val="false"/>
          <w:color w:val="5A5A66"/>
          <w:sz w:val="20"/>
          <w:szCs w:val="20"/>
        </w:rPr>
        <w:t xml:space="preserve">K-Pop y cultura de fans</w:t>
      </w:r>
    </w:p>
    <w:p>
      <w:pPr>
        <w:pStyle w:val="Heading2"/>
        <w:spacing w:after="70" w:before="180"/>
      </w:pPr>
      <w:r>
        <w:rPr>
          <w:b/>
          <w:bCs/>
          <w:i w:val="false"/>
          <w:iCs w:val="false"/>
          <w:caps w:val="false"/>
          <w:color w:val="B01128"/>
          <w:sz w:val="22"/>
          <w:szCs w:val="22"/>
        </w:rPr>
        <w:t xml:space="preserve">1 · Cultural Theme</w:t>
      </w:r>
    </w:p>
    <w:p>
      <w:pPr>
        <w:spacing w:after="110" w:before="0" w:line="262"/>
      </w:pPr>
      <w:r>
        <w:rPr>
          <w:b w:val="false"/>
          <w:bCs w:val="false"/>
          <w:i w:val="false"/>
          <w:iCs w:val="false"/>
          <w:caps w:val="false"/>
          <w:color w:val="1C1C24"/>
          <w:sz w:val="21"/>
          <w:szCs w:val="21"/>
        </w:rPr>
        <w:t xml:space="preserve">The global K-Pop industry as a social system: the trainee (연습생) pipeline, the comeback cycle, and fandom as organized community — official colors, 응원봉 (light sticks), 최애 (bias), and the economics of the album market. The class treats fandom not as trivia but as a genuine contemporary social institution.</w:t>
      </w:r>
    </w:p>
    <w:p>
      <w:pPr>
        <w:pStyle w:val="Heading2"/>
        <w:spacing w:after="70" w:before="180"/>
      </w:pPr>
      <w:r>
        <w:rPr>
          <w:b/>
          <w:bCs/>
          <w:i w:val="false"/>
          <w:iCs w:val="false"/>
          <w:caps w:val="false"/>
          <w:color w:val="B01128"/>
          <w:sz w:val="22"/>
          <w:szCs w:val="22"/>
        </w:rPr>
        <w:t xml:space="preserve">2 · Target Grammar Points</w:t>
      </w:r>
    </w:p>
    <w:p>
      <w:pPr>
        <w:spacing w:after="70" w:before="0" w:line="262"/>
      </w:pPr>
      <w:r>
        <w:rPr>
          <w:b w:val="false"/>
          <w:bCs w:val="false"/>
          <w:i/>
          <w:iCs/>
          <w:caps w:val="false"/>
          <w:color w:val="5A5A66"/>
          <w:sz w:val="17"/>
          <w:szCs w:val="17"/>
        </w:rPr>
        <w:t xml:space="preserve">Cited from Korean Grammar in Use: Beginning to Early Intermediate (printed-edition pages).</w:t>
      </w:r>
    </w:p>
    <w:tbl>
      <w:tblPr>
        <w:tblW w:type="dxa" w:w="931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1750"/>
        <w:gridCol w:w="4960"/>
      </w:tblGrid>
      <w:tr>
        <w:tc>
          <w:tcPr>
            <w:tcW w:type="dxa" w:w="26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Form</w:t>
            </w:r>
          </w:p>
        </w:tc>
        <w:tc>
          <w:tcPr>
            <w:tcW w:type="dxa" w:w="175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Textbook locus</w:t>
            </w:r>
          </w:p>
        </w:tc>
        <w:tc>
          <w:tcPr>
            <w:tcW w:type="dxa" w:w="496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Pedagogical rationale</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A/V-아/어서 ①</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9, p. 188</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Reason / cause. The highest-frequency A2 connective; obligatory starting point because it links two clauses without tense marking on the first clause.</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V-(으)ㄹ 수 있다/없다</w:t>
            </w:r>
          </w:p>
        </w:tc>
        <w:tc>
          <w:tcPr>
            <w:tcW w:type="dxa" w:w="1750"/>
            <w:shd w:fill="FFFFFF"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6, p. 160</w:t>
            </w:r>
          </w:p>
        </w:tc>
        <w:tc>
          <w:tcPr>
            <w:tcW w:type="dxa" w:w="49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Ability / possibility.</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V-(으)ㄹ 줄 알다/모르다</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6, p. 163</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Acquired skill (know how to). Contrasted explicitly with -(으)ㄹ 수 있다 — a distinction Spanish speakers routinely collapse into 'poder'.</w:t>
            </w:r>
          </w:p>
        </w:tc>
      </w:tr>
    </w:tbl>
    <w:p>
      <w:pPr>
        <w:pStyle w:val="Heading2"/>
        <w:spacing w:after="70" w:before="180"/>
      </w:pPr>
      <w:r>
        <w:rPr>
          <w:b/>
          <w:bCs/>
          <w:i w:val="false"/>
          <w:iCs w:val="false"/>
          <w:caps w:val="false"/>
          <w:color w:val="B01128"/>
          <w:sz w:val="22"/>
          <w:szCs w:val="22"/>
        </w:rPr>
        <w:t xml:space="preserve">3 · Vocabulary Focus</w:t>
      </w:r>
    </w:p>
    <w:p>
      <w:pPr>
        <w:spacing w:after="110" w:before="0" w:line="262"/>
      </w:pPr>
      <w:r>
        <w:rPr>
          <w:b w:val="false"/>
          <w:bCs w:val="false"/>
          <w:i w:val="false"/>
          <w:iCs w:val="false"/>
          <w:caps w:val="false"/>
          <w:color w:val="1C1C24"/>
          <w:sz w:val="21"/>
          <w:szCs w:val="21"/>
        </w:rPr>
        <w:t xml:space="preserve">Music &amp; performance (노래, 가사, 안무, 무대, 공연, 콘서트); fandom lexicon (팬덤, 응원봉, 최애, 컴백, 굿즈, 덕질); verbs of preference and consumption (좋아하다, 응원하다, 따라 하다, 외우다); adjectives of impression (멋있다, 신나다, 감동적이다).</w:t>
      </w:r>
    </w:p>
    <w:p>
      <w:pPr>
        <w:pStyle w:val="Heading2"/>
        <w:spacing w:after="70" w:before="180"/>
      </w:pPr>
      <w:r>
        <w:rPr>
          <w:b/>
          <w:bCs/>
          <w:i w:val="false"/>
          <w:iCs w:val="false"/>
          <w:caps w:val="false"/>
          <w:color w:val="B01128"/>
          <w:sz w:val="22"/>
          <w:szCs w:val="22"/>
        </w:rPr>
        <w:t xml:space="preserve">4 · Class Objective</w:t>
      </w:r>
    </w:p>
    <w:p>
      <w:pPr>
        <w:spacing w:after="110" w:before="0" w:line="262"/>
      </w:pPr>
      <w:r>
        <w:rPr>
          <w:b w:val="false"/>
          <w:bCs w:val="false"/>
          <w:i w:val="false"/>
          <w:iCs w:val="false"/>
          <w:caps w:val="false"/>
          <w:color w:val="1C1C24"/>
          <w:sz w:val="21"/>
          <w:szCs w:val="21"/>
        </w:rPr>
        <w:t xml:space="preserve">Students explain WHY they support a particular artist using -아/어서, and state what they can or cannot do as fans using the ability pair. The cultural topic is the ideal vehicle for these forms because fandom discourse is intrinsically justificatory — fans are constantly explaining preference and describing competence ('I can't dance, but I know how to sing the chorus').</w:t>
      </w:r>
    </w:p>
    <w:p>
      <w:pPr>
        <w:pStyle w:val="Heading2"/>
        <w:spacing w:after="70" w:before="180"/>
      </w:pPr>
      <w:r>
        <w:rPr>
          <w:b/>
          <w:bCs/>
          <w:i w:val="false"/>
          <w:iCs w:val="false"/>
          <w:caps w:val="false"/>
          <w:color w:val="B01128"/>
          <w:sz w:val="22"/>
          <w:szCs w:val="22"/>
        </w:rPr>
        <w:t xml:space="preserve">5 · Cultural Competency Outcome</w:t>
      </w:r>
    </w:p>
    <w:p>
      <w:pPr>
        <w:spacing w:after="110" w:before="0" w:line="262"/>
      </w:pPr>
      <w:r>
        <w:rPr>
          <w:b w:val="false"/>
          <w:bCs w:val="false"/>
          <w:i w:val="false"/>
          <w:iCs w:val="false"/>
          <w:caps w:val="false"/>
          <w:color w:val="1C1C24"/>
          <w:sz w:val="21"/>
          <w:szCs w:val="21"/>
        </w:rPr>
        <w:t xml:space="preserve">Learners can participate in an online fan conversation without cultural misreadings (e.g., understanding that 최애 is not equivalent to a Western 'favorite', and that comeback ≠ return from hiatus).</w:t>
      </w:r>
    </w:p>
    <w:p>
      <w:pPr>
        <w:pStyle w:val="Heading2"/>
        <w:spacing w:after="70" w:before="180"/>
      </w:pPr>
      <w:r>
        <w:rPr>
          <w:b/>
          <w:bCs/>
          <w:i w:val="false"/>
          <w:iCs w:val="false"/>
          <w:caps w:val="false"/>
          <w:color w:val="B01128"/>
          <w:sz w:val="22"/>
          <w:szCs w:val="22"/>
        </w:rPr>
        <w:t xml:space="preserve">6 · Integrated Model Utterance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050"/>
        <w:gridCol w:w="7310"/>
      </w:tblGrid>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한국어</w:t>
            </w:r>
          </w:p>
        </w:tc>
        <w:tc>
          <w:tcPr>
            <w:tcW w:type="dxa" w:w="731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21"/>
                <w:szCs w:val="21"/>
              </w:rPr>
              <w:t xml:space="preserve">저는 가사가 좋아서 이 그룹을 좋아해요. 춤은 못 추지만 노래는 따라 부를 줄 알아요.</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Español</w:t>
            </w:r>
          </w:p>
        </w:tc>
        <w:tc>
          <w:tcPr>
            <w:tcW w:type="dxa" w:w="7310"/>
            <w:shd w:fill="FFFFFF" w:color="auto" w:val="clear"/>
            <w:tcMar>
              <w:top w:type="dxa" w:w="75"/>
              <w:left w:type="dxa" w:w="120"/>
              <w:bottom w:type="dxa" w:w="75"/>
              <w:right w:type="dxa" w:w="120"/>
            </w:tcMar>
          </w:tcPr>
          <w:p>
            <w:pPr>
              <w:spacing w:after="0" w:before="0" w:line="262"/>
            </w:pPr>
            <w:r>
              <w:rPr>
                <w:b w:val="false"/>
                <w:bCs w:val="false"/>
                <w:i/>
                <w:iCs/>
                <w:caps w:val="false"/>
                <w:color w:val="5A5A66"/>
                <w:sz w:val="20"/>
                <w:szCs w:val="20"/>
              </w:rPr>
              <w:t xml:space="preserve">Me gusta este grupo porque la letra es buena. No sé bailar, pero sí sé cantar siguiendo la canción.</w:t>
            </w:r>
          </w:p>
        </w:tc>
      </w:tr>
    </w:tbl>
    <w:p>
      <w:pPr>
        <w:pageBreakBefore/>
        <w:spacing w:after="50"/>
      </w:pPr>
      <w:r>
        <w:rPr>
          <w:b/>
          <w:bCs/>
          <w:i w:val="false"/>
          <w:iCs w:val="false"/>
          <w:caps/>
          <w:color w:val="A8842C"/>
          <w:sz w:val="17"/>
          <w:szCs w:val="17"/>
        </w:rPr>
        <w:t xml:space="preserve">Module 02  ·  Week 02 / Semana 02</w:t>
      </w:r>
    </w:p>
    <w:p>
      <w:pPr>
        <w:spacing w:after="30"/>
      </w:pPr>
      <w:r>
        <w:rPr>
          <w:b/>
          <w:bCs/>
          <w:i w:val="false"/>
          <w:iCs w:val="false"/>
          <w:caps w:val="false"/>
          <w:color w:val="15243F"/>
          <w:sz w:val="30"/>
          <w:szCs w:val="30"/>
        </w:rPr>
        <w:t xml:space="preserve">Travel: Jeju vs. Seoul</w:t>
      </w:r>
    </w:p>
    <w:p>
      <w:pPr>
        <w:spacing w:after="30"/>
      </w:pPr>
      <w:r>
        <w:rPr>
          <w:rFonts w:ascii="Malgun Gothic" w:cs="Malgun Gothic" w:eastAsia="Malgun Gothic" w:hAnsi="Malgun Gothic"/>
          <w:b/>
          <w:bCs/>
          <w:i w:val="false"/>
          <w:iCs w:val="false"/>
          <w:caps w:val="false"/>
          <w:color w:val="B01128"/>
          <w:sz w:val="22"/>
          <w:szCs w:val="22"/>
        </w:rPr>
        <w:t xml:space="preserve">제주와 서울 · 여행 문화</w:t>
      </w:r>
    </w:p>
    <w:p>
      <w:pPr>
        <w:pBdr>
          <w:bottom w:val="single" w:color="A8842C" w:sz="10" w:space="6"/>
        </w:pBdr>
        <w:spacing w:after="130"/>
      </w:pPr>
      <w:r>
        <w:rPr>
          <w:b w:val="false"/>
          <w:bCs w:val="false"/>
          <w:i/>
          <w:iCs/>
          <w:caps w:val="false"/>
          <w:color w:val="5A5A66"/>
          <w:sz w:val="20"/>
          <w:szCs w:val="20"/>
        </w:rPr>
        <w:t xml:space="preserve">Viajes: Jeju y Seúl</w:t>
      </w:r>
    </w:p>
    <w:p>
      <w:pPr>
        <w:pStyle w:val="Heading2"/>
        <w:spacing w:after="70" w:before="180"/>
      </w:pPr>
      <w:r>
        <w:rPr>
          <w:b/>
          <w:bCs/>
          <w:i w:val="false"/>
          <w:iCs w:val="false"/>
          <w:caps w:val="false"/>
          <w:color w:val="B01128"/>
          <w:sz w:val="22"/>
          <w:szCs w:val="22"/>
        </w:rPr>
        <w:t xml:space="preserve">1 · Cultural Theme</w:t>
      </w:r>
    </w:p>
    <w:p>
      <w:pPr>
        <w:spacing w:after="110" w:before="0" w:line="262"/>
      </w:pPr>
      <w:r>
        <w:rPr>
          <w:b w:val="false"/>
          <w:bCs w:val="false"/>
          <w:i w:val="false"/>
          <w:iCs w:val="false"/>
          <w:caps w:val="false"/>
          <w:color w:val="1C1C24"/>
          <w:sz w:val="21"/>
          <w:szCs w:val="21"/>
        </w:rPr>
        <w:t xml:space="preserve">Korea's internal geography of contrast — the metropolitan density of Seoul against Jeju's volcanic landscape, 해녀 (women divers) heritage, and domestic-tourism culture. Includes the practical register of Korean travel: 숙소, 렌터카, 올레길, and the social convention of the group trip (MT, 워크숍).</w:t>
      </w:r>
    </w:p>
    <w:p>
      <w:pPr>
        <w:pStyle w:val="Heading2"/>
        <w:spacing w:after="70" w:before="180"/>
      </w:pPr>
      <w:r>
        <w:rPr>
          <w:b/>
          <w:bCs/>
          <w:i w:val="false"/>
          <w:iCs w:val="false"/>
          <w:caps w:val="false"/>
          <w:color w:val="B01128"/>
          <w:sz w:val="22"/>
          <w:szCs w:val="22"/>
        </w:rPr>
        <w:t xml:space="preserve">2 · Target Grammar Points</w:t>
      </w:r>
    </w:p>
    <w:p>
      <w:pPr>
        <w:spacing w:after="70" w:before="0" w:line="262"/>
      </w:pPr>
      <w:r>
        <w:rPr>
          <w:b w:val="false"/>
          <w:bCs w:val="false"/>
          <w:i/>
          <w:iCs/>
          <w:caps w:val="false"/>
          <w:color w:val="5A5A66"/>
          <w:sz w:val="17"/>
          <w:szCs w:val="17"/>
        </w:rPr>
        <w:t xml:space="preserve">Cited from Korean Grammar in Use: Beginning to Early Intermediate (printed-edition pages).</w:t>
      </w:r>
    </w:p>
    <w:tbl>
      <w:tblPr>
        <w:tblW w:type="dxa" w:w="931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1750"/>
        <w:gridCol w:w="4960"/>
      </w:tblGrid>
      <w:tr>
        <w:tc>
          <w:tcPr>
            <w:tcW w:type="dxa" w:w="26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Form</w:t>
            </w:r>
          </w:p>
        </w:tc>
        <w:tc>
          <w:tcPr>
            <w:tcW w:type="dxa" w:w="175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Textbook locus</w:t>
            </w:r>
          </w:p>
        </w:tc>
        <w:tc>
          <w:tcPr>
            <w:tcW w:type="dxa" w:w="496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Pedagogical rationale</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N보다</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3, p. 114</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Comparison ('than'). Introduced with 더 and the reversible word order the textbook explicitly models.</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N처럼 / N같이</w:t>
            </w:r>
          </w:p>
        </w:tc>
        <w:tc>
          <w:tcPr>
            <w:tcW w:type="dxa" w:w="1750"/>
            <w:shd w:fill="FFFFFF"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3, p. 112</w:t>
            </w:r>
          </w:p>
        </w:tc>
        <w:tc>
          <w:tcPr>
            <w:tcW w:type="dxa" w:w="49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Simile ('like / as'). Enables evaluative description beyond bare comparison.</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V-(으)ㄴ 적이 있다/없다</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11, p. 207</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Past experience. Taught together with V-아/어 보다 (Unit 11, p. 204) as the composite -아/어 본 적이 있다.</w:t>
            </w:r>
          </w:p>
        </w:tc>
      </w:tr>
    </w:tbl>
    <w:p>
      <w:pPr>
        <w:pStyle w:val="Heading2"/>
        <w:spacing w:after="70" w:before="180"/>
      </w:pPr>
      <w:r>
        <w:rPr>
          <w:b/>
          <w:bCs/>
          <w:i w:val="false"/>
          <w:iCs w:val="false"/>
          <w:caps w:val="false"/>
          <w:color w:val="B01128"/>
          <w:sz w:val="22"/>
          <w:szCs w:val="22"/>
        </w:rPr>
        <w:t xml:space="preserve">3 · Vocabulary Focus</w:t>
      </w:r>
    </w:p>
    <w:p>
      <w:pPr>
        <w:spacing w:after="110" w:before="0" w:line="262"/>
      </w:pPr>
      <w:r>
        <w:rPr>
          <w:b w:val="false"/>
          <w:bCs w:val="false"/>
          <w:i w:val="false"/>
          <w:iCs w:val="false"/>
          <w:caps w:val="false"/>
          <w:color w:val="1C1C24"/>
          <w:sz w:val="21"/>
          <w:szCs w:val="21"/>
        </w:rPr>
        <w:t xml:space="preserve">Geography &amp; landscape (섬, 바다, 산, 폭포, 해변, 오름); transport &amp; logistics (비행기, 렌터카, 예약하다, 출발하다, 도착하다); accommodation (숙소, 호텔, 게스트하우스); travel verbs (구경하다, 돌아다니다, 쉬다, 사진을 찍다).</w:t>
      </w:r>
    </w:p>
    <w:p>
      <w:pPr>
        <w:pStyle w:val="Heading2"/>
        <w:spacing w:after="70" w:before="180"/>
      </w:pPr>
      <w:r>
        <w:rPr>
          <w:b/>
          <w:bCs/>
          <w:i w:val="false"/>
          <w:iCs w:val="false"/>
          <w:caps w:val="false"/>
          <w:color w:val="B01128"/>
          <w:sz w:val="22"/>
          <w:szCs w:val="22"/>
        </w:rPr>
        <w:t xml:space="preserve">4 · Class Objective</w:t>
      </w:r>
    </w:p>
    <w:p>
      <w:pPr>
        <w:spacing w:after="110" w:before="0" w:line="262"/>
      </w:pPr>
      <w:r>
        <w:rPr>
          <w:b w:val="false"/>
          <w:bCs w:val="false"/>
          <w:i w:val="false"/>
          <w:iCs w:val="false"/>
          <w:caps w:val="false"/>
          <w:color w:val="1C1C24"/>
          <w:sz w:val="21"/>
          <w:szCs w:val="21"/>
        </w:rPr>
        <w:t xml:space="preserve">Students construct a comparative argument between two destinations and narrate whether they have or have not had a given travel experience. Travel is the canonical context for comparison — no other topic generates comparative sentences as naturally — and the experience form converts personal history into speakable content, which is essential for conversation classes at A2.</w:t>
      </w:r>
    </w:p>
    <w:p>
      <w:pPr>
        <w:pStyle w:val="Heading2"/>
        <w:spacing w:after="70" w:before="180"/>
      </w:pPr>
      <w:r>
        <w:rPr>
          <w:b/>
          <w:bCs/>
          <w:i w:val="false"/>
          <w:iCs w:val="false"/>
          <w:caps w:val="false"/>
          <w:color w:val="B01128"/>
          <w:sz w:val="22"/>
          <w:szCs w:val="22"/>
        </w:rPr>
        <w:t xml:space="preserve">5 · Cultural Competency Outcome</w:t>
      </w:r>
    </w:p>
    <w:p>
      <w:pPr>
        <w:spacing w:after="110" w:before="0" w:line="262"/>
      </w:pPr>
      <w:r>
        <w:rPr>
          <w:b w:val="false"/>
          <w:bCs w:val="false"/>
          <w:i w:val="false"/>
          <w:iCs w:val="false"/>
          <w:caps w:val="false"/>
          <w:color w:val="1C1C24"/>
          <w:sz w:val="21"/>
          <w:szCs w:val="21"/>
        </w:rPr>
        <w:t xml:space="preserve">Learners can sustain a two-minute exchange about places visited, and understand why Koreans frame Jeju as a domestic 'abroad'.</w:t>
      </w:r>
    </w:p>
    <w:p>
      <w:pPr>
        <w:pStyle w:val="Heading2"/>
        <w:spacing w:after="70" w:before="180"/>
      </w:pPr>
      <w:r>
        <w:rPr>
          <w:b/>
          <w:bCs/>
          <w:i w:val="false"/>
          <w:iCs w:val="false"/>
          <w:caps w:val="false"/>
          <w:color w:val="B01128"/>
          <w:sz w:val="22"/>
          <w:szCs w:val="22"/>
        </w:rPr>
        <w:t xml:space="preserve">6 · Integrated Model Utterance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050"/>
        <w:gridCol w:w="7310"/>
      </w:tblGrid>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한국어</w:t>
            </w:r>
          </w:p>
        </w:tc>
        <w:tc>
          <w:tcPr>
            <w:tcW w:type="dxa" w:w="731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21"/>
                <w:szCs w:val="21"/>
              </w:rPr>
              <w:t xml:space="preserve">제주도가 서울보다 조용해요. 바다가 그림처럼 예뻤어요. 저는 한라산에 올라가 본 적이 있어요.</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Español</w:t>
            </w:r>
          </w:p>
        </w:tc>
        <w:tc>
          <w:tcPr>
            <w:tcW w:type="dxa" w:w="7310"/>
            <w:shd w:fill="FFFFFF" w:color="auto" w:val="clear"/>
            <w:tcMar>
              <w:top w:type="dxa" w:w="75"/>
              <w:left w:type="dxa" w:w="120"/>
              <w:bottom w:type="dxa" w:w="75"/>
              <w:right w:type="dxa" w:w="120"/>
            </w:tcMar>
          </w:tcPr>
          <w:p>
            <w:pPr>
              <w:spacing w:after="0" w:before="0" w:line="262"/>
            </w:pPr>
            <w:r>
              <w:rPr>
                <w:b w:val="false"/>
                <w:bCs w:val="false"/>
                <w:i/>
                <w:iCs/>
                <w:caps w:val="false"/>
                <w:color w:val="5A5A66"/>
                <w:sz w:val="20"/>
                <w:szCs w:val="20"/>
              </w:rPr>
              <w:t xml:space="preserve">Jeju es más tranquila que Seúl. El mar era bonito como un cuadro. Yo he subido al monte Halla.</w:t>
            </w:r>
          </w:p>
        </w:tc>
      </w:tr>
    </w:tbl>
    <w:p>
      <w:pPr>
        <w:pageBreakBefore/>
        <w:spacing w:after="50"/>
      </w:pPr>
      <w:r>
        <w:rPr>
          <w:b/>
          <w:bCs/>
          <w:i w:val="false"/>
          <w:iCs w:val="false"/>
          <w:caps/>
          <w:color w:val="A8842C"/>
          <w:sz w:val="17"/>
          <w:szCs w:val="17"/>
        </w:rPr>
        <w:t xml:space="preserve">Module 03  ·  Week 04 / Semana 04</w:t>
      </w:r>
    </w:p>
    <w:p>
      <w:pPr>
        <w:spacing w:after="30"/>
      </w:pPr>
      <w:r>
        <w:rPr>
          <w:b/>
          <w:bCs/>
          <w:i w:val="false"/>
          <w:iCs w:val="false"/>
          <w:caps w:val="false"/>
          <w:color w:val="15243F"/>
          <w:sz w:val="30"/>
          <w:szCs w:val="30"/>
        </w:rPr>
        <w:t xml:space="preserve">Hanbok, Aesthetics &amp; Modern Fashion</w:t>
      </w:r>
    </w:p>
    <w:p>
      <w:pPr>
        <w:spacing w:after="30"/>
      </w:pPr>
      <w:r>
        <w:rPr>
          <w:rFonts w:ascii="Malgun Gothic" w:cs="Malgun Gothic" w:eastAsia="Malgun Gothic" w:hAnsi="Malgun Gothic"/>
          <w:b/>
          <w:bCs/>
          <w:i w:val="false"/>
          <w:iCs w:val="false"/>
          <w:caps w:val="false"/>
          <w:color w:val="B01128"/>
          <w:sz w:val="22"/>
          <w:szCs w:val="22"/>
        </w:rPr>
        <w:t xml:space="preserve">한복과 미의식</w:t>
      </w:r>
    </w:p>
    <w:p>
      <w:pPr>
        <w:pBdr>
          <w:bottom w:val="single" w:color="A8842C" w:sz="10" w:space="6"/>
        </w:pBdr>
        <w:spacing w:after="130"/>
      </w:pPr>
      <w:r>
        <w:rPr>
          <w:b w:val="false"/>
          <w:bCs w:val="false"/>
          <w:i/>
          <w:iCs/>
          <w:caps w:val="false"/>
          <w:color w:val="5A5A66"/>
          <w:sz w:val="20"/>
          <w:szCs w:val="20"/>
        </w:rPr>
        <w:t xml:space="preserve">Hanbok, estética y moda actual</w:t>
      </w:r>
    </w:p>
    <w:p>
      <w:pPr>
        <w:pStyle w:val="Heading2"/>
        <w:spacing w:after="70" w:before="180"/>
      </w:pPr>
      <w:r>
        <w:rPr>
          <w:b/>
          <w:bCs/>
          <w:i w:val="false"/>
          <w:iCs w:val="false"/>
          <w:caps w:val="false"/>
          <w:color w:val="B01128"/>
          <w:sz w:val="22"/>
          <w:szCs w:val="22"/>
        </w:rPr>
        <w:t xml:space="preserve">1 · Cultural Theme</w:t>
      </w:r>
    </w:p>
    <w:p>
      <w:pPr>
        <w:spacing w:after="110" w:before="0" w:line="262"/>
      </w:pPr>
      <w:r>
        <w:rPr>
          <w:b w:val="false"/>
          <w:bCs w:val="false"/>
          <w:i w:val="false"/>
          <w:iCs w:val="false"/>
          <w:caps w:val="false"/>
          <w:color w:val="1C1C24"/>
          <w:sz w:val="21"/>
          <w:szCs w:val="21"/>
        </w:rPr>
        <w:t xml:space="preserve">Korean aesthetics through dress: the line and color logic of 한복 (곡선, 색동, 오방색), its ceremonial survival, and the contemporary 생활한복 / fusion-hanbok movement and hanbok rental culture around 경복궁. NOTE: deliberately angled toward AESTHETICS and modern fashion, not holiday ritual, to avoid overlap with the existing Holidays module.</w:t>
      </w:r>
    </w:p>
    <w:p>
      <w:pPr>
        <w:pStyle w:val="Heading2"/>
        <w:spacing w:after="70" w:before="180"/>
      </w:pPr>
      <w:r>
        <w:rPr>
          <w:b/>
          <w:bCs/>
          <w:i w:val="false"/>
          <w:iCs w:val="false"/>
          <w:caps w:val="false"/>
          <w:color w:val="B01128"/>
          <w:sz w:val="22"/>
          <w:szCs w:val="22"/>
        </w:rPr>
        <w:t xml:space="preserve">2 · Target Grammar Points</w:t>
      </w:r>
    </w:p>
    <w:p>
      <w:pPr>
        <w:spacing w:after="70" w:before="0" w:line="262"/>
      </w:pPr>
      <w:r>
        <w:rPr>
          <w:b w:val="false"/>
          <w:bCs w:val="false"/>
          <w:i/>
          <w:iCs/>
          <w:caps w:val="false"/>
          <w:color w:val="5A5A66"/>
          <w:sz w:val="17"/>
          <w:szCs w:val="17"/>
        </w:rPr>
        <w:t xml:space="preserve">Cited from Korean Grammar in Use: Beginning to Early Intermediate (printed-edition pages).</w:t>
      </w:r>
    </w:p>
    <w:tbl>
      <w:tblPr>
        <w:tblW w:type="dxa" w:w="931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1750"/>
        <w:gridCol w:w="4960"/>
      </w:tblGrid>
      <w:tr>
        <w:tc>
          <w:tcPr>
            <w:tcW w:type="dxa" w:w="26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Form</w:t>
            </w:r>
          </w:p>
        </w:tc>
        <w:tc>
          <w:tcPr>
            <w:tcW w:type="dxa" w:w="175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Textbook locus</w:t>
            </w:r>
          </w:p>
        </w:tc>
        <w:tc>
          <w:tcPr>
            <w:tcW w:type="dxa" w:w="496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Pedagogical rationale</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관형형 -(으)ㄴ / -는 / -(으)ㄹ N</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18, p. 272</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Noun modifiers. The single highest-value structural leap from A2 to intermediate: it lets learners build complex noun phrases instead of stacking short sentences.</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A-게</w:t>
            </w:r>
          </w:p>
        </w:tc>
        <w:tc>
          <w:tcPr>
            <w:tcW w:type="dxa" w:w="1750"/>
            <w:shd w:fill="FFFFFF"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18, p. 278</w:t>
            </w:r>
          </w:p>
        </w:tc>
        <w:tc>
          <w:tcPr>
            <w:tcW w:type="dxa" w:w="49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Adjective → adverb, for manner of appearance ('예쁘게 입다').</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V-고 싶다</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8, p. 182</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Desire — the productive outlet for the descriptive vocabulary acquired in the same session.</w:t>
            </w:r>
          </w:p>
        </w:tc>
      </w:tr>
    </w:tbl>
    <w:p>
      <w:pPr>
        <w:pStyle w:val="Heading2"/>
        <w:spacing w:after="70" w:before="180"/>
      </w:pPr>
      <w:r>
        <w:rPr>
          <w:b/>
          <w:bCs/>
          <w:i w:val="false"/>
          <w:iCs w:val="false"/>
          <w:caps w:val="false"/>
          <w:color w:val="B01128"/>
          <w:sz w:val="22"/>
          <w:szCs w:val="22"/>
        </w:rPr>
        <w:t xml:space="preserve">3 · Vocabulary Focus</w:t>
      </w:r>
    </w:p>
    <w:p>
      <w:pPr>
        <w:spacing w:after="110" w:before="0" w:line="262"/>
      </w:pPr>
      <w:r>
        <w:rPr>
          <w:b w:val="false"/>
          <w:bCs w:val="false"/>
          <w:i w:val="false"/>
          <w:iCs w:val="false"/>
          <w:caps w:val="false"/>
          <w:color w:val="1C1C24"/>
          <w:sz w:val="21"/>
          <w:szCs w:val="21"/>
        </w:rPr>
        <w:t xml:space="preserve">Color &amp; material (색깔, 빨간색, 비단, 천, 무늬); garment parts (저고리, 치마, 바지, 고름, 소매); form adjectives (화려하다, 단정하다, 부드럽다, 우아하다, 편하다); dressing verbs (입다, 벗다, 어울리다, 빌리다).</w:t>
      </w:r>
    </w:p>
    <w:p>
      <w:pPr>
        <w:pStyle w:val="Heading2"/>
        <w:spacing w:after="70" w:before="180"/>
      </w:pPr>
      <w:r>
        <w:rPr>
          <w:b/>
          <w:bCs/>
          <w:i w:val="false"/>
          <w:iCs w:val="false"/>
          <w:caps w:val="false"/>
          <w:color w:val="B01128"/>
          <w:sz w:val="22"/>
          <w:szCs w:val="22"/>
        </w:rPr>
        <w:t xml:space="preserve">4 · Class Objective</w:t>
      </w:r>
    </w:p>
    <w:p>
      <w:pPr>
        <w:spacing w:after="110" w:before="0" w:line="262"/>
      </w:pPr>
      <w:r>
        <w:rPr>
          <w:b w:val="false"/>
          <w:bCs w:val="false"/>
          <w:i w:val="false"/>
          <w:iCs w:val="false"/>
          <w:caps w:val="false"/>
          <w:color w:val="1C1C24"/>
          <w:sz w:val="21"/>
          <w:szCs w:val="21"/>
        </w:rPr>
        <w:t xml:space="preserve">Students produce extended descriptive noun phrases ('제가 입고 싶은 화려한 한복') rather than isolated predicates, and express what they would like to wear or try. Dress is the optimal carrier for noun modifiers because description of clothing forces the learner to pre-modify the noun — exactly the operation Spanish speakers must re-learn, since Spanish post-modifies.</w:t>
      </w:r>
    </w:p>
    <w:p>
      <w:pPr>
        <w:pStyle w:val="Heading2"/>
        <w:spacing w:after="70" w:before="180"/>
      </w:pPr>
      <w:r>
        <w:rPr>
          <w:b/>
          <w:bCs/>
          <w:i w:val="false"/>
          <w:iCs w:val="false"/>
          <w:caps w:val="false"/>
          <w:color w:val="B01128"/>
          <w:sz w:val="22"/>
          <w:szCs w:val="22"/>
        </w:rPr>
        <w:t xml:space="preserve">5 · Cultural Competency Outcome</w:t>
      </w:r>
    </w:p>
    <w:p>
      <w:pPr>
        <w:spacing w:after="110" w:before="0" w:line="262"/>
      </w:pPr>
      <w:r>
        <w:rPr>
          <w:b w:val="false"/>
          <w:bCs w:val="false"/>
          <w:i w:val="false"/>
          <w:iCs w:val="false"/>
          <w:caps w:val="false"/>
          <w:color w:val="1C1C24"/>
          <w:sz w:val="21"/>
          <w:szCs w:val="21"/>
        </w:rPr>
        <w:t xml:space="preserve">Learners understand hanbok as a living design language rather than a costume, and can navigate a rental shop interaction.</w:t>
      </w:r>
    </w:p>
    <w:p>
      <w:pPr>
        <w:pStyle w:val="Heading2"/>
        <w:spacing w:after="70" w:before="180"/>
      </w:pPr>
      <w:r>
        <w:rPr>
          <w:b/>
          <w:bCs/>
          <w:i w:val="false"/>
          <w:iCs w:val="false"/>
          <w:caps w:val="false"/>
          <w:color w:val="B01128"/>
          <w:sz w:val="22"/>
          <w:szCs w:val="22"/>
        </w:rPr>
        <w:t xml:space="preserve">6 · Integrated Model Utterance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050"/>
        <w:gridCol w:w="7310"/>
      </w:tblGrid>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한국어</w:t>
            </w:r>
          </w:p>
        </w:tc>
        <w:tc>
          <w:tcPr>
            <w:tcW w:type="dxa" w:w="731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21"/>
                <w:szCs w:val="21"/>
              </w:rPr>
              <w:t xml:space="preserve">저는 색이 화려한 한복을 입고 싶어요. 친구는 단정하게 입었어요.</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Español</w:t>
            </w:r>
          </w:p>
        </w:tc>
        <w:tc>
          <w:tcPr>
            <w:tcW w:type="dxa" w:w="7310"/>
            <w:shd w:fill="FFFFFF" w:color="auto" w:val="clear"/>
            <w:tcMar>
              <w:top w:type="dxa" w:w="75"/>
              <w:left w:type="dxa" w:w="120"/>
              <w:bottom w:type="dxa" w:w="75"/>
              <w:right w:type="dxa" w:w="120"/>
            </w:tcMar>
          </w:tcPr>
          <w:p>
            <w:pPr>
              <w:spacing w:after="0" w:before="0" w:line="262"/>
            </w:pPr>
            <w:r>
              <w:rPr>
                <w:b w:val="false"/>
                <w:bCs w:val="false"/>
                <w:i/>
                <w:iCs/>
                <w:caps w:val="false"/>
                <w:color w:val="5A5A66"/>
                <w:sz w:val="20"/>
                <w:szCs w:val="20"/>
              </w:rPr>
              <w:t xml:space="preserve">Quiero ponerme un hanbok de colores vivos. Mi amiga se vistió de manera sobria.</w:t>
            </w:r>
          </w:p>
        </w:tc>
      </w:tr>
    </w:tbl>
    <w:p>
      <w:pPr>
        <w:pageBreakBefore/>
        <w:spacing w:after="50"/>
      </w:pPr>
      <w:r>
        <w:rPr>
          <w:b/>
          <w:bCs/>
          <w:i w:val="false"/>
          <w:iCs w:val="false"/>
          <w:caps/>
          <w:color w:val="A8842C"/>
          <w:sz w:val="17"/>
          <w:szCs w:val="17"/>
        </w:rPr>
        <w:t xml:space="preserve">Module 04  ·  Week 05 / Semana 05</w:t>
      </w:r>
    </w:p>
    <w:p>
      <w:pPr>
        <w:spacing w:after="30"/>
      </w:pPr>
      <w:r>
        <w:rPr>
          <w:b/>
          <w:bCs/>
          <w:i w:val="false"/>
          <w:iCs w:val="false"/>
          <w:caps w:val="false"/>
          <w:color w:val="15243F"/>
          <w:sz w:val="30"/>
          <w:szCs w:val="30"/>
        </w:rPr>
        <w:t xml:space="preserve">PC방, E-Sports &amp; Digital Leisure</w:t>
      </w:r>
    </w:p>
    <w:p>
      <w:pPr>
        <w:spacing w:after="30"/>
      </w:pPr>
      <w:r>
        <w:rPr>
          <w:rFonts w:ascii="Malgun Gothic" w:cs="Malgun Gothic" w:eastAsia="Malgun Gothic" w:hAnsi="Malgun Gothic"/>
          <w:b/>
          <w:bCs/>
          <w:i w:val="false"/>
          <w:iCs w:val="false"/>
          <w:caps w:val="false"/>
          <w:color w:val="B01128"/>
          <w:sz w:val="22"/>
          <w:szCs w:val="22"/>
        </w:rPr>
        <w:t xml:space="preserve">피시방과 이스포츠</w:t>
      </w:r>
    </w:p>
    <w:p>
      <w:pPr>
        <w:pBdr>
          <w:bottom w:val="single" w:color="A8842C" w:sz="10" w:space="6"/>
        </w:pBdr>
        <w:spacing w:after="130"/>
      </w:pPr>
      <w:r>
        <w:rPr>
          <w:b w:val="false"/>
          <w:bCs w:val="false"/>
          <w:i/>
          <w:iCs/>
          <w:caps w:val="false"/>
          <w:color w:val="5A5A66"/>
          <w:sz w:val="20"/>
          <w:szCs w:val="20"/>
        </w:rPr>
        <w:t xml:space="preserve">PC방, e-sports y ocio digital</w:t>
      </w:r>
    </w:p>
    <w:p>
      <w:pPr>
        <w:pStyle w:val="Heading2"/>
        <w:spacing w:after="70" w:before="180"/>
      </w:pPr>
      <w:r>
        <w:rPr>
          <w:b/>
          <w:bCs/>
          <w:i w:val="false"/>
          <w:iCs w:val="false"/>
          <w:caps w:val="false"/>
          <w:color w:val="B01128"/>
          <w:sz w:val="22"/>
          <w:szCs w:val="22"/>
        </w:rPr>
        <w:t xml:space="preserve">1 · Cultural Theme</w:t>
      </w:r>
    </w:p>
    <w:p>
      <w:pPr>
        <w:spacing w:after="110" w:before="0" w:line="262"/>
      </w:pPr>
      <w:r>
        <w:rPr>
          <w:b w:val="false"/>
          <w:bCs w:val="false"/>
          <w:i w:val="false"/>
          <w:iCs w:val="false"/>
          <w:caps w:val="false"/>
          <w:color w:val="1C1C24"/>
          <w:sz w:val="21"/>
          <w:szCs w:val="21"/>
        </w:rPr>
        <w:t xml:space="preserve">Korea as the birthplace of professional e-sports: the 피시방 as third space, the structure of the pro league, 프로게이머 as a legitimate career, and the social choreography of gaming — booking, queuing, eating 컵라면 at the terminal, and coordinating with friends.</w:t>
      </w:r>
    </w:p>
    <w:p>
      <w:pPr>
        <w:pStyle w:val="Heading2"/>
        <w:spacing w:after="70" w:before="180"/>
      </w:pPr>
      <w:r>
        <w:rPr>
          <w:b/>
          <w:bCs/>
          <w:i w:val="false"/>
          <w:iCs w:val="false"/>
          <w:caps w:val="false"/>
          <w:color w:val="B01128"/>
          <w:sz w:val="22"/>
          <w:szCs w:val="22"/>
        </w:rPr>
        <w:t xml:space="preserve">2 · Target Grammar Points</w:t>
      </w:r>
    </w:p>
    <w:p>
      <w:pPr>
        <w:spacing w:after="70" w:before="0" w:line="262"/>
      </w:pPr>
      <w:r>
        <w:rPr>
          <w:b w:val="false"/>
          <w:bCs w:val="false"/>
          <w:i/>
          <w:iCs/>
          <w:caps w:val="false"/>
          <w:color w:val="5A5A66"/>
          <w:sz w:val="17"/>
          <w:szCs w:val="17"/>
        </w:rPr>
        <w:t xml:space="preserve">Cited from Korean Grammar in Use: Beginning to Early Intermediate (printed-edition pages).</w:t>
      </w:r>
    </w:p>
    <w:tbl>
      <w:tblPr>
        <w:tblW w:type="dxa" w:w="931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1750"/>
        <w:gridCol w:w="4960"/>
      </w:tblGrid>
      <w:tr>
        <w:tc>
          <w:tcPr>
            <w:tcW w:type="dxa" w:w="26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Form</w:t>
            </w:r>
          </w:p>
        </w:tc>
        <w:tc>
          <w:tcPr>
            <w:tcW w:type="dxa" w:w="175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Textbook locus</w:t>
            </w:r>
          </w:p>
        </w:tc>
        <w:tc>
          <w:tcPr>
            <w:tcW w:type="dxa" w:w="496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Pedagogical rationale</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V-기 전에 / V-(으)ㄴ 후에</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5, pp. 130 / 133</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Temporal sequencing before/after — note the contrast in verb form (dictionary stem vs. -(으)ㄴ).</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V-(으)ㄹ 거예요 ①</w:t>
            </w:r>
          </w:p>
        </w:tc>
        <w:tc>
          <w:tcPr>
            <w:tcW w:type="dxa" w:w="1750"/>
            <w:shd w:fill="FFFFFF"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1, p. 52</w:t>
            </w:r>
          </w:p>
        </w:tc>
        <w:tc>
          <w:tcPr>
            <w:tcW w:type="dxa" w:w="49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Future plan.</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V-기로 하다</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15, p. 248</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Decision / arrangement made with others — the pragmatically correct form for group plans, which -(으)ㄹ 거예요 cannot express.</w:t>
            </w:r>
          </w:p>
        </w:tc>
      </w:tr>
    </w:tbl>
    <w:p>
      <w:pPr>
        <w:pStyle w:val="Heading2"/>
        <w:spacing w:after="70" w:before="180"/>
      </w:pPr>
      <w:r>
        <w:rPr>
          <w:b/>
          <w:bCs/>
          <w:i w:val="false"/>
          <w:iCs w:val="false"/>
          <w:caps w:val="false"/>
          <w:color w:val="B01128"/>
          <w:sz w:val="22"/>
          <w:szCs w:val="22"/>
        </w:rPr>
        <w:t xml:space="preserve">3 · Vocabulary Focus</w:t>
      </w:r>
    </w:p>
    <w:p>
      <w:pPr>
        <w:spacing w:after="110" w:before="0" w:line="262"/>
      </w:pPr>
      <w:r>
        <w:rPr>
          <w:b w:val="false"/>
          <w:bCs w:val="false"/>
          <w:i w:val="false"/>
          <w:iCs w:val="false"/>
          <w:caps w:val="false"/>
          <w:color w:val="1C1C24"/>
          <w:sz w:val="21"/>
          <w:szCs w:val="21"/>
        </w:rPr>
        <w:t xml:space="preserve">Gaming (게임, 게임하다, 이기다, 지다, 팀, 대회, 순위); PC방 services (자리, 충전하다, 시간, 주문하다); time &amp; sequence adverbials (먼저, 그다음에, 나중에, 이따가); arrangement verbs (약속하다, 정하다, 모이다).</w:t>
      </w:r>
    </w:p>
    <w:p>
      <w:pPr>
        <w:pStyle w:val="Heading2"/>
        <w:spacing w:after="70" w:before="180"/>
      </w:pPr>
      <w:r>
        <w:rPr>
          <w:b/>
          <w:bCs/>
          <w:i w:val="false"/>
          <w:iCs w:val="false"/>
          <w:caps w:val="false"/>
          <w:color w:val="B01128"/>
          <w:sz w:val="22"/>
          <w:szCs w:val="22"/>
        </w:rPr>
        <w:t xml:space="preserve">4 · Class Objective</w:t>
      </w:r>
    </w:p>
    <w:p>
      <w:pPr>
        <w:spacing w:after="110" w:before="0" w:line="262"/>
      </w:pPr>
      <w:r>
        <w:rPr>
          <w:b w:val="false"/>
          <w:bCs w:val="false"/>
          <w:i w:val="false"/>
          <w:iCs w:val="false"/>
          <w:caps w:val="false"/>
          <w:color w:val="1C1C24"/>
          <w:sz w:val="21"/>
          <w:szCs w:val="21"/>
        </w:rPr>
        <w:t xml:space="preserve">Students sequence a series of actions in time and announce both individual plans and group decisions. Gaming culture is procedural by nature — you queue, you play, you rank — so it generates authentic demand for before/after ordering, and the group-play context makes the -(으)ㄹ 거예요 vs. -기로 하다 distinction meaningful rather than abstract.</w:t>
      </w:r>
    </w:p>
    <w:p>
      <w:pPr>
        <w:pStyle w:val="Heading2"/>
        <w:spacing w:after="70" w:before="180"/>
      </w:pPr>
      <w:r>
        <w:rPr>
          <w:b/>
          <w:bCs/>
          <w:i w:val="false"/>
          <w:iCs w:val="false"/>
          <w:caps w:val="false"/>
          <w:color w:val="B01128"/>
          <w:sz w:val="22"/>
          <w:szCs w:val="22"/>
        </w:rPr>
        <w:t xml:space="preserve">5 · Cultural Competency Outcome</w:t>
      </w:r>
    </w:p>
    <w:p>
      <w:pPr>
        <w:spacing w:after="110" w:before="0" w:line="262"/>
      </w:pPr>
      <w:r>
        <w:rPr>
          <w:b w:val="false"/>
          <w:bCs w:val="false"/>
          <w:i w:val="false"/>
          <w:iCs w:val="false"/>
          <w:caps w:val="false"/>
          <w:color w:val="1C1C24"/>
          <w:sz w:val="21"/>
          <w:szCs w:val="21"/>
        </w:rPr>
        <w:t xml:space="preserve">Learners can make plans with Korean-speaking friends using the register Koreans actually use to coordinate.</w:t>
      </w:r>
    </w:p>
    <w:p>
      <w:pPr>
        <w:pStyle w:val="Heading2"/>
        <w:spacing w:after="70" w:before="180"/>
      </w:pPr>
      <w:r>
        <w:rPr>
          <w:b/>
          <w:bCs/>
          <w:i w:val="false"/>
          <w:iCs w:val="false"/>
          <w:caps w:val="false"/>
          <w:color w:val="B01128"/>
          <w:sz w:val="22"/>
          <w:szCs w:val="22"/>
        </w:rPr>
        <w:t xml:space="preserve">6 · Integrated Model Utterance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050"/>
        <w:gridCol w:w="7310"/>
      </w:tblGrid>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한국어</w:t>
            </w:r>
          </w:p>
        </w:tc>
        <w:tc>
          <w:tcPr>
            <w:tcW w:type="dxa" w:w="731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21"/>
                <w:szCs w:val="21"/>
              </w:rPr>
              <w:t xml:space="preserve">게임하기 전에 자리를 예약할 거예요. 수업이 끝난 후에 친구들하고 피시방에 가기로 했어요.</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Español</w:t>
            </w:r>
          </w:p>
        </w:tc>
        <w:tc>
          <w:tcPr>
            <w:tcW w:type="dxa" w:w="7310"/>
            <w:shd w:fill="FFFFFF" w:color="auto" w:val="clear"/>
            <w:tcMar>
              <w:top w:type="dxa" w:w="75"/>
              <w:left w:type="dxa" w:w="120"/>
              <w:bottom w:type="dxa" w:w="75"/>
              <w:right w:type="dxa" w:w="120"/>
            </w:tcMar>
          </w:tcPr>
          <w:p>
            <w:pPr>
              <w:spacing w:after="0" w:before="0" w:line="262"/>
            </w:pPr>
            <w:r>
              <w:rPr>
                <w:b w:val="false"/>
                <w:bCs w:val="false"/>
                <w:i/>
                <w:iCs/>
                <w:caps w:val="false"/>
                <w:color w:val="5A5A66"/>
                <w:sz w:val="20"/>
                <w:szCs w:val="20"/>
              </w:rPr>
              <w:t xml:space="preserve">Voy a reservar un puesto antes de jugar. Quedamos en ir al PC방 con mis amigos después de clase.</w:t>
            </w:r>
          </w:p>
        </w:tc>
      </w:tr>
    </w:tbl>
    <w:p>
      <w:pPr>
        <w:pageBreakBefore/>
        <w:spacing w:after="50"/>
      </w:pPr>
      <w:r>
        <w:rPr>
          <w:b/>
          <w:bCs/>
          <w:i w:val="false"/>
          <w:iCs w:val="false"/>
          <w:caps/>
          <w:color w:val="A8842C"/>
          <w:sz w:val="17"/>
          <w:szCs w:val="17"/>
        </w:rPr>
        <w:t xml:space="preserve">Module 05  ·  Week 06 / Semana 06</w:t>
      </w:r>
    </w:p>
    <w:p>
      <w:pPr>
        <w:spacing w:after="30"/>
      </w:pPr>
      <w:r>
        <w:rPr>
          <w:b/>
          <w:bCs/>
          <w:i w:val="false"/>
          <w:iCs w:val="false"/>
          <w:caps w:val="false"/>
          <w:color w:val="15243F"/>
          <w:sz w:val="30"/>
          <w:szCs w:val="30"/>
        </w:rPr>
        <w:t xml:space="preserve">Education &amp; Exam Culture</w:t>
      </w:r>
    </w:p>
    <w:p>
      <w:pPr>
        <w:spacing w:after="30"/>
      </w:pPr>
      <w:r>
        <w:rPr>
          <w:rFonts w:ascii="Malgun Gothic" w:cs="Malgun Gothic" w:eastAsia="Malgun Gothic" w:hAnsi="Malgun Gothic"/>
          <w:b/>
          <w:bCs/>
          <w:i w:val="false"/>
          <w:iCs w:val="false"/>
          <w:caps w:val="false"/>
          <w:color w:val="B01128"/>
          <w:sz w:val="22"/>
          <w:szCs w:val="22"/>
        </w:rPr>
        <w:t xml:space="preserve">교육과 시험 문화</w:t>
      </w:r>
    </w:p>
    <w:p>
      <w:pPr>
        <w:pBdr>
          <w:bottom w:val="single" w:color="A8842C" w:sz="10" w:space="6"/>
        </w:pBdr>
        <w:spacing w:after="130"/>
      </w:pPr>
      <w:r>
        <w:rPr>
          <w:b w:val="false"/>
          <w:bCs w:val="false"/>
          <w:i/>
          <w:iCs/>
          <w:caps w:val="false"/>
          <w:color w:val="5A5A66"/>
          <w:sz w:val="20"/>
          <w:szCs w:val="20"/>
        </w:rPr>
        <w:t xml:space="preserve">Educación y cultura del examen</w:t>
      </w:r>
    </w:p>
    <w:p>
      <w:pPr>
        <w:pStyle w:val="Heading2"/>
        <w:spacing w:after="70" w:before="180"/>
      </w:pPr>
      <w:r>
        <w:rPr>
          <w:b/>
          <w:bCs/>
          <w:i w:val="false"/>
          <w:iCs w:val="false"/>
          <w:caps w:val="false"/>
          <w:color w:val="B01128"/>
          <w:sz w:val="22"/>
          <w:szCs w:val="22"/>
        </w:rPr>
        <w:t xml:space="preserve">1 · Cultural Theme</w:t>
      </w:r>
    </w:p>
    <w:p>
      <w:pPr>
        <w:spacing w:after="110" w:before="0" w:line="262"/>
      </w:pPr>
      <w:r>
        <w:rPr>
          <w:b w:val="false"/>
          <w:bCs w:val="false"/>
          <w:i w:val="false"/>
          <w:iCs w:val="false"/>
          <w:caps w:val="false"/>
          <w:color w:val="1C1C24"/>
          <w:sz w:val="21"/>
          <w:szCs w:val="21"/>
        </w:rPr>
        <w:t xml:space="preserve">The Korean educational landscape: 수능 (the national university entrance exam) and the national mobilization around it, 학원 (cram schools), 야자 (evening self-study), and the social weight of academic credentialing — presented critically, including current debate about student wellbeing.</w:t>
      </w:r>
    </w:p>
    <w:p>
      <w:pPr>
        <w:pStyle w:val="Heading2"/>
        <w:spacing w:after="70" w:before="180"/>
      </w:pPr>
      <w:r>
        <w:rPr>
          <w:b/>
          <w:bCs/>
          <w:i w:val="false"/>
          <w:iCs w:val="false"/>
          <w:caps w:val="false"/>
          <w:color w:val="B01128"/>
          <w:sz w:val="22"/>
          <w:szCs w:val="22"/>
        </w:rPr>
        <w:t xml:space="preserve">2 · Target Grammar Points</w:t>
      </w:r>
    </w:p>
    <w:p>
      <w:pPr>
        <w:spacing w:after="70" w:before="0" w:line="262"/>
      </w:pPr>
      <w:r>
        <w:rPr>
          <w:b w:val="false"/>
          <w:bCs w:val="false"/>
          <w:i/>
          <w:iCs/>
          <w:caps w:val="false"/>
          <w:color w:val="5A5A66"/>
          <w:sz w:val="17"/>
          <w:szCs w:val="17"/>
        </w:rPr>
        <w:t xml:space="preserve">Cited from Korean Grammar in Use: Beginning to Early Intermediate (printed-edition pages).</w:t>
      </w:r>
    </w:p>
    <w:tbl>
      <w:tblPr>
        <w:tblW w:type="dxa" w:w="931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1750"/>
        <w:gridCol w:w="4960"/>
      </w:tblGrid>
      <w:tr>
        <w:tc>
          <w:tcPr>
            <w:tcW w:type="dxa" w:w="26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Form</w:t>
            </w:r>
          </w:p>
        </w:tc>
        <w:tc>
          <w:tcPr>
            <w:tcW w:type="dxa" w:w="175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Textbook locus</w:t>
            </w:r>
          </w:p>
        </w:tc>
        <w:tc>
          <w:tcPr>
            <w:tcW w:type="dxa" w:w="496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Pedagogical rationale</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A/V-(으)면</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16, p. 252</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Condition / supposition.</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V-(으)려면</w:t>
            </w:r>
          </w:p>
        </w:tc>
        <w:tc>
          <w:tcPr>
            <w:tcW w:type="dxa" w:w="1750"/>
            <w:shd w:fill="FFFFFF"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16, p. 255</w:t>
            </w:r>
          </w:p>
        </w:tc>
        <w:tc>
          <w:tcPr>
            <w:tcW w:type="dxa" w:w="49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'If one intends to…' — condition oriented to a goal; the natural form for describing requirements.</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A/V-아/어야 되다/하다</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7, p. 171</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Obligation / necessity.</w:t>
            </w:r>
          </w:p>
        </w:tc>
      </w:tr>
    </w:tbl>
    <w:p>
      <w:pPr>
        <w:pStyle w:val="Heading2"/>
        <w:spacing w:after="70" w:before="180"/>
      </w:pPr>
      <w:r>
        <w:rPr>
          <w:b/>
          <w:bCs/>
          <w:i w:val="false"/>
          <w:iCs w:val="false"/>
          <w:caps w:val="false"/>
          <w:color w:val="B01128"/>
          <w:sz w:val="22"/>
          <w:szCs w:val="22"/>
        </w:rPr>
        <w:t xml:space="preserve">3 · Vocabulary Focus</w:t>
      </w:r>
    </w:p>
    <w:p>
      <w:pPr>
        <w:spacing w:after="110" w:before="0" w:line="262"/>
      </w:pPr>
      <w:r>
        <w:rPr>
          <w:b w:val="false"/>
          <w:bCs w:val="false"/>
          <w:i w:val="false"/>
          <w:iCs w:val="false"/>
          <w:caps w:val="false"/>
          <w:color w:val="1C1C24"/>
          <w:sz w:val="21"/>
          <w:szCs w:val="21"/>
        </w:rPr>
        <w:t xml:space="preserve">Institutions (학교, 대학교, 학원, 수능, 시험, 입학, 졸업); study verbs (공부하다, 외우다, 준비하다, 합격하다, 떨어지다); academic time (학기, 방학, 수업, 시간표); pressure lexicon (스트레스, 경쟁, 노력하다, 포기하다).</w:t>
      </w:r>
    </w:p>
    <w:p>
      <w:pPr>
        <w:pStyle w:val="Heading2"/>
        <w:spacing w:after="70" w:before="180"/>
      </w:pPr>
      <w:r>
        <w:rPr>
          <w:b/>
          <w:bCs/>
          <w:i w:val="false"/>
          <w:iCs w:val="false"/>
          <w:caps w:val="false"/>
          <w:color w:val="B01128"/>
          <w:sz w:val="22"/>
          <w:szCs w:val="22"/>
        </w:rPr>
        <w:t xml:space="preserve">4 · Class Objective</w:t>
      </w:r>
    </w:p>
    <w:p>
      <w:pPr>
        <w:spacing w:after="110" w:before="0" w:line="262"/>
      </w:pPr>
      <w:r>
        <w:rPr>
          <w:b w:val="false"/>
          <w:bCs w:val="false"/>
          <w:i w:val="false"/>
          <w:iCs w:val="false"/>
          <w:caps w:val="false"/>
          <w:color w:val="1C1C24"/>
          <w:sz w:val="21"/>
          <w:szCs w:val="21"/>
        </w:rPr>
        <w:t xml:space="preserve">Students state conditions and the requirements that follow from them ('대학에 가려면 수능을 잘 봐야 돼요'). The education topic is uniquely suited to the conditional-obligation pairing because an exam system IS a rule system: every cultural fact in the lesson can be restated as a condition plus a requirement, giving unusually dense structured practice.</w:t>
      </w:r>
    </w:p>
    <w:p>
      <w:pPr>
        <w:pStyle w:val="Heading2"/>
        <w:spacing w:after="70" w:before="180"/>
      </w:pPr>
      <w:r>
        <w:rPr>
          <w:b/>
          <w:bCs/>
          <w:i w:val="false"/>
          <w:iCs w:val="false"/>
          <w:caps w:val="false"/>
          <w:color w:val="B01128"/>
          <w:sz w:val="22"/>
          <w:szCs w:val="22"/>
        </w:rPr>
        <w:t xml:space="preserve">5 · Cultural Competency Outcome</w:t>
      </w:r>
    </w:p>
    <w:p>
      <w:pPr>
        <w:spacing w:after="110" w:before="0" w:line="262"/>
      </w:pPr>
      <w:r>
        <w:rPr>
          <w:b w:val="false"/>
          <w:bCs w:val="false"/>
          <w:i w:val="false"/>
          <w:iCs w:val="false"/>
          <w:caps w:val="false"/>
          <w:color w:val="1C1C24"/>
          <w:sz w:val="21"/>
          <w:szCs w:val="21"/>
        </w:rPr>
        <w:t xml:space="preserve">Learners can discuss educational systems comparatively and express opinions about academic pressure — a topic Korean interlocutors take seriously.</w:t>
      </w:r>
    </w:p>
    <w:p>
      <w:pPr>
        <w:pStyle w:val="Heading2"/>
        <w:spacing w:after="70" w:before="180"/>
      </w:pPr>
      <w:r>
        <w:rPr>
          <w:b/>
          <w:bCs/>
          <w:i w:val="false"/>
          <w:iCs w:val="false"/>
          <w:caps w:val="false"/>
          <w:color w:val="B01128"/>
          <w:sz w:val="22"/>
          <w:szCs w:val="22"/>
        </w:rPr>
        <w:t xml:space="preserve">6 · Integrated Model Utterance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050"/>
        <w:gridCol w:w="7310"/>
      </w:tblGrid>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한국어</w:t>
            </w:r>
          </w:p>
        </w:tc>
        <w:tc>
          <w:tcPr>
            <w:tcW w:type="dxa" w:w="731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21"/>
                <w:szCs w:val="21"/>
              </w:rPr>
              <w:t xml:space="preserve">한국 대학교에 가려면 수능을 봐야 돼요. 시험이 어려우면 학원에 다녀요.</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Español</w:t>
            </w:r>
          </w:p>
        </w:tc>
        <w:tc>
          <w:tcPr>
            <w:tcW w:type="dxa" w:w="7310"/>
            <w:shd w:fill="FFFFFF" w:color="auto" w:val="clear"/>
            <w:tcMar>
              <w:top w:type="dxa" w:w="75"/>
              <w:left w:type="dxa" w:w="120"/>
              <w:bottom w:type="dxa" w:w="75"/>
              <w:right w:type="dxa" w:w="120"/>
            </w:tcMar>
          </w:tcPr>
          <w:p>
            <w:pPr>
              <w:spacing w:after="0" w:before="0" w:line="262"/>
            </w:pPr>
            <w:r>
              <w:rPr>
                <w:b w:val="false"/>
                <w:bCs w:val="false"/>
                <w:i/>
                <w:iCs/>
                <w:caps w:val="false"/>
                <w:color w:val="5A5A66"/>
                <w:sz w:val="20"/>
                <w:szCs w:val="20"/>
              </w:rPr>
              <w:t xml:space="preserve">Si quieres entrar a una universidad coreana, tienes que dar el suneung. Si el examen es difícil, van a la academia.</w:t>
            </w:r>
          </w:p>
        </w:tc>
      </w:tr>
    </w:tbl>
    <w:p>
      <w:pPr>
        <w:pageBreakBefore/>
        <w:spacing w:after="50"/>
      </w:pPr>
      <w:r>
        <w:rPr>
          <w:b/>
          <w:bCs/>
          <w:i w:val="false"/>
          <w:iCs w:val="false"/>
          <w:caps/>
          <w:color w:val="A8842C"/>
          <w:sz w:val="17"/>
          <w:szCs w:val="17"/>
        </w:rPr>
        <w:t xml:space="preserve">Module 06  ·  Week 07 / Semana 07</w:t>
      </w:r>
    </w:p>
    <w:p>
      <w:pPr>
        <w:spacing w:after="30"/>
      </w:pPr>
      <w:r>
        <w:rPr>
          <w:b/>
          <w:bCs/>
          <w:i w:val="false"/>
          <w:iCs w:val="false"/>
          <w:caps w:val="false"/>
          <w:color w:val="15243F"/>
          <w:sz w:val="30"/>
          <w:szCs w:val="30"/>
        </w:rPr>
        <w:t xml:space="preserve">Workplace Culture &amp; Hoesik</w:t>
      </w:r>
    </w:p>
    <w:p>
      <w:pPr>
        <w:spacing w:after="30"/>
      </w:pPr>
      <w:r>
        <w:rPr>
          <w:rFonts w:ascii="Malgun Gothic" w:cs="Malgun Gothic" w:eastAsia="Malgun Gothic" w:hAnsi="Malgun Gothic"/>
          <w:b/>
          <w:bCs/>
          <w:i w:val="false"/>
          <w:iCs w:val="false"/>
          <w:caps w:val="false"/>
          <w:color w:val="B01128"/>
          <w:sz w:val="22"/>
          <w:szCs w:val="22"/>
        </w:rPr>
        <w:t xml:space="preserve">직장 문화와 회식</w:t>
      </w:r>
    </w:p>
    <w:p>
      <w:pPr>
        <w:pBdr>
          <w:bottom w:val="single" w:color="A8842C" w:sz="10" w:space="6"/>
        </w:pBdr>
        <w:spacing w:after="130"/>
      </w:pPr>
      <w:r>
        <w:rPr>
          <w:b w:val="false"/>
          <w:bCs w:val="false"/>
          <w:i/>
          <w:iCs/>
          <w:caps w:val="false"/>
          <w:color w:val="5A5A66"/>
          <w:sz w:val="20"/>
          <w:szCs w:val="20"/>
        </w:rPr>
        <w:t xml:space="preserve">Cultura laboral y hoesik</w:t>
      </w:r>
    </w:p>
    <w:p>
      <w:pPr>
        <w:pStyle w:val="Heading2"/>
        <w:spacing w:after="70" w:before="180"/>
      </w:pPr>
      <w:r>
        <w:rPr>
          <w:b/>
          <w:bCs/>
          <w:i w:val="false"/>
          <w:iCs w:val="false"/>
          <w:caps w:val="false"/>
          <w:color w:val="B01128"/>
          <w:sz w:val="22"/>
          <w:szCs w:val="22"/>
        </w:rPr>
        <w:t xml:space="preserve">1 · Cultural Theme</w:t>
      </w:r>
    </w:p>
    <w:p>
      <w:pPr>
        <w:spacing w:after="110" w:before="0" w:line="262"/>
      </w:pPr>
      <w:r>
        <w:rPr>
          <w:b w:val="false"/>
          <w:bCs w:val="false"/>
          <w:i w:val="false"/>
          <w:iCs w:val="false"/>
          <w:caps w:val="false"/>
          <w:color w:val="1C1C24"/>
          <w:sz w:val="21"/>
          <w:szCs w:val="21"/>
        </w:rPr>
        <w:t xml:space="preserve">Corporate Korea: hierarchy and title-based address (대리, 과장, 부장), 존댓말 in professional settings, the after-work dinner (회식) and its evolving etiquette — including how younger employees are renegotiating it. The register question is the lesson.</w:t>
      </w:r>
    </w:p>
    <w:p>
      <w:pPr>
        <w:pStyle w:val="Heading2"/>
        <w:spacing w:after="70" w:before="180"/>
      </w:pPr>
      <w:r>
        <w:rPr>
          <w:b/>
          <w:bCs/>
          <w:i w:val="false"/>
          <w:iCs w:val="false"/>
          <w:caps w:val="false"/>
          <w:color w:val="B01128"/>
          <w:sz w:val="22"/>
          <w:szCs w:val="22"/>
        </w:rPr>
        <w:t xml:space="preserve">2 · Target Grammar Points</w:t>
      </w:r>
    </w:p>
    <w:p>
      <w:pPr>
        <w:spacing w:after="70" w:before="0" w:line="262"/>
      </w:pPr>
      <w:r>
        <w:rPr>
          <w:b w:val="false"/>
          <w:bCs w:val="false"/>
          <w:i/>
          <w:iCs/>
          <w:caps w:val="false"/>
          <w:color w:val="5A5A66"/>
          <w:sz w:val="17"/>
          <w:szCs w:val="17"/>
        </w:rPr>
        <w:t xml:space="preserve">Cited from Korean Grammar in Use: Beginning to Early Intermediate (printed-edition pages).</w:t>
      </w:r>
    </w:p>
    <w:tbl>
      <w:tblPr>
        <w:tblW w:type="dxa" w:w="931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1750"/>
        <w:gridCol w:w="4960"/>
      </w:tblGrid>
      <w:tr>
        <w:tc>
          <w:tcPr>
            <w:tcW w:type="dxa" w:w="26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Form</w:t>
            </w:r>
          </w:p>
        </w:tc>
        <w:tc>
          <w:tcPr>
            <w:tcW w:type="dxa" w:w="175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Textbook locus</w:t>
            </w:r>
          </w:p>
        </w:tc>
        <w:tc>
          <w:tcPr>
            <w:tcW w:type="dxa" w:w="496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Pedagogical rationale</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Subject honorific -(으)시-</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Introduction §5, pp. 20–24</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EDITORIAL NOTE: -(으)시- is not a numbered unit in this textbook; it is treated systematically in the Introduction, together with suppletive honorific verbs (드시다, 계시다) and the particle 께서. Cite accordingly.</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A/V-아/어도 되다</w:t>
            </w:r>
          </w:p>
        </w:tc>
        <w:tc>
          <w:tcPr>
            <w:tcW w:type="dxa" w:w="1750"/>
            <w:shd w:fill="FFFFFF"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7, p. 174</w:t>
            </w:r>
          </w:p>
        </w:tc>
        <w:tc>
          <w:tcPr>
            <w:tcW w:type="dxa" w:w="49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Permission — the productive act of the lesson.</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A/V-(으)면 안 되다</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7, p. 176</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Prohibition. Paired with V-(으)세요 (Unit 7, p. 166) for polite directives.</w:t>
            </w:r>
          </w:p>
        </w:tc>
      </w:tr>
    </w:tbl>
    <w:p>
      <w:pPr>
        <w:pStyle w:val="Heading2"/>
        <w:spacing w:after="70" w:before="180"/>
      </w:pPr>
      <w:r>
        <w:rPr>
          <w:b/>
          <w:bCs/>
          <w:i w:val="false"/>
          <w:iCs w:val="false"/>
          <w:caps w:val="false"/>
          <w:color w:val="B01128"/>
          <w:sz w:val="22"/>
          <w:szCs w:val="22"/>
        </w:rPr>
        <w:t xml:space="preserve">3 · Vocabulary Focus</w:t>
      </w:r>
    </w:p>
    <w:p>
      <w:pPr>
        <w:spacing w:after="110" w:before="0" w:line="262"/>
      </w:pPr>
      <w:r>
        <w:rPr>
          <w:b w:val="false"/>
          <w:bCs w:val="false"/>
          <w:i w:val="false"/>
          <w:iCs w:val="false"/>
          <w:caps w:val="false"/>
          <w:color w:val="1C1C24"/>
          <w:sz w:val="21"/>
          <w:szCs w:val="21"/>
        </w:rPr>
        <w:t xml:space="preserve">Hierarchy &amp; titles (사장님, 부장님, 선배, 후배, 동료); office (회사, 회의, 서류, 출근하다, 퇴근하다, 야근); hoesik &amp; drinking etiquette (회식, 건배, 따르다, 두 손으로, 고개를 돌리다); polite formulae (수고하셨습니다, 먼저 가 보겠습니다, 실례합니다).</w:t>
      </w:r>
    </w:p>
    <w:p>
      <w:pPr>
        <w:pStyle w:val="Heading2"/>
        <w:spacing w:after="70" w:before="180"/>
      </w:pPr>
      <w:r>
        <w:rPr>
          <w:b/>
          <w:bCs/>
          <w:i w:val="false"/>
          <w:iCs w:val="false"/>
          <w:caps w:val="false"/>
          <w:color w:val="B01128"/>
          <w:sz w:val="22"/>
          <w:szCs w:val="22"/>
        </w:rPr>
        <w:t xml:space="preserve">4 · Class Objective</w:t>
      </w:r>
    </w:p>
    <w:p>
      <w:pPr>
        <w:spacing w:after="110" w:before="0" w:line="262"/>
      </w:pPr>
      <w:r>
        <w:rPr>
          <w:b w:val="false"/>
          <w:bCs w:val="false"/>
          <w:i w:val="false"/>
          <w:iCs w:val="false"/>
          <w:caps w:val="false"/>
          <w:color w:val="1C1C24"/>
          <w:sz w:val="21"/>
          <w:szCs w:val="21"/>
        </w:rPr>
        <w:t xml:space="preserve">Students ask for permission and state prohibitions while correctly honoring a social superior. This is the register-control class: culture and grammar are not merely linked here, they are the same object — in Korean the workplace hierarchy is encoded morphologically, so the honorific cannot be taught as decoration and must be taught as the grammar of the situation itself.</w:t>
      </w:r>
    </w:p>
    <w:p>
      <w:pPr>
        <w:pStyle w:val="Heading2"/>
        <w:spacing w:after="70" w:before="180"/>
      </w:pPr>
      <w:r>
        <w:rPr>
          <w:b/>
          <w:bCs/>
          <w:i w:val="false"/>
          <w:iCs w:val="false"/>
          <w:caps w:val="false"/>
          <w:color w:val="B01128"/>
          <w:sz w:val="22"/>
          <w:szCs w:val="22"/>
        </w:rPr>
        <w:t xml:space="preserve">5 · Cultural Competency Outcome</w:t>
      </w:r>
    </w:p>
    <w:p>
      <w:pPr>
        <w:spacing w:after="110" w:before="0" w:line="262"/>
      </w:pPr>
      <w:r>
        <w:rPr>
          <w:b w:val="false"/>
          <w:bCs w:val="false"/>
          <w:i w:val="false"/>
          <w:iCs w:val="false"/>
          <w:caps w:val="false"/>
          <w:color w:val="1C1C24"/>
          <w:sz w:val="21"/>
          <w:szCs w:val="21"/>
        </w:rPr>
        <w:t xml:space="preserve">Learners can behave appropriately at a Korean company dinner: pouring with two hands, using titles instead of names, and excusing themselves without causing offense.</w:t>
      </w:r>
    </w:p>
    <w:p>
      <w:pPr>
        <w:pStyle w:val="Heading2"/>
        <w:spacing w:after="70" w:before="180"/>
      </w:pPr>
      <w:r>
        <w:rPr>
          <w:b/>
          <w:bCs/>
          <w:i w:val="false"/>
          <w:iCs w:val="false"/>
          <w:caps w:val="false"/>
          <w:color w:val="B01128"/>
          <w:sz w:val="22"/>
          <w:szCs w:val="22"/>
        </w:rPr>
        <w:t xml:space="preserve">6 · Integrated Model Utterance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050"/>
        <w:gridCol w:w="7310"/>
      </w:tblGrid>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한국어</w:t>
            </w:r>
          </w:p>
        </w:tc>
        <w:tc>
          <w:tcPr>
            <w:tcW w:type="dxa" w:w="731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21"/>
                <w:szCs w:val="21"/>
              </w:rPr>
              <w:t xml:space="preserve">부장님께서 지금 회의에 계세요. 먼저 가도 돼요? 회식에서 술을 한 손으로 따르면 안 돼요.</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Español</w:t>
            </w:r>
          </w:p>
        </w:tc>
        <w:tc>
          <w:tcPr>
            <w:tcW w:type="dxa" w:w="7310"/>
            <w:shd w:fill="FFFFFF" w:color="auto" w:val="clear"/>
            <w:tcMar>
              <w:top w:type="dxa" w:w="75"/>
              <w:left w:type="dxa" w:w="120"/>
              <w:bottom w:type="dxa" w:w="75"/>
              <w:right w:type="dxa" w:w="120"/>
            </w:tcMar>
          </w:tcPr>
          <w:p>
            <w:pPr>
              <w:spacing w:after="0" w:before="0" w:line="262"/>
            </w:pPr>
            <w:r>
              <w:rPr>
                <w:b w:val="false"/>
                <w:bCs w:val="false"/>
                <w:i/>
                <w:iCs/>
                <w:caps w:val="false"/>
                <w:color w:val="5A5A66"/>
                <w:sz w:val="20"/>
                <w:szCs w:val="20"/>
              </w:rPr>
              <w:t xml:space="preserve">El jefe está ahora en la reunión. ¿Puedo irme primero? En el hoesik no se debe servir alcohol con una sola mano.</w:t>
            </w:r>
          </w:p>
        </w:tc>
      </w:tr>
    </w:tbl>
    <w:p>
      <w:pPr>
        <w:pageBreakBefore/>
        <w:spacing w:after="50"/>
      </w:pPr>
      <w:r>
        <w:rPr>
          <w:b/>
          <w:bCs/>
          <w:i w:val="false"/>
          <w:iCs w:val="false"/>
          <w:caps/>
          <w:color w:val="A8842C"/>
          <w:sz w:val="17"/>
          <w:szCs w:val="17"/>
        </w:rPr>
        <w:t xml:space="preserve">Module 07  ·  Week 08 / Semana 08</w:t>
      </w:r>
    </w:p>
    <w:p>
      <w:pPr>
        <w:spacing w:after="30"/>
      </w:pPr>
      <w:r>
        <w:rPr>
          <w:b/>
          <w:bCs/>
          <w:i w:val="false"/>
          <w:iCs w:val="false"/>
          <w:caps w:val="false"/>
          <w:color w:val="15243F"/>
          <w:sz w:val="30"/>
          <w:szCs w:val="30"/>
        </w:rPr>
        <w:t xml:space="preserve">Folklore &amp; Myths</w:t>
      </w:r>
    </w:p>
    <w:p>
      <w:pPr>
        <w:spacing w:after="30"/>
      </w:pPr>
      <w:r>
        <w:rPr>
          <w:rFonts w:ascii="Malgun Gothic" w:cs="Malgun Gothic" w:eastAsia="Malgun Gothic" w:hAnsi="Malgun Gothic"/>
          <w:b/>
          <w:bCs/>
          <w:i w:val="false"/>
          <w:iCs w:val="false"/>
          <w:caps w:val="false"/>
          <w:color w:val="B01128"/>
          <w:sz w:val="22"/>
          <w:szCs w:val="22"/>
        </w:rPr>
        <w:t xml:space="preserve">전통 설화와 민담</w:t>
      </w:r>
    </w:p>
    <w:p>
      <w:pPr>
        <w:pBdr>
          <w:bottom w:val="single" w:color="A8842C" w:sz="10" w:space="6"/>
        </w:pBdr>
        <w:spacing w:after="130"/>
      </w:pPr>
      <w:r>
        <w:rPr>
          <w:b w:val="false"/>
          <w:bCs w:val="false"/>
          <w:i/>
          <w:iCs/>
          <w:caps w:val="false"/>
          <w:color w:val="5A5A66"/>
          <w:sz w:val="20"/>
          <w:szCs w:val="20"/>
        </w:rPr>
        <w:t xml:space="preserve">Folclore y mitos</w:t>
      </w:r>
    </w:p>
    <w:p>
      <w:pPr>
        <w:pStyle w:val="Heading2"/>
        <w:spacing w:after="70" w:before="180"/>
      </w:pPr>
      <w:r>
        <w:rPr>
          <w:b/>
          <w:bCs/>
          <w:i w:val="false"/>
          <w:iCs w:val="false"/>
          <w:caps w:val="false"/>
          <w:color w:val="B01128"/>
          <w:sz w:val="22"/>
          <w:szCs w:val="22"/>
        </w:rPr>
        <w:t xml:space="preserve">1 · Cultural Theme</w:t>
      </w:r>
    </w:p>
    <w:p>
      <w:pPr>
        <w:spacing w:after="110" w:before="0" w:line="262"/>
      </w:pPr>
      <w:r>
        <w:rPr>
          <w:b w:val="false"/>
          <w:bCs w:val="false"/>
          <w:i w:val="false"/>
          <w:iCs w:val="false"/>
          <w:caps w:val="false"/>
          <w:color w:val="1C1C24"/>
          <w:sz w:val="21"/>
          <w:szCs w:val="21"/>
        </w:rPr>
        <w:t xml:space="preserve">The narrative imagination of the peninsula: the 단군 foundation myth, 도깨비 (goblins), 구미호 (nine-tailed fox), 선녀와 나무꾼, and the tiger of folk painting — plus how these figures have been recycled into contemporary drama and film.</w:t>
      </w:r>
    </w:p>
    <w:p>
      <w:pPr>
        <w:pStyle w:val="Heading2"/>
        <w:spacing w:after="70" w:before="180"/>
      </w:pPr>
      <w:r>
        <w:rPr>
          <w:b/>
          <w:bCs/>
          <w:i w:val="false"/>
          <w:iCs w:val="false"/>
          <w:caps w:val="false"/>
          <w:color w:val="B01128"/>
          <w:sz w:val="22"/>
          <w:szCs w:val="22"/>
        </w:rPr>
        <w:t xml:space="preserve">2 · Target Grammar Points</w:t>
      </w:r>
    </w:p>
    <w:p>
      <w:pPr>
        <w:spacing w:after="70" w:before="0" w:line="262"/>
      </w:pPr>
      <w:r>
        <w:rPr>
          <w:b w:val="false"/>
          <w:bCs w:val="false"/>
          <w:i/>
          <w:iCs/>
          <w:caps w:val="false"/>
          <w:color w:val="5A5A66"/>
          <w:sz w:val="17"/>
          <w:szCs w:val="17"/>
        </w:rPr>
        <w:t xml:space="preserve">Cited from Korean Grammar in Use: Beginning to Early Intermediate (printed-edition pages).</w:t>
      </w:r>
    </w:p>
    <w:tbl>
      <w:tblPr>
        <w:tblW w:type="dxa" w:w="931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1750"/>
        <w:gridCol w:w="4960"/>
      </w:tblGrid>
      <w:tr>
        <w:tc>
          <w:tcPr>
            <w:tcW w:type="dxa" w:w="26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Form</w:t>
            </w:r>
          </w:p>
        </w:tc>
        <w:tc>
          <w:tcPr>
            <w:tcW w:type="dxa" w:w="175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Textbook locus</w:t>
            </w:r>
          </w:p>
        </w:tc>
        <w:tc>
          <w:tcPr>
            <w:tcW w:type="dxa" w:w="496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Pedagogical rationale</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A/V-았/었었어요</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1, p. 56</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Past perfect — a discontinued past state. Must be contrasted explicitly with the plain past -았/었어요; the textbook's own examples (미국에 갔었어요 = went and has returned) make the contrast teachable.</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A/V-(으)니까 ①</w:t>
            </w:r>
          </w:p>
        </w:tc>
        <w:tc>
          <w:tcPr>
            <w:tcW w:type="dxa" w:w="1750"/>
            <w:shd w:fill="FFFFFF"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9, p. 191</w:t>
            </w:r>
          </w:p>
        </w:tc>
        <w:tc>
          <w:tcPr>
            <w:tcW w:type="dxa" w:w="49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Reason. Introduced here in contrast with -아/어서 from Class 1, since -(으)니까 is required with imperatives and propositives.</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A/V-네요 / A/V-군요</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21, pp. 306 / 304</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Reaction and realization — the listener's half of storytelling.</w:t>
            </w:r>
          </w:p>
        </w:tc>
      </w:tr>
    </w:tbl>
    <w:p>
      <w:pPr>
        <w:pStyle w:val="Heading2"/>
        <w:spacing w:after="70" w:before="180"/>
      </w:pPr>
      <w:r>
        <w:rPr>
          <w:b/>
          <w:bCs/>
          <w:i w:val="false"/>
          <w:iCs w:val="false"/>
          <w:caps w:val="false"/>
          <w:color w:val="B01128"/>
          <w:sz w:val="22"/>
          <w:szCs w:val="22"/>
        </w:rPr>
        <w:t xml:space="preserve">3 · Vocabulary Focus</w:t>
      </w:r>
    </w:p>
    <w:p>
      <w:pPr>
        <w:spacing w:after="110" w:before="0" w:line="262"/>
      </w:pPr>
      <w:r>
        <w:rPr>
          <w:b w:val="false"/>
          <w:bCs w:val="false"/>
          <w:i w:val="false"/>
          <w:iCs w:val="false"/>
          <w:caps w:val="false"/>
          <w:color w:val="1C1C24"/>
          <w:sz w:val="21"/>
          <w:szCs w:val="21"/>
        </w:rPr>
        <w:t xml:space="preserve">Narrative figures (호랑이, 도깨비, 선녀, 나무꾼, 신, 왕); story-setting adverbials (옛날옛날에, 그때, 갑자기, 마침내); narrative verbs (살았다, 나타나다, 사라지다, 변하다, 도와주다); moral vocabulary (착하다, 나쁘다, 욕심, 벌, 상).</w:t>
      </w:r>
    </w:p>
    <w:p>
      <w:pPr>
        <w:pStyle w:val="Heading2"/>
        <w:spacing w:after="70" w:before="180"/>
      </w:pPr>
      <w:r>
        <w:rPr>
          <w:b/>
          <w:bCs/>
          <w:i w:val="false"/>
          <w:iCs w:val="false"/>
          <w:caps w:val="false"/>
          <w:color w:val="B01128"/>
          <w:sz w:val="22"/>
          <w:szCs w:val="22"/>
        </w:rPr>
        <w:t xml:space="preserve">4 · Class Objective</w:t>
      </w:r>
    </w:p>
    <w:p>
      <w:pPr>
        <w:spacing w:after="110" w:before="0" w:line="262"/>
      </w:pPr>
      <w:r>
        <w:rPr>
          <w:b w:val="false"/>
          <w:bCs w:val="false"/>
          <w:i w:val="false"/>
          <w:iCs w:val="false"/>
          <w:caps w:val="false"/>
          <w:color w:val="1C1C24"/>
          <w:sz w:val="21"/>
          <w:szCs w:val="21"/>
        </w:rPr>
        <w:t xml:space="preserve">Students narrate a story set in the distant past and respond to a story as an engaged listener. Folklore is the only topic in the program that demands sustained monologue, so it is placed where students have the connectives to sustain it; the reaction endings are included because a conversation class must train the listener's role, not only the speaker's.</w:t>
      </w:r>
    </w:p>
    <w:p>
      <w:pPr>
        <w:pStyle w:val="Heading2"/>
        <w:spacing w:after="70" w:before="180"/>
      </w:pPr>
      <w:r>
        <w:rPr>
          <w:b/>
          <w:bCs/>
          <w:i w:val="false"/>
          <w:iCs w:val="false"/>
          <w:caps w:val="false"/>
          <w:color w:val="B01128"/>
          <w:sz w:val="22"/>
          <w:szCs w:val="22"/>
        </w:rPr>
        <w:t xml:space="preserve">5 · Cultural Competency Outcome</w:t>
      </w:r>
    </w:p>
    <w:p>
      <w:pPr>
        <w:spacing w:after="110" w:before="0" w:line="262"/>
      </w:pPr>
      <w:r>
        <w:rPr>
          <w:b w:val="false"/>
          <w:bCs w:val="false"/>
          <w:i w:val="false"/>
          <w:iCs w:val="false"/>
          <w:caps w:val="false"/>
          <w:color w:val="1C1C24"/>
          <w:sz w:val="21"/>
          <w:szCs w:val="21"/>
        </w:rPr>
        <w:t xml:space="preserve">Learners recognize folkloric references embedded in contemporary Korean media and can retell a folk tale from their own culture in Korean.</w:t>
      </w:r>
    </w:p>
    <w:p>
      <w:pPr>
        <w:pStyle w:val="Heading2"/>
        <w:spacing w:after="70" w:before="180"/>
      </w:pPr>
      <w:r>
        <w:rPr>
          <w:b/>
          <w:bCs/>
          <w:i w:val="false"/>
          <w:iCs w:val="false"/>
          <w:caps w:val="false"/>
          <w:color w:val="B01128"/>
          <w:sz w:val="22"/>
          <w:szCs w:val="22"/>
        </w:rPr>
        <w:t xml:space="preserve">6 · Integrated Model Utterance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050"/>
        <w:gridCol w:w="7310"/>
      </w:tblGrid>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한국어</w:t>
            </w:r>
          </w:p>
        </w:tc>
        <w:tc>
          <w:tcPr>
            <w:tcW w:type="dxa" w:w="731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21"/>
                <w:szCs w:val="21"/>
              </w:rPr>
              <w:t xml:space="preserve">옛날에 산에 호랑이가 살았었어요. 날씨가 추우니까 나무꾼이 집으로 갔어요. — 아, 정말 재미있네요!</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Español</w:t>
            </w:r>
          </w:p>
        </w:tc>
        <w:tc>
          <w:tcPr>
            <w:tcW w:type="dxa" w:w="7310"/>
            <w:shd w:fill="FFFFFF" w:color="auto" w:val="clear"/>
            <w:tcMar>
              <w:top w:type="dxa" w:w="75"/>
              <w:left w:type="dxa" w:w="120"/>
              <w:bottom w:type="dxa" w:w="75"/>
              <w:right w:type="dxa" w:w="120"/>
            </w:tcMar>
          </w:tcPr>
          <w:p>
            <w:pPr>
              <w:spacing w:after="0" w:before="0" w:line="262"/>
            </w:pPr>
            <w:r>
              <w:rPr>
                <w:b w:val="false"/>
                <w:bCs w:val="false"/>
                <w:i/>
                <w:iCs/>
                <w:caps w:val="false"/>
                <w:color w:val="5A5A66"/>
                <w:sz w:val="20"/>
                <w:szCs w:val="20"/>
              </w:rPr>
              <w:t xml:space="preserve">Hace mucho vivía un tigre en la montaña (ya no). Como hacía frío, el leñador se fue a casa. — ¡Ah, qué interesante!</w:t>
            </w:r>
          </w:p>
        </w:tc>
      </w:tr>
    </w:tbl>
    <w:p>
      <w:pPr>
        <w:pageBreakBefore/>
        <w:spacing w:after="50"/>
      </w:pPr>
      <w:r>
        <w:rPr>
          <w:b/>
          <w:bCs/>
          <w:i w:val="false"/>
          <w:iCs w:val="false"/>
          <w:caps/>
          <w:color w:val="A8842C"/>
          <w:sz w:val="17"/>
          <w:szCs w:val="17"/>
        </w:rPr>
        <w:t xml:space="preserve">Module 08  ·  Week 10 / Semana 10</w:t>
      </w:r>
    </w:p>
    <w:p>
      <w:pPr>
        <w:spacing w:after="30"/>
      </w:pPr>
      <w:r>
        <w:rPr>
          <w:b/>
          <w:bCs/>
          <w:i w:val="false"/>
          <w:iCs w:val="false"/>
          <w:caps w:val="false"/>
          <w:color w:val="15243F"/>
          <w:sz w:val="30"/>
          <w:szCs w:val="30"/>
        </w:rPr>
        <w:t xml:space="preserve">K-Drama, Media &amp; Reported Speech</w:t>
      </w:r>
    </w:p>
    <w:p>
      <w:pPr>
        <w:spacing w:after="30"/>
      </w:pPr>
      <w:r>
        <w:rPr>
          <w:rFonts w:ascii="Malgun Gothic" w:cs="Malgun Gothic" w:eastAsia="Malgun Gothic" w:hAnsi="Malgun Gothic"/>
          <w:b/>
          <w:bCs/>
          <w:i w:val="false"/>
          <w:iCs w:val="false"/>
          <w:caps w:val="false"/>
          <w:color w:val="B01128"/>
          <w:sz w:val="22"/>
          <w:szCs w:val="22"/>
        </w:rPr>
        <w:t xml:space="preserve">케이드라마와 미디어</w:t>
      </w:r>
    </w:p>
    <w:p>
      <w:pPr>
        <w:pBdr>
          <w:bottom w:val="single" w:color="A8842C" w:sz="10" w:space="6"/>
        </w:pBdr>
        <w:spacing w:after="130"/>
      </w:pPr>
      <w:r>
        <w:rPr>
          <w:b w:val="false"/>
          <w:bCs w:val="false"/>
          <w:i/>
          <w:iCs/>
          <w:caps w:val="false"/>
          <w:color w:val="5A5A66"/>
          <w:sz w:val="20"/>
          <w:szCs w:val="20"/>
        </w:rPr>
        <w:t xml:space="preserve">K-Drama, medios y discurso referido</w:t>
      </w:r>
    </w:p>
    <w:p>
      <w:pPr>
        <w:pStyle w:val="Heading2"/>
        <w:spacing w:after="70" w:before="180"/>
      </w:pPr>
      <w:r>
        <w:rPr>
          <w:b/>
          <w:bCs/>
          <w:i w:val="false"/>
          <w:iCs w:val="false"/>
          <w:caps w:val="false"/>
          <w:color w:val="B01128"/>
          <w:sz w:val="22"/>
          <w:szCs w:val="22"/>
        </w:rPr>
        <w:t xml:space="preserve">1 · Cultural Theme</w:t>
      </w:r>
    </w:p>
    <w:p>
      <w:pPr>
        <w:spacing w:after="110" w:before="0" w:line="262"/>
      </w:pPr>
      <w:r>
        <w:rPr>
          <w:b w:val="false"/>
          <w:bCs w:val="false"/>
          <w:i w:val="false"/>
          <w:iCs w:val="false"/>
          <w:caps w:val="false"/>
          <w:color w:val="1C1C24"/>
          <w:sz w:val="21"/>
          <w:szCs w:val="21"/>
        </w:rPr>
        <w:t xml:space="preserve">The grammar of Korean screen storytelling: genre conventions, the 재벌/신데렐라 and 사극 templates, the writer-centered production system, global streaming distribution, and filming-location tourism. Capstone module — students discuss media by reporting what characters and other people said.</w:t>
      </w:r>
    </w:p>
    <w:p>
      <w:pPr>
        <w:pStyle w:val="Heading2"/>
        <w:spacing w:after="70" w:before="180"/>
      </w:pPr>
      <w:r>
        <w:rPr>
          <w:b/>
          <w:bCs/>
          <w:i w:val="false"/>
          <w:iCs w:val="false"/>
          <w:caps w:val="false"/>
          <w:color w:val="B01128"/>
          <w:sz w:val="22"/>
          <w:szCs w:val="22"/>
        </w:rPr>
        <w:t xml:space="preserve">2 · Target Grammar Points</w:t>
      </w:r>
    </w:p>
    <w:p>
      <w:pPr>
        <w:spacing w:after="70" w:before="0" w:line="262"/>
      </w:pPr>
      <w:r>
        <w:rPr>
          <w:b w:val="false"/>
          <w:bCs w:val="false"/>
          <w:i/>
          <w:iCs/>
          <w:caps w:val="false"/>
          <w:color w:val="5A5A66"/>
          <w:sz w:val="17"/>
          <w:szCs w:val="17"/>
        </w:rPr>
        <w:t xml:space="preserve">Cited from Korean Grammar in Use: Beginning to Early Intermediate (printed-edition pages).</w:t>
      </w:r>
    </w:p>
    <w:tbl>
      <w:tblPr>
        <w:tblW w:type="dxa" w:w="931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1750"/>
        <w:gridCol w:w="4960"/>
      </w:tblGrid>
      <w:tr>
        <w:tc>
          <w:tcPr>
            <w:tcW w:type="dxa" w:w="260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Form</w:t>
            </w:r>
          </w:p>
        </w:tc>
        <w:tc>
          <w:tcPr>
            <w:tcW w:type="dxa" w:w="175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Textbook locus</w:t>
            </w:r>
          </w:p>
        </w:tc>
        <w:tc>
          <w:tcPr>
            <w:tcW w:type="dxa" w:w="4960"/>
            <w:shd w:fill="15243F" w:color="auto" w:val="clear"/>
            <w:tcMar>
              <w:top w:type="dxa" w:w="75"/>
              <w:left w:type="dxa" w:w="120"/>
              <w:bottom w:type="dxa" w:w="75"/>
              <w:right w:type="dxa" w:w="120"/>
            </w:tcMar>
          </w:tcPr>
          <w:p>
            <w:pPr>
              <w:spacing w:after="0" w:before="0" w:line="262"/>
            </w:pPr>
            <w:r>
              <w:rPr>
                <w:b/>
                <w:bCs/>
                <w:i w:val="false"/>
                <w:iCs w:val="false"/>
                <w:caps/>
                <w:color w:val="FFFFFF"/>
                <w:sz w:val="18"/>
                <w:szCs w:val="18"/>
              </w:rPr>
              <w:t xml:space="preserve">Pedagogical rationale</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Indirect quotation: -다고 / -냐고 / -자고 / -(으)라고 하다</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23, p. 319</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EDITORIAL NOTE: the draft labeled this '-고 하다', which is not the textbook's form. The book presents four distinct patterns by sentence type. Placed last because it presupposes clause embedding.</w:t>
            </w:r>
          </w:p>
        </w:tc>
      </w:tr>
      <w:tr>
        <w:tc>
          <w:tcPr>
            <w:tcW w:type="dxa" w:w="260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A/V-았/었으면 좋겠다</w:t>
            </w:r>
          </w:p>
        </w:tc>
        <w:tc>
          <w:tcPr>
            <w:tcW w:type="dxa" w:w="1750"/>
            <w:shd w:fill="FFFFFF"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8, p. 184</w:t>
            </w:r>
          </w:p>
        </w:tc>
        <w:tc>
          <w:tcPr>
            <w:tcW w:type="dxa" w:w="4960"/>
            <w:shd w:fill="FFFFFF"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Wish / hope. EDITORIAL NOTE: the draft's '-(으)면 좋겠다' is not the textbook's citation form.</w:t>
            </w:r>
          </w:p>
        </w:tc>
      </w:tr>
      <w:tr>
        <w:tc>
          <w:tcPr>
            <w:tcW w:type="dxa" w:w="2600"/>
            <w:shd w:fill="FAFAFC"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C1C24"/>
                <w:sz w:val="20"/>
                <w:szCs w:val="20"/>
              </w:rPr>
              <w:t xml:space="preserve">A/V-(으)ㄴ/는/(으)ㄹ 것 같다</w:t>
            </w:r>
          </w:p>
        </w:tc>
        <w:tc>
          <w:tcPr>
            <w:tcW w:type="dxa" w:w="1750"/>
            <w:shd w:fill="FAFAFC" w:color="auto" w:val="clear"/>
            <w:tcMar>
              <w:top w:type="dxa" w:w="75"/>
              <w:left w:type="dxa" w:w="120"/>
              <w:bottom w:type="dxa" w:w="75"/>
              <w:right w:type="dxa" w:w="120"/>
            </w:tcMar>
          </w:tcPr>
          <w:p>
            <w:pPr>
              <w:spacing w:after="0" w:before="0" w:line="262"/>
            </w:pPr>
            <w:r>
              <w:rPr>
                <w:b/>
                <w:bCs/>
                <w:i w:val="false"/>
                <w:iCs w:val="false"/>
                <w:caps w:val="false"/>
                <w:color w:val="B01128"/>
                <w:sz w:val="18"/>
                <w:szCs w:val="18"/>
              </w:rPr>
              <w:t xml:space="preserve">Unit 17, p. 267</w:t>
            </w:r>
          </w:p>
        </w:tc>
        <w:tc>
          <w:tcPr>
            <w:tcW w:type="dxa" w:w="4960"/>
            <w:shd w:fill="FAFAFC" w:color="auto" w:val="clear"/>
            <w:tcMar>
              <w:top w:type="dxa" w:w="75"/>
              <w:left w:type="dxa" w:w="120"/>
              <w:bottom w:type="dxa" w:w="75"/>
              <w:right w:type="dxa" w:w="120"/>
            </w:tcMar>
          </w:tcPr>
          <w:p>
            <w:pPr>
              <w:spacing w:after="0" w:before="0" w:line="262"/>
            </w:pPr>
            <w:r>
              <w:rPr>
                <w:b w:val="false"/>
                <w:bCs w:val="false"/>
                <w:i w:val="false"/>
                <w:iCs w:val="false"/>
                <w:caps w:val="false"/>
                <w:color w:val="5A5A66"/>
                <w:sz w:val="18"/>
                <w:szCs w:val="18"/>
              </w:rPr>
              <w:t xml:space="preserve">Supposition — enables speculation about plot and outcome, and softens opinion, which is a politeness requirement in Korean.</w:t>
            </w:r>
          </w:p>
        </w:tc>
      </w:tr>
    </w:tbl>
    <w:p>
      <w:pPr>
        <w:pStyle w:val="Heading2"/>
        <w:spacing w:after="70" w:before="180"/>
      </w:pPr>
      <w:r>
        <w:rPr>
          <w:b/>
          <w:bCs/>
          <w:i w:val="false"/>
          <w:iCs w:val="false"/>
          <w:caps w:val="false"/>
          <w:color w:val="B01128"/>
          <w:sz w:val="22"/>
          <w:szCs w:val="22"/>
        </w:rPr>
        <w:t xml:space="preserve">3 · Vocabulary Focus</w:t>
      </w:r>
    </w:p>
    <w:p>
      <w:pPr>
        <w:spacing w:after="110" w:before="0" w:line="262"/>
      </w:pPr>
      <w:r>
        <w:rPr>
          <w:b w:val="false"/>
          <w:bCs w:val="false"/>
          <w:i w:val="false"/>
          <w:iCs w:val="false"/>
          <w:caps w:val="false"/>
          <w:color w:val="1C1C24"/>
          <w:sz w:val="21"/>
          <w:szCs w:val="21"/>
        </w:rPr>
        <w:t xml:space="preserve">Narrative &amp; production (드라마, 주인공, 배우, 감독, 작가, 회, 시즌, 촬영지); plot lexicon (사랑에 빠지다, 헤어지다, 배신하다, 복수하다, 결말); emotion &amp; evaluation (슬프다, 감동하다, 뻔하다, 몰입하다); reporting verbs (말하다, 물어보다, 이야기하다).</w:t>
      </w:r>
    </w:p>
    <w:p>
      <w:pPr>
        <w:pStyle w:val="Heading2"/>
        <w:spacing w:after="70" w:before="180"/>
      </w:pPr>
      <w:r>
        <w:rPr>
          <w:b/>
          <w:bCs/>
          <w:i w:val="false"/>
          <w:iCs w:val="false"/>
          <w:caps w:val="false"/>
          <w:color w:val="B01128"/>
          <w:sz w:val="22"/>
          <w:szCs w:val="22"/>
        </w:rPr>
        <w:t xml:space="preserve">4 · Class Objective</w:t>
      </w:r>
    </w:p>
    <w:p>
      <w:pPr>
        <w:spacing w:after="110" w:before="0" w:line="262"/>
      </w:pPr>
      <w:r>
        <w:rPr>
          <w:b w:val="false"/>
          <w:bCs w:val="false"/>
          <w:i w:val="false"/>
          <w:iCs w:val="false"/>
          <w:caps w:val="false"/>
          <w:color w:val="1C1C24"/>
          <w:sz w:val="21"/>
          <w:szCs w:val="21"/>
        </w:rPr>
        <w:t xml:space="preserve">Students report third-party speech and speculate about outcomes ('친구가 이 드라마가 재미있다고 했어요. 주인공이 죽을 것 같아요'). Drama is the correct capstone vehicle because reported speech is what audiences actually do with fiction — they relay dialogue and predict endings — and it integrates every prior structure: reason, comparison, modifiers, conditions and register.</w:t>
      </w:r>
    </w:p>
    <w:p>
      <w:pPr>
        <w:pStyle w:val="Heading2"/>
        <w:spacing w:after="70" w:before="180"/>
      </w:pPr>
      <w:r>
        <w:rPr>
          <w:b/>
          <w:bCs/>
          <w:i w:val="false"/>
          <w:iCs w:val="false"/>
          <w:caps w:val="false"/>
          <w:color w:val="B01128"/>
          <w:sz w:val="22"/>
          <w:szCs w:val="22"/>
        </w:rPr>
        <w:t xml:space="preserve">5 · Cultural Competency Outcome</w:t>
      </w:r>
    </w:p>
    <w:p>
      <w:pPr>
        <w:spacing w:after="110" w:before="0" w:line="262"/>
      </w:pPr>
      <w:r>
        <w:rPr>
          <w:b w:val="false"/>
          <w:bCs w:val="false"/>
          <w:i w:val="false"/>
          <w:iCs w:val="false"/>
          <w:caps w:val="false"/>
          <w:color w:val="1C1C24"/>
          <w:sz w:val="21"/>
          <w:szCs w:val="21"/>
        </w:rPr>
        <w:t xml:space="preserve">Learners can participate in the online discourse around Korean media — recommending, summarizing and speculating — which is where most of them will use Korean daily.</w:t>
      </w:r>
    </w:p>
    <w:p>
      <w:pPr>
        <w:pStyle w:val="Heading2"/>
        <w:spacing w:after="70" w:before="180"/>
      </w:pPr>
      <w:r>
        <w:rPr>
          <w:b/>
          <w:bCs/>
          <w:i w:val="false"/>
          <w:iCs w:val="false"/>
          <w:caps w:val="false"/>
          <w:color w:val="B01128"/>
          <w:sz w:val="22"/>
          <w:szCs w:val="22"/>
        </w:rPr>
        <w:t xml:space="preserve">6 · Integrated Model Utterance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050"/>
        <w:gridCol w:w="7310"/>
      </w:tblGrid>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한국어</w:t>
            </w:r>
          </w:p>
        </w:tc>
        <w:tc>
          <w:tcPr>
            <w:tcW w:type="dxa" w:w="7310"/>
            <w:shd w:fill="FFFFFF" w:color="auto" w:val="clear"/>
            <w:tcMar>
              <w:top w:type="dxa" w:w="75"/>
              <w:left w:type="dxa" w:w="120"/>
              <w:bottom w:type="dxa" w:w="75"/>
              <w:right w:type="dxa" w:w="120"/>
            </w:tcMar>
          </w:tcPr>
          <w:p>
            <w:pPr>
              <w:spacing w:after="0" w:before="0" w:line="262"/>
            </w:pPr>
            <w:r>
              <w:rPr>
                <w:rFonts w:ascii="Malgun Gothic" w:cs="Malgun Gothic" w:eastAsia="Malgun Gothic" w:hAnsi="Malgun Gothic"/>
                <w:b/>
                <w:bCs/>
                <w:i w:val="false"/>
                <w:iCs w:val="false"/>
                <w:caps w:val="false"/>
                <w:color w:val="15243F"/>
                <w:sz w:val="21"/>
                <w:szCs w:val="21"/>
              </w:rPr>
              <w:t xml:space="preserve">친구가 이 드라마를 꼭 보라고 했어요. 주인공이 다시 만났으면 좋겠어요. 다음 회에서 헤어질 것 같아요.</w:t>
            </w:r>
          </w:p>
        </w:tc>
      </w:tr>
      <w:tr>
        <w:tc>
          <w:tcPr>
            <w:tcW w:type="dxa" w:w="2050"/>
            <w:shd w:fill="F2F4F8" w:color="auto" w:val="clear"/>
            <w:tcMar>
              <w:top w:type="dxa" w:w="75"/>
              <w:left w:type="dxa" w:w="120"/>
              <w:bottom w:type="dxa" w:w="75"/>
              <w:right w:type="dxa" w:w="120"/>
            </w:tcMar>
          </w:tcPr>
          <w:p>
            <w:pPr>
              <w:spacing w:after="0" w:before="0" w:line="262"/>
            </w:pPr>
            <w:r>
              <w:rPr>
                <w:b/>
                <w:bCs/>
                <w:i w:val="false"/>
                <w:iCs w:val="false"/>
                <w:caps/>
                <w:color w:val="15243F"/>
                <w:sz w:val="19"/>
                <w:szCs w:val="19"/>
              </w:rPr>
              <w:t xml:space="preserve">Español</w:t>
            </w:r>
          </w:p>
        </w:tc>
        <w:tc>
          <w:tcPr>
            <w:tcW w:type="dxa" w:w="7310"/>
            <w:shd w:fill="FFFFFF" w:color="auto" w:val="clear"/>
            <w:tcMar>
              <w:top w:type="dxa" w:w="75"/>
              <w:left w:type="dxa" w:w="120"/>
              <w:bottom w:type="dxa" w:w="75"/>
              <w:right w:type="dxa" w:w="120"/>
            </w:tcMar>
          </w:tcPr>
          <w:p>
            <w:pPr>
              <w:spacing w:after="0" w:before="0" w:line="262"/>
            </w:pPr>
            <w:r>
              <w:rPr>
                <w:b w:val="false"/>
                <w:bCs w:val="false"/>
                <w:i/>
                <w:iCs/>
                <w:caps w:val="false"/>
                <w:color w:val="5A5A66"/>
                <w:sz w:val="20"/>
                <w:szCs w:val="20"/>
              </w:rPr>
              <w:t xml:space="preserve">Mi amiga me dijo que viera sí o sí esta serie. Ojalá los protagonistas se reencuentren. Creo que en el próximo capítulo se separan.</w:t>
            </w:r>
          </w:p>
        </w:tc>
      </w:tr>
    </w:tbl>
    <w:p>
      <w:pPr>
        <w:pStyle w:val="Heading1"/>
        <w:pageBreakBefore/>
        <w:pBdr>
          <w:bottom w:val="single" w:color="B01128" w:sz="14" w:space="8"/>
        </w:pBdr>
        <w:spacing w:after="160" w:before="0"/>
      </w:pPr>
      <w:r>
        <w:rPr>
          <w:b/>
          <w:bCs/>
          <w:i w:val="false"/>
          <w:iCs w:val="false"/>
          <w:caps w:val="false"/>
          <w:color w:val="15243F"/>
          <w:sz w:val="30"/>
          <w:szCs w:val="30"/>
        </w:rPr>
        <w:t xml:space="preserve">VI. Assessment &amp; Quality Control</w:t>
      </w:r>
    </w:p>
    <w:p>
      <w:pPr>
        <w:pStyle w:val="Heading2"/>
        <w:spacing w:after="70" w:before="180"/>
      </w:pPr>
      <w:r>
        <w:rPr>
          <w:b/>
          <w:bCs/>
          <w:i w:val="false"/>
          <w:iCs w:val="false"/>
          <w:caps w:val="false"/>
          <w:color w:val="B01128"/>
          <w:sz w:val="22"/>
          <w:szCs w:val="22"/>
        </w:rPr>
        <w:t xml:space="preserve">Per-module assessment</w:t>
      </w:r>
    </w:p>
    <w:p>
      <w:pPr>
        <w:spacing w:after="110" w:before="0" w:line="262"/>
      </w:pPr>
      <w:r>
        <w:rPr>
          <w:b w:val="false"/>
          <w:bCs w:val="false"/>
          <w:i w:val="false"/>
          <w:iCs w:val="false"/>
          <w:caps w:val="false"/>
          <w:color w:val="1C1C24"/>
          <w:sz w:val="21"/>
          <w:szCs w:val="21"/>
        </w:rPr>
        <w:t xml:space="preserve">Each module closes with a single production task, submitted asynchronously and assessed against one criterion: did the learner deploy the target structure correctly and unprompted? Comprehension of cultural content is not separately graded — it is presupposed by the ability to talk about it.</w:t>
      </w:r>
    </w:p>
    <w:p>
      <w:pPr>
        <w:pStyle w:val="ListParagraph"/>
        <w:numPr>
          <w:ilvl w:val="0"/>
          <w:numId w:val="1"/>
        </w:numPr>
        <w:spacing w:after="60" w:line="268"/>
      </w:pPr>
      <w:r>
        <w:rPr>
          <w:b w:val="false"/>
          <w:bCs w:val="false"/>
          <w:i w:val="false"/>
          <w:iCs w:val="false"/>
          <w:caps w:val="false"/>
          <w:color w:val="1C1C24"/>
          <w:sz w:val="21"/>
          <w:szCs w:val="21"/>
        </w:rPr>
        <w:t xml:space="preserve">Recorded output: 60–90 seconds of speech on the module's comparative prompt (Korea vs. own country).</w:t>
      </w:r>
    </w:p>
    <w:p>
      <w:pPr>
        <w:pStyle w:val="ListParagraph"/>
        <w:numPr>
          <w:ilvl w:val="0"/>
          <w:numId w:val="1"/>
        </w:numPr>
        <w:spacing w:after="60" w:line="268"/>
      </w:pPr>
      <w:r>
        <w:rPr>
          <w:b w:val="false"/>
          <w:bCs w:val="false"/>
          <w:i w:val="false"/>
          <w:iCs w:val="false"/>
          <w:caps w:val="false"/>
          <w:color w:val="1C1C24"/>
          <w:sz w:val="21"/>
          <w:szCs w:val="21"/>
        </w:rPr>
        <w:t xml:space="preserve">Required: at least two instances of each target structure, used accurately.</w:t>
      </w:r>
    </w:p>
    <w:p>
      <w:pPr>
        <w:pStyle w:val="ListParagraph"/>
        <w:numPr>
          <w:ilvl w:val="0"/>
          <w:numId w:val="1"/>
        </w:numPr>
        <w:spacing w:after="60" w:line="268"/>
      </w:pPr>
      <w:r>
        <w:rPr>
          <w:b w:val="false"/>
          <w:bCs w:val="false"/>
          <w:i w:val="false"/>
          <w:iCs w:val="false"/>
          <w:caps w:val="false"/>
          <w:color w:val="1C1C24"/>
          <w:sz w:val="21"/>
          <w:szCs w:val="21"/>
        </w:rPr>
        <w:t xml:space="preserve">Instructor feedback returned within 72 hours, addressing form before content.</w:t>
      </w:r>
    </w:p>
    <w:p>
      <w:pPr>
        <w:pStyle w:val="Heading2"/>
        <w:spacing w:after="70" w:before="180"/>
      </w:pPr>
      <w:r>
        <w:rPr>
          <w:b/>
          <w:bCs/>
          <w:i w:val="false"/>
          <w:iCs w:val="false"/>
          <w:caps w:val="false"/>
          <w:color w:val="B01128"/>
          <w:sz w:val="22"/>
          <w:szCs w:val="22"/>
        </w:rPr>
        <w:t xml:space="preserve">Exit standard for the ten-week track</w:t>
      </w:r>
    </w:p>
    <w:p>
      <w:pPr>
        <w:spacing w:after="110" w:before="0" w:line="262"/>
      </w:pPr>
      <w:r>
        <w:rPr>
          <w:b w:val="false"/>
          <w:bCs w:val="false"/>
          <w:i w:val="false"/>
          <w:iCs w:val="false"/>
          <w:caps w:val="false"/>
          <w:color w:val="1C1C24"/>
          <w:sz w:val="21"/>
          <w:szCs w:val="21"/>
        </w:rPr>
        <w:t xml:space="preserve">On completion of all ten weeks, a learner is expected to sustain unscripted conversation on a familiar cultural topic for five minutes, deploying: causal connectives (-아/어서, -(으)니까), comparison and contrast (-보다, -처럼, -(으)ㄴ 반면에), noun modification (-(으)ㄴ/-는/-(으)ㄹ), conditions and obligations (-(으)면, -(으)려면, -아/어야 되다), appropriate honorific register with a superior, and reported speech (-다고 하다). This corresponds to the upper boundary of A2 and the operational entry point to B1.</w:t>
      </w:r>
    </w:p>
    <w:p>
      <w:pPr>
        <w:pStyle w:val="Heading2"/>
        <w:spacing w:after="70" w:before="180"/>
      </w:pPr>
      <w:r>
        <w:rPr>
          <w:b/>
          <w:bCs/>
          <w:i w:val="false"/>
          <w:iCs w:val="false"/>
          <w:caps w:val="false"/>
          <w:color w:val="B01128"/>
          <w:sz w:val="22"/>
          <w:szCs w:val="22"/>
        </w:rPr>
        <w:t xml:space="preserve">Instructor calibration</w:t>
      </w:r>
    </w:p>
    <w:p>
      <w:pPr>
        <w:spacing w:after="110" w:before="0" w:line="262"/>
      </w:pPr>
      <w:r>
        <w:rPr>
          <w:b w:val="false"/>
          <w:bCs w:val="false"/>
          <w:i w:val="false"/>
          <w:iCs w:val="false"/>
          <w:caps w:val="false"/>
          <w:color w:val="1C1C24"/>
          <w:sz w:val="21"/>
          <w:szCs w:val="21"/>
        </w:rPr>
        <w:t xml:space="preserve">Before delivery, every module deck must be checked against three conditions. A deck failing any one of them is returned for revision rather than taught:</w:t>
      </w:r>
    </w:p>
    <w:p>
      <w:pPr>
        <w:pStyle w:val="ListParagraph"/>
        <w:numPr>
          <w:ilvl w:val="0"/>
          <w:numId w:val="1"/>
        </w:numPr>
        <w:spacing w:after="60" w:line="268"/>
      </w:pPr>
      <w:r>
        <w:rPr>
          <w:b/>
          <w:bCs/>
          <w:i w:val="false"/>
          <w:iCs w:val="false"/>
          <w:caps w:val="false"/>
          <w:color w:val="1C1C24"/>
          <w:sz w:val="21"/>
          <w:szCs w:val="21"/>
        </w:rPr>
        <w:t xml:space="preserve">Traceability. </w:t>
      </w:r>
      <w:r>
        <w:rPr>
          <w:b w:val="false"/>
          <w:bCs w:val="false"/>
          <w:i w:val="false"/>
          <w:iCs w:val="false"/>
          <w:caps w:val="false"/>
          <w:color w:val="1C1C24"/>
          <w:sz w:val="21"/>
          <w:szCs w:val="21"/>
        </w:rPr>
        <w:t xml:space="preserve">Every grammar slide cites the textbook unit and page. No form appears that the textbook does not treat.</w:t>
      </w:r>
    </w:p>
    <w:p>
      <w:pPr>
        <w:pStyle w:val="ListParagraph"/>
        <w:numPr>
          <w:ilvl w:val="0"/>
          <w:numId w:val="1"/>
        </w:numPr>
        <w:spacing w:after="60" w:line="268"/>
      </w:pPr>
      <w:r>
        <w:rPr>
          <w:b/>
          <w:bCs/>
          <w:i w:val="false"/>
          <w:iCs w:val="false"/>
          <w:caps w:val="false"/>
          <w:color w:val="1C1C24"/>
          <w:sz w:val="21"/>
          <w:szCs w:val="21"/>
        </w:rPr>
        <w:t xml:space="preserve">Obligatoriness. </w:t>
      </w:r>
      <w:r>
        <w:rPr>
          <w:b w:val="false"/>
          <w:bCs w:val="false"/>
          <w:i w:val="false"/>
          <w:iCs w:val="false"/>
          <w:caps w:val="false"/>
          <w:color w:val="1C1C24"/>
          <w:sz w:val="21"/>
          <w:szCs w:val="21"/>
        </w:rPr>
        <w:t xml:space="preserve">The conversation questions cannot be answered naturally without the target structure. If a student can complete the stage in bare present-tense sentences, the questions are wrong.</w:t>
      </w:r>
    </w:p>
    <w:p>
      <w:pPr>
        <w:pStyle w:val="ListParagraph"/>
        <w:numPr>
          <w:ilvl w:val="0"/>
          <w:numId w:val="1"/>
        </w:numPr>
        <w:spacing w:after="60" w:line="268"/>
      </w:pPr>
      <w:r>
        <w:rPr>
          <w:b/>
          <w:bCs/>
          <w:i w:val="false"/>
          <w:iCs w:val="false"/>
          <w:caps w:val="false"/>
          <w:color w:val="1C1C24"/>
          <w:sz w:val="21"/>
          <w:szCs w:val="21"/>
        </w:rPr>
        <w:t xml:space="preserve">Cultural accuracy. </w:t>
      </w:r>
      <w:r>
        <w:rPr>
          <w:b w:val="false"/>
          <w:bCs w:val="false"/>
          <w:i w:val="false"/>
          <w:iCs w:val="false"/>
          <w:caps w:val="false"/>
          <w:color w:val="1C1C24"/>
          <w:sz w:val="21"/>
          <w:szCs w:val="21"/>
        </w:rPr>
        <w:t xml:space="preserve">Claims about contemporary Korean society are current and non-caricatured. Workplace and education modules in particular must reflect ongoing domestic debate, not a fixed stereotype.</w:t>
      </w:r>
    </w:p>
    <w:p>
      <w:pPr>
        <w:pBdr>
          <w:bottom w:val="single" w:color="D8D8DE" w:sz="6" w:space="4"/>
        </w:pBdr>
        <w:spacing w:after="120" w:before="120"/>
      </w:pPr>
      <w:r>
        <w:rPr>
          <w:b w:val="false"/>
          <w:bCs w:val="false"/>
          <w:i w:val="false"/>
          <w:iCs w:val="false"/>
          <w:caps w:val="false"/>
          <w:color w:val="1C1C24"/>
          <w:sz w:val="21"/>
          <w:szCs w:val="21"/>
        </w:rPr>
        <w:t xml:space="preserve"/>
      </w:r>
    </w:p>
    <w:p>
      <w:pPr>
        <w:spacing w:after="110" w:before="0" w:line="262"/>
      </w:pPr>
      <w:r>
        <w:rPr>
          <w:rFonts w:ascii="Malgun Gothic" w:cs="Malgun Gothic" w:eastAsia="Malgun Gothic" w:hAnsi="Malgun Gothic"/>
          <w:b w:val="false"/>
          <w:bCs w:val="false"/>
          <w:i/>
          <w:iCs/>
          <w:caps w:val="false"/>
          <w:color w:val="5A5A66"/>
          <w:sz w:val="18"/>
          <w:szCs w:val="18"/>
        </w:rPr>
        <w:t xml:space="preserve">Prepared for academiaseul.com · Department of Language Education. Weeks 03 and 09 by 홍미영 (Abby), integrated. To be read alongside Korean Grammar in Use: Beginning to Early Intermediate.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2026-08-12T23:02:54.042Z</dcterms:created>
  <dcterms:modified xsi:type="dcterms:W3CDTF">2026-08-12T23:02:54.043Z</dcterms:modified>
</cp:coreProperties>
</file>

<file path=docProps/custom.xml><?xml version="1.0" encoding="utf-8"?>
<Properties xmlns="http://schemas.openxmlformats.org/officeDocument/2006/custom-properties" xmlns:vt="http://schemas.openxmlformats.org/officeDocument/2006/docPropsVTypes"/>
</file>