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00BFB2"/>
          <w:sz w:val="22"/>
          <w:szCs w:val="22"/>
        </w:rPr>
        <w:t xml:space="preserve">MACROGEN IBEROAMÉRICA</w:t>
      </w:r>
    </w:p>
    <w:p>
      <w:pPr>
        <w:spacing w:before="100"/>
        <w:jc w:val="center"/>
      </w:pPr>
      <w:r>
        <w:rPr>
          <w:color w:val="6B7280"/>
          <w:sz w:val="18"/>
          <w:szCs w:val="18"/>
        </w:rPr>
        <w:t xml:space="preserve">ESPAÑA  ·  PORTUGAL  ·  CHILE  ·  PERÚ</w:t>
      </w:r>
    </w:p>
    <w:p>
      <w:pPr>
        <w:spacing w:after="200" w:before="700"/>
        <w:jc w:val="center"/>
      </w:pPr>
      <w:r>
        <w:rPr>
          <w:b/>
          <w:bCs/>
          <w:color w:val="0A1F4F"/>
          <w:sz w:val="60"/>
          <w:szCs w:val="60"/>
        </w:rPr>
        <w:t xml:space="preserve">Plan Estratégico</w:t>
      </w:r>
    </w:p>
    <w:p>
      <w:pPr>
        <w:spacing w:after="500"/>
        <w:jc w:val="center"/>
      </w:pPr>
      <w:r>
        <w:rPr>
          <w:b/>
          <w:bCs/>
          <w:color w:val="00BFB2"/>
          <w:sz w:val="44"/>
          <w:szCs w:val="44"/>
        </w:rPr>
        <w:t xml:space="preserve">Google Ads + SEO</w:t>
      </w:r>
    </w:p>
    <w:p>
      <w:pPr>
        <w:spacing w:after="100"/>
        <w:jc w:val="center"/>
      </w:pPr>
      <w:r>
        <w:rPr>
          <w:i/>
          <w:iCs/>
          <w:color w:val="334155"/>
          <w:sz w:val="22"/>
          <w:szCs w:val="22"/>
        </w:rPr>
        <w:t xml:space="preserve">Por qué el sitio no recibe tráfico orgánico, qué corregimos hoy,</w:t>
      </w:r>
    </w:p>
    <w:p>
      <w:pPr>
        <w:spacing w:after="800"/>
        <w:jc w:val="center"/>
      </w:pPr>
      <w:r>
        <w:rPr>
          <w:i/>
          <w:iCs/>
          <w:color w:val="334155"/>
          <w:sz w:val="22"/>
          <w:szCs w:val="22"/>
        </w:rPr>
        <w:t xml:space="preserve">y el plan de captación pagada + orgánica para los próximos 90 días.</w:t>
      </w:r>
    </w:p>
    <w:p>
      <w:pPr>
        <w:spacing w:before="1400"/>
        <w:jc w:val="center"/>
      </w:pPr>
      <w:r>
        <w:rPr>
          <w:b/>
          <w:bCs/>
          <w:color w:val="0A1F4F"/>
          <w:sz w:val="20"/>
          <w:szCs w:val="20"/>
        </w:rPr>
        <w:t xml:space="preserve">Preparado para: VP Marketing, IT y Sales · Macrogen Iberoamérica</w:t>
      </w:r>
    </w:p>
    <w:p>
      <w:pPr>
        <w:spacing w:after="100"/>
        <w:jc w:val="center"/>
      </w:pPr>
      <w:r>
        <w:rPr>
          <w:color w:val="6B7280"/>
          <w:sz w:val="20"/>
          <w:szCs w:val="20"/>
        </w:rPr>
        <w:t xml:space="preserve">12 de agosto de 2026</w:t>
      </w:r>
    </w:p>
    <w:p>
      <w:r>
        <w:br w:type="page"/>
      </w:r>
    </w:p>
    <w:p>
      <w:pPr>
        <w:pStyle w:val="Heading1"/>
        <w:pBdr>
          <w:bottom w:val="single" w:color="00BFB2" w:sz="8" w:space="4"/>
        </w:pBdr>
        <w:spacing w:after="200" w:before="400"/>
      </w:pPr>
      <w:r>
        <w:t xml:space="preserve">Resumen ejecutivo</w:t>
      </w:r>
    </w:p>
    <w:p>
      <w:pPr>
        <w:spacing w:after="160" w:line="276"/>
      </w:pPr>
      <w:r>
        <w:rPr>
          <w:sz w:val="22"/>
          <w:szCs w:val="22"/>
        </w:rPr>
        <w:t xml:space="preserve">Este documento responde a tres preguntas que planteaste: cómo funciona Google Ads, cuál es el plan estratégico para usarlo, y cómo mejoramos el SEO. Se apoya en dos documentos que ya existían — el plan detallado de Google Ads + landing "NGS España" que subiste, y la Auditoría Estratégica 360° de mayo 2026 — y agrega lo que faltaba: una auditoría técnica del estado actual real del sitio, correcciones aplicadas directamente hoy, y el marco de cómo funciona la subasta de Google Ads.</w:t>
      </w:r>
    </w:p>
    <w:p>
      <w:pPr>
        <w:pStyle w:val="Heading2"/>
        <w:spacing w:after="140" w:before="300"/>
      </w:pPr>
      <w:r>
        <w:t xml:space="preserve">El diagnóstico, en una frase</w:t>
      </w:r>
    </w:p>
    <w:p>
      <w:pPr>
        <w:spacing w:after="160" w:line="276"/>
      </w:pPr>
      <w:r>
        <w:rPr>
          <w:sz w:val="22"/>
          <w:szCs w:val="22"/>
        </w:rPr>
        <w:t xml:space="preserve">El sitio tiene una base técnica de SEO sorprendentemente sólida (schema.org, Open Graph, sitemap, robots.txt ya existían) pero el motor de señales regionales estaba roto — el hreflang declaraba 4 variantes de país que en realidad eran la misma URL exacta, y solo 5 de las 39 preguntas del FAQ estaban marcadas para featured snippets. Sumado a que nunca se confirmó la verificación de Google Search Console, esto explica buena parte de por qué Google no muestra el sitio para las búsquedas que importan.</w:t>
      </w:r>
    </w:p>
    <w:p>
      <w:pPr>
        <w:pStyle w:val="Heading2"/>
        <w:spacing w:after="140" w:before="300"/>
      </w:pPr>
      <w:r>
        <w:t xml:space="preserve">Qué corregimos hoy directamente en el código</w:t>
      </w:r>
    </w:p>
    <w:p>
      <w:pPr>
        <w:pStyle w:val="ListParagraph"/>
        <w:numPr>
          <w:ilvl w:val="0"/>
          <w:numId w:val="1"/>
        </w:numPr>
        <w:spacing w:after="90" w:line="264"/>
      </w:pPr>
      <w:r>
        <w:rPr>
          <w:b/>
          <w:bCs/>
          <w:color w:val="0A1F4F"/>
          <w:sz w:val="22"/>
          <w:szCs w:val="22"/>
        </w:rPr>
        <w:t xml:space="preserve">Hreflang roto → corregido. </w:t>
      </w:r>
      <w:r>
        <w:rPr>
          <w:sz w:val="22"/>
          <w:szCs w:val="22"/>
        </w:rPr>
        <w:t xml:space="preserve">Las 4 etiquetas (es-ES, es-CL, es-PE, x-default) apuntaban todas a la misma URL exacta — el error más citado en las guías de hreflang, porque le dice a Google que hay 4 versiones regionales cuando en realidad hay una sola. Ahora declara una única versión en español neutro ("es") + x-default, honesto con lo que existe hoy.</w:t>
      </w:r>
    </w:p>
    <w:p>
      <w:pPr>
        <w:pStyle w:val="ListParagraph"/>
        <w:numPr>
          <w:ilvl w:val="0"/>
          <w:numId w:val="1"/>
        </w:numPr>
        <w:spacing w:after="90" w:line="264"/>
      </w:pPr>
      <w:r>
        <w:rPr>
          <w:b/>
          <w:bCs/>
          <w:color w:val="0A1F4F"/>
          <w:sz w:val="22"/>
          <w:szCs w:val="22"/>
        </w:rPr>
        <w:t xml:space="preserve">Idioma del sitio mal declarado → corregido en 37 páginas. </w:t>
      </w:r>
      <w:r>
        <w:rPr>
          <w:sz w:val="22"/>
          <w:szCs w:val="22"/>
        </w:rPr>
        <w:t xml:space="preserve">Todo el sitio declaraba lang="es-CL" (español de Chile), incluso para visitantes de España — contradice la propia estrategia de "español neutro multipaís" del audit de mayo. Cambiado a lang="es" en todas las páginas.</w:t>
      </w:r>
    </w:p>
    <w:p>
      <w:pPr>
        <w:pStyle w:val="ListParagraph"/>
        <w:numPr>
          <w:ilvl w:val="0"/>
          <w:numId w:val="1"/>
        </w:numPr>
        <w:spacing w:after="90" w:line="264"/>
      </w:pPr>
      <w:r>
        <w:rPr>
          <w:b/>
          <w:bCs/>
          <w:color w:val="0A1F4F"/>
          <w:sz w:val="22"/>
          <w:szCs w:val="22"/>
        </w:rPr>
        <w:t xml:space="preserve">Schema FAQPage incompleto y desalineado → regenerado, de 5 a 39 preguntas. </w:t>
      </w:r>
      <w:r>
        <w:rPr>
          <w:sz w:val="22"/>
          <w:szCs w:val="22"/>
        </w:rPr>
        <w:t xml:space="preserve">El structured data de faq.html no solo cubría 5 de 39 preguntas — esas 5 ni siquiera coincidían con el texto visible de la página. Lo regeneré extrayendo las 39 preguntas y respuestas reales del HTML, lo que da mucha más superficie para featured snippets.</w:t>
      </w:r>
    </w:p>
    <w:p>
      <w:pPr>
        <w:pStyle w:val="ListParagraph"/>
        <w:numPr>
          <w:ilvl w:val="0"/>
          <w:numId w:val="1"/>
        </w:numPr>
        <w:spacing w:after="90" w:line="264"/>
      </w:pPr>
      <w:r>
        <w:rPr>
          <w:b/>
          <w:bCs/>
          <w:color w:val="0A1F4F"/>
          <w:sz w:val="22"/>
          <w:szCs w:val="22"/>
        </w:rPr>
        <w:t xml:space="preserve">Documentos internos expuestos públicamente → asegurados. </w:t>
      </w:r>
      <w:r>
        <w:rPr>
          <w:sz w:val="22"/>
          <w:szCs w:val="22"/>
        </w:rPr>
        <w:t xml:space="preserve">PROJECT_LOG.html y, más grave, la propia Auditoría Estratégica 360° (Auditoria_Macrogen_Iberoamerica.html) estaban en la raíz del repo sin ninguna protección: publicados en macrogen-es.com igual que cualquier página de servicio, sin estar enlazados pero accesibles por URL directa. Agregué .vercelignore (los excluye del deploy) + Disallow en robots.txt como segunda capa.</w:t>
      </w:r>
    </w:p>
    <w:p>
      <w:pPr>
        <w:pBdr>
          <w:left w:val="single" w:color="E0004D" w:sz="18" w:space="8"/>
        </w:pBdr>
        <w:shd w:fill="FDECEF" w:val="clear"/>
        <w:spacing w:after="200" w:before="80"/>
        <w:ind w:left="100"/>
      </w:pPr>
      <w:r>
        <w:rPr>
          <w:b/>
          <w:bCs/>
          <w:color w:val="E0004D"/>
          <w:sz w:val="20"/>
          <w:szCs w:val="20"/>
        </w:rPr>
        <w:t xml:space="preserve">⚠ </w:t>
      </w:r>
      <w:r>
        <w:rPr>
          <w:color w:val="334155"/>
          <w:sz w:val="20"/>
          <w:szCs w:val="20"/>
        </w:rPr>
        <w:t xml:space="preserve">Detalle técnico a resolver tú: al aplicar esta última corrección, un comando de git quedó colgado y dejó un archivo .git/index.lock en la carpeta Macrogen-es que no pude borrar por permisos del entorno. Bórralo manualmente (0 bytes, seguro) antes de tu próximo commit en GitHub Desktop.</w:t>
      </w:r>
    </w:p>
    <w:p>
      <w:pPr>
        <w:pStyle w:val="Heading2"/>
        <w:spacing w:after="140" w:before="300"/>
      </w:pPr>
      <w:r>
        <w:t xml:space="preserve">Qué sigue siendo prioridad — y requiere tu acción</w:t>
      </w:r>
    </w:p>
    <w:p>
      <w:pPr>
        <w:pStyle w:val="ListParagraph"/>
        <w:numPr>
          <w:ilvl w:val="0"/>
          <w:numId w:val="1"/>
        </w:numPr>
        <w:spacing w:after="90" w:line="264"/>
      </w:pPr>
      <w:r>
        <w:rPr>
          <w:b/>
          <w:bCs/>
          <w:color w:val="0A1F4F"/>
          <w:sz w:val="22"/>
          <w:szCs w:val="22"/>
        </w:rPr>
        <w:t xml:space="preserve">Verificar Google Search Console + Bing Webmaster Tools. </w:t>
      </w:r>
      <w:r>
        <w:rPr>
          <w:sz w:val="22"/>
          <w:szCs w:val="22"/>
        </w:rPr>
        <w:t xml:space="preserve">No encontré ninguna etiqueta de verificación en el sitio. Sin esto es imposible ver impresiones, posición promedio, CTR real ni errores de cobertura — no se puede diagnosticar con precisión "por qué no llegan visitas" sin este dato. Es la acción #1, y solo la puedes hacer tú (requiere acceso a la cuenta de Google y/o al DNS).</w:t>
      </w:r>
    </w:p>
    <w:p>
      <w:pPr>
        <w:pStyle w:val="ListParagraph"/>
        <w:numPr>
          <w:ilvl w:val="0"/>
          <w:numId w:val="1"/>
        </w:numPr>
        <w:spacing w:after="90" w:line="264"/>
      </w:pPr>
      <w:r>
        <w:rPr>
          <w:b/>
          <w:bCs/>
          <w:color w:val="0A1F4F"/>
          <w:sz w:val="22"/>
          <w:szCs w:val="22"/>
        </w:rPr>
        <w:t xml:space="preserve">Publicar la landing "NGS España" (y sus equivalentes para Chile/Perú). </w:t>
      </w:r>
      <w:r>
        <w:rPr>
          <w:sz w:val="22"/>
          <w:szCs w:val="22"/>
        </w:rPr>
        <w:t xml:space="preserve">El documento que subiste ya la especifica en detalle: wireframe, copy, checklist técnico. Es el prerequisito real para que el hreflang multipaís vuelva a tener sentido, y para que las campañas de Google Ads de ese mismo documento tengan una landing relevante — mejor Quality Score, menor CPC.</w:t>
      </w:r>
    </w:p>
    <w:p>
      <w:r>
        <w:br w:type="page"/>
      </w:r>
    </w:p>
    <w:p>
      <w:pPr>
        <w:pStyle w:val="Heading1"/>
        <w:pBdr>
          <w:bottom w:val="single" w:color="00BFB2" w:sz="8" w:space="4"/>
        </w:pBdr>
        <w:spacing w:after="200" w:before="400"/>
      </w:pPr>
      <w:r>
        <w:t xml:space="preserve">Parte 1 — Cómo funciona Google Ads</w:t>
      </w:r>
    </w:p>
    <w:p>
      <w:pPr>
        <w:spacing w:after="160" w:line="276"/>
      </w:pPr>
      <w:r>
        <w:rPr>
          <w:sz w:val="22"/>
          <w:szCs w:val="22"/>
        </w:rPr>
        <w:t xml:space="preserve">Antes de comprometer presupuesto, esto es lo que determina cuánto pagas y si tu anuncio aparece. No es solo "quien paga más gana" — es un sistema diseñado para premiar relevancia.</w:t>
      </w:r>
    </w:p>
    <w:p>
      <w:pPr>
        <w:pStyle w:val="Heading2"/>
        <w:spacing w:after="140" w:before="300"/>
      </w:pPr>
      <w:r>
        <w:t xml:space="preserve">1.1 La subasta: qué es el Ad Rank</w:t>
      </w:r>
    </w:p>
    <w:p>
      <w:pPr>
        <w:spacing w:after="160" w:line="276"/>
      </w:pPr>
      <w:r>
        <w:rPr>
          <w:sz w:val="22"/>
          <w:szCs w:val="22"/>
        </w:rPr>
        <w:t xml:space="preserve">Cada vez que alguien busca algo en Google, si hay anunciantes pujando por esa palabra clave, se ejecuta una subasta que se resuelve en 100–300 milisegundos. No gana el que puja más alto — gana el que tiene el mejor Ad Rank, que combina cuatro factores:</w:t>
      </w:r>
    </w:p>
    <w:p>
      <w:pPr>
        <w:pStyle w:val="ListParagraph"/>
        <w:numPr>
          <w:ilvl w:val="0"/>
          <w:numId w:val="1"/>
        </w:numPr>
        <w:spacing w:after="90" w:line="264"/>
      </w:pPr>
      <w:r>
        <w:rPr>
          <w:sz w:val="22"/>
          <w:szCs w:val="22"/>
        </w:rPr>
        <w:t xml:space="preserve">Tu puja máxima (Max CPC) — cuánto estás dispuesto a pagar por un clic.</w:t>
      </w:r>
    </w:p>
    <w:p>
      <w:pPr>
        <w:pStyle w:val="ListParagraph"/>
        <w:numPr>
          <w:ilvl w:val="0"/>
          <w:numId w:val="1"/>
        </w:numPr>
        <w:spacing w:after="90" w:line="264"/>
      </w:pPr>
      <w:r>
        <w:rPr>
          <w:sz w:val="22"/>
          <w:szCs w:val="22"/>
        </w:rPr>
        <w:t xml:space="preserve">Quality Score — la nota de relevancia de tu anuncio, palabra clave y landing page (ver 1.2).</w:t>
      </w:r>
    </w:p>
    <w:p>
      <w:pPr>
        <w:pStyle w:val="ListParagraph"/>
        <w:numPr>
          <w:ilvl w:val="0"/>
          <w:numId w:val="1"/>
        </w:numPr>
        <w:spacing w:after="90" w:line="264"/>
      </w:pPr>
      <w:r>
        <w:rPr>
          <w:sz w:val="22"/>
          <w:szCs w:val="22"/>
        </w:rPr>
        <w:t xml:space="preserve">El impacto esperado de tus extensiones — sitelinks, extensión de llamada, formulario de leads, etc.</w:t>
      </w:r>
    </w:p>
    <w:p>
      <w:pPr>
        <w:pStyle w:val="ListParagraph"/>
        <w:numPr>
          <w:ilvl w:val="0"/>
          <w:numId w:val="1"/>
        </w:numPr>
        <w:spacing w:after="90" w:line="264"/>
      </w:pPr>
      <w:r>
        <w:rPr>
          <w:sz w:val="22"/>
          <w:szCs w:val="22"/>
        </w:rPr>
        <w:t xml:space="preserve">El contexto de la búsqueda en ese momento — dispositivo, ubicación, hora, intención de la sesión.</w:t>
      </w:r>
    </w:p>
    <w:p>
      <w:pPr>
        <w:pBdr>
          <w:left w:val="single" w:color="00BFB2" w:sz="18" w:space="8"/>
        </w:pBdr>
        <w:shd w:fill="EAF6FB" w:val="clear"/>
        <w:spacing w:after="200" w:before="80"/>
        <w:ind w:left="100"/>
      </w:pPr>
      <w:r>
        <w:rPr>
          <w:i/>
          <w:iCs/>
          <w:color w:val="334155"/>
          <w:sz w:val="20"/>
          <w:szCs w:val="20"/>
        </w:rPr>
        <w:t xml:space="preserve">En la práctica: un competidor con un Quality Score alto puede pagar menos por clic y aparecer más arriba que uno que puja el doble pero tiene una landing page pobre o un anuncio genérico.</w:t>
      </w:r>
    </w:p>
    <w:p>
      <w:pPr>
        <w:pStyle w:val="Heading2"/>
        <w:spacing w:after="140" w:before="300"/>
      </w:pPr>
      <w:r>
        <w:t xml:space="preserve">1.2 Quality Score — los tres componentes</w:t>
      </w:r>
    </w:p>
    <w:p>
      <w:pPr>
        <w:spacing w:after="160" w:line="276"/>
      </w:pPr>
      <w:r>
        <w:rPr>
          <w:sz w:val="22"/>
          <w:szCs w:val="22"/>
        </w:rPr>
        <w:t xml:space="preserve">Es una nota de 1 a 10 por palabra clave. Google la calcula a partir de:</w:t>
      </w:r>
    </w:p>
    <w:p>
      <w:pPr>
        <w:pStyle w:val="ListParagraph"/>
        <w:numPr>
          <w:ilvl w:val="0"/>
          <w:numId w:val="1"/>
        </w:numPr>
        <w:spacing w:after="90" w:line="264"/>
      </w:pPr>
      <w:r>
        <w:rPr>
          <w:b/>
          <w:bCs/>
          <w:color w:val="0A1F4F"/>
          <w:sz w:val="22"/>
          <w:szCs w:val="22"/>
        </w:rPr>
        <w:t xml:space="preserve">CTR esperado (Expected CTR): </w:t>
      </w:r>
      <w:r>
        <w:rPr>
          <w:sz w:val="22"/>
          <w:szCs w:val="22"/>
        </w:rPr>
        <w:t xml:space="preserve">qué tan probable es que la gente haga clic en tu anuncio para esa palabra clave específica, comparado con anunciantes similares.</w:t>
      </w:r>
    </w:p>
    <w:p>
      <w:pPr>
        <w:pStyle w:val="ListParagraph"/>
        <w:numPr>
          <w:ilvl w:val="0"/>
          <w:numId w:val="1"/>
        </w:numPr>
        <w:spacing w:after="90" w:line="264"/>
      </w:pPr>
      <w:r>
        <w:rPr>
          <w:b/>
          <w:bCs/>
          <w:color w:val="0A1F4F"/>
          <w:sz w:val="22"/>
          <w:szCs w:val="22"/>
        </w:rPr>
        <w:t xml:space="preserve">Relevancia del anuncio: </w:t>
      </w:r>
      <w:r>
        <w:rPr>
          <w:sz w:val="22"/>
          <w:szCs w:val="22"/>
        </w:rPr>
        <w:t xml:space="preserve">qué tan bien tu anuncio (título + descripción) responde exactamente a la intención de esa palabra clave — no genérico, sino específico.</w:t>
      </w:r>
    </w:p>
    <w:p>
      <w:pPr>
        <w:pStyle w:val="ListParagraph"/>
        <w:numPr>
          <w:ilvl w:val="0"/>
          <w:numId w:val="1"/>
        </w:numPr>
        <w:spacing w:after="90" w:line="264"/>
      </w:pPr>
      <w:r>
        <w:rPr>
          <w:b/>
          <w:bCs/>
          <w:color w:val="0A1F4F"/>
          <w:sz w:val="22"/>
          <w:szCs w:val="22"/>
        </w:rPr>
        <w:t xml:space="preserve">Experiencia de la landing page: </w:t>
      </w:r>
      <w:r>
        <w:rPr>
          <w:sz w:val="22"/>
          <w:szCs w:val="22"/>
        </w:rPr>
        <w:t xml:space="preserve">velocidad de carga, relevancia del contenido con lo que prometiste en el anuncio, y qué tan fácil es completar la acción (cotizar, contactar).</w:t>
      </w:r>
    </w:p>
    <w:p>
      <w:pPr>
        <w:pBdr>
          <w:left w:val="single" w:color="00BFB2" w:sz="18" w:space="8"/>
        </w:pBdr>
        <w:shd w:fill="EAF6FB" w:val="clear"/>
        <w:spacing w:after="200" w:before="80"/>
        <w:ind w:left="100"/>
      </w:pPr>
      <w:r>
        <w:rPr>
          <w:i/>
          <w:iCs/>
          <w:color w:val="334155"/>
          <w:sz w:val="20"/>
          <w:szCs w:val="20"/>
        </w:rPr>
        <w:t xml:space="preserve">Google aclara que el número visible de Quality Score es un diagnóstico y no se usa literalmente en la subasta — pero los tres componentes que lo forman (CTR esperado, relevancia, landing page) sí son parte real del cálculo de Ad Rank. El número te dice dónde estás parado aunque no sea la variable exacta que se multiplica.</w:t>
      </w:r>
    </w:p>
    <w:p>
      <w:pPr>
        <w:pStyle w:val="Heading2"/>
        <w:spacing w:after="140" w:before="300"/>
      </w:pPr>
      <w:r>
        <w:t xml:space="preserve">1.3 Lo que realmente pagas</w:t>
      </w:r>
    </w:p>
    <w:p>
      <w:pPr>
        <w:spacing w:after="160" w:line="276"/>
      </w:pPr>
      <w:r>
        <w:rPr>
          <w:sz w:val="22"/>
          <w:szCs w:val="22"/>
        </w:rPr>
        <w:t xml:space="preserve">Google usa un modelo de "segundo precio": no pagas tu puja máxima, pagas justo lo necesario para superar al anunciante inmediatamente debajo tuyo en el ranking. La fórmula aproximada es:</w:t>
      </w:r>
    </w:p>
    <w:p>
      <w:pPr>
        <w:shd w:fill="F4F6FB" w:val="clear"/>
        <w:spacing w:after="200" w:before="100"/>
        <w:jc w:val="center"/>
      </w:pPr>
      <w:r>
        <w:rPr>
          <w:b/>
          <w:bCs/>
          <w:color w:val="0A1F4F"/>
          <w:sz w:val="21"/>
          <w:szCs w:val="21"/>
        </w:rPr>
        <w:t xml:space="preserve">CPC real  =  (Ad Rank del competidor de abajo ÷ tu Quality Score)  +  $0,01</w:t>
      </w:r>
    </w:p>
    <w:p>
      <w:pPr>
        <w:spacing w:after="160" w:line="276"/>
      </w:pPr>
      <w:r>
        <w:rPr>
          <w:sz w:val="22"/>
          <w:szCs w:val="22"/>
        </w:rPr>
        <w:t xml:space="preserve">El efecto práctico: cada punto de Quality Score es un descuento compuesto en el CPC a la misma posición. Con Quality Score 8 el descuento ronda el 37% frente a la base (QS 5); con QS 4 se paga cerca de un 25% más caro. Por eso el plan de la Parte 2 prioriza tener la landing correcta antes de encender el gasto — no es un detalle estético, es lo que determina el costo por clic.</w:t>
      </w:r>
    </w:p>
    <w:p>
      <w:pPr>
        <w:pStyle w:val="Heading2"/>
        <w:spacing w:after="140" w:before="300"/>
      </w:pPr>
      <w:r>
        <w:t xml:space="preserve">1.4 Tipos de campaña — cuál usar y cuál evitar</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00"/>
      </w:tblGrid>
      <w:tr>
        <w:trPr>
          <w:tblHeader/>
        </w:trPr>
        <w:tc>
          <w:tcPr>
            <w:tcW w:type="dxa" w:w="2600"/>
            <w:shd w:fill="0A1F4F" w:val="clear"/>
            <w:tcMar>
              <w:top w:type="dxa" w:w="80"/>
              <w:left w:type="dxa" w:w="100"/>
              <w:bottom w:type="dxa" w:w="80"/>
              <w:right w:type="dxa" w:w="100"/>
            </w:tcMar>
          </w:tcPr>
          <w:p>
            <w:r>
              <w:rPr>
                <w:b/>
                <w:bCs/>
                <w:color w:val="FFFFFF"/>
                <w:sz w:val="19"/>
                <w:szCs w:val="19"/>
              </w:rPr>
              <w:t xml:space="preserve">Tipo de campaña</w:t>
            </w:r>
          </w:p>
        </w:tc>
        <w:tc>
          <w:tcPr>
            <w:tcW w:type="dxa" w:w="3600"/>
            <w:shd w:fill="0A1F4F" w:val="clear"/>
            <w:tcMar>
              <w:top w:type="dxa" w:w="80"/>
              <w:left w:type="dxa" w:w="100"/>
              <w:bottom w:type="dxa" w:w="80"/>
              <w:right w:type="dxa" w:w="100"/>
            </w:tcMar>
          </w:tcPr>
          <w:p>
            <w:r>
              <w:rPr>
                <w:b/>
                <w:bCs/>
                <w:color w:val="FFFFFF"/>
                <w:sz w:val="19"/>
                <w:szCs w:val="19"/>
              </w:rPr>
              <w:t xml:space="preserve">Qué hace</w:t>
            </w:r>
          </w:p>
        </w:tc>
        <w:tc>
          <w:tcPr>
            <w:tcW w:type="dxa" w:w="3600"/>
            <w:shd w:fill="0A1F4F" w:val="clear"/>
            <w:tcMar>
              <w:top w:type="dxa" w:w="80"/>
              <w:left w:type="dxa" w:w="100"/>
              <w:bottom w:type="dxa" w:w="80"/>
              <w:right w:type="dxa" w:w="100"/>
            </w:tcMar>
          </w:tcPr>
          <w:p>
            <w:r>
              <w:rPr>
                <w:b/>
                <w:bCs/>
                <w:color w:val="FFFFFF"/>
                <w:sz w:val="19"/>
                <w:szCs w:val="19"/>
              </w:rPr>
              <w:t xml:space="preserve">Recomendación para Macrogen</w:t>
            </w:r>
          </w:p>
        </w:tc>
      </w:tr>
      <w:tr>
        <w:tc>
          <w:tcPr>
            <w:tcW w:type="dxa" w:w="2600"/>
            <w:tcMar>
              <w:top w:type="dxa" w:w="80"/>
              <w:left w:type="dxa" w:w="100"/>
              <w:bottom w:type="dxa" w:w="80"/>
              <w:right w:type="dxa" w:w="100"/>
            </w:tcMar>
          </w:tcPr>
          <w:p>
            <w:r>
              <w:rPr>
                <w:color w:val="1a1a1a"/>
                <w:sz w:val="19"/>
                <w:szCs w:val="19"/>
              </w:rPr>
              <w:t xml:space="preserve">Search (Búsqueda)</w:t>
            </w:r>
          </w:p>
        </w:tc>
        <w:tc>
          <w:tcPr>
            <w:tcW w:type="dxa" w:w="3600"/>
            <w:tcMar>
              <w:top w:type="dxa" w:w="80"/>
              <w:left w:type="dxa" w:w="100"/>
              <w:bottom w:type="dxa" w:w="80"/>
              <w:right w:type="dxa" w:w="100"/>
            </w:tcMar>
          </w:tcPr>
          <w:p>
            <w:r>
              <w:rPr>
                <w:color w:val="1a1a1a"/>
                <w:sz w:val="19"/>
                <w:szCs w:val="19"/>
              </w:rPr>
              <w:t xml:space="preserve">Anuncios de texto sobre palabras clave que la gente escribe activamente.</w:t>
            </w:r>
          </w:p>
        </w:tc>
        <w:tc>
          <w:tcPr>
            <w:tcW w:type="dxa" w:w="3600"/>
            <w:tcMar>
              <w:top w:type="dxa" w:w="80"/>
              <w:left w:type="dxa" w:w="100"/>
              <w:bottom w:type="dxa" w:w="80"/>
              <w:right w:type="dxa" w:w="100"/>
            </w:tcMar>
          </w:tcPr>
          <w:p>
            <w:r>
              <w:rPr>
                <w:color w:val="1a1a1a"/>
                <w:sz w:val="19"/>
                <w:szCs w:val="19"/>
              </w:rPr>
              <w:t xml:space="preserve">Motor principal. Control total de keywords, negativos y landing por grupo de anuncios — ver Parte 2.</w:t>
            </w:r>
          </w:p>
        </w:tc>
      </w:tr>
      <w:tr>
        <w:tc>
          <w:tcPr>
            <w:tcW w:type="dxa" w:w="2600"/>
            <w:tcMar>
              <w:top w:type="dxa" w:w="80"/>
              <w:left w:type="dxa" w:w="100"/>
              <w:bottom w:type="dxa" w:w="80"/>
              <w:right w:type="dxa" w:w="100"/>
            </w:tcMar>
          </w:tcPr>
          <w:p>
            <w:r>
              <w:rPr>
                <w:color w:val="1a1a1a"/>
                <w:sz w:val="19"/>
                <w:szCs w:val="19"/>
              </w:rPr>
              <w:t xml:space="preserve">Performance Max</w:t>
            </w:r>
          </w:p>
        </w:tc>
        <w:tc>
          <w:tcPr>
            <w:tcW w:type="dxa" w:w="3600"/>
            <w:tcMar>
              <w:top w:type="dxa" w:w="80"/>
              <w:left w:type="dxa" w:w="100"/>
              <w:bottom w:type="dxa" w:w="80"/>
              <w:right w:type="dxa" w:w="100"/>
            </w:tcMar>
          </w:tcPr>
          <w:p>
            <w:r>
              <w:rPr>
                <w:color w:val="1a1a1a"/>
                <w:sz w:val="19"/>
                <w:szCs w:val="19"/>
              </w:rPr>
              <w:t xml:space="preserve">Una sola campaña con IA que distribuye el anuncio en toda la red de Google (Search, Display, YouTube, Gmail, Maps) optimizando a un objetivo.</w:t>
            </w:r>
          </w:p>
        </w:tc>
        <w:tc>
          <w:tcPr>
            <w:tcW w:type="dxa" w:w="3600"/>
            <w:tcMar>
              <w:top w:type="dxa" w:w="80"/>
              <w:left w:type="dxa" w:w="100"/>
              <w:bottom w:type="dxa" w:w="80"/>
              <w:right w:type="dxa" w:w="100"/>
            </w:tcMar>
          </w:tcPr>
          <w:p>
            <w:r>
              <w:rPr>
                <w:color w:val="1a1a1a"/>
                <w:sz w:val="19"/>
                <w:szCs w:val="19"/>
              </w:rPr>
              <w:t xml:space="preserve">Complemento, no reemplazo. Necesita 30–50 conversiones/mes para aprender bien; actívala recién en el mes 2–3, con el mismo objetivo de conversión (formulario de cotización) y nunca antes que Search esté estable.</w:t>
            </w:r>
          </w:p>
        </w:tc>
      </w:tr>
      <w:tr>
        <w:tc>
          <w:tcPr>
            <w:tcW w:type="dxa" w:w="2600"/>
            <w:tcMar>
              <w:top w:type="dxa" w:w="80"/>
              <w:left w:type="dxa" w:w="100"/>
              <w:bottom w:type="dxa" w:w="80"/>
              <w:right w:type="dxa" w:w="100"/>
            </w:tcMar>
          </w:tcPr>
          <w:p>
            <w:r>
              <w:rPr>
                <w:color w:val="1a1a1a"/>
                <w:sz w:val="19"/>
                <w:szCs w:val="19"/>
              </w:rPr>
              <w:t xml:space="preserve">Display / Demand Gen</w:t>
            </w:r>
          </w:p>
        </w:tc>
        <w:tc>
          <w:tcPr>
            <w:tcW w:type="dxa" w:w="3600"/>
            <w:tcMar>
              <w:top w:type="dxa" w:w="80"/>
              <w:left w:type="dxa" w:w="100"/>
              <w:bottom w:type="dxa" w:w="80"/>
              <w:right w:type="dxa" w:w="100"/>
            </w:tcMar>
          </w:tcPr>
          <w:p>
            <w:r>
              <w:rPr>
                <w:color w:val="1a1a1a"/>
                <w:sz w:val="19"/>
                <w:szCs w:val="19"/>
              </w:rPr>
              <w:t xml:space="preserve">Banners y anuncios visuales en sitios de la red de Google.</w:t>
            </w:r>
          </w:p>
        </w:tc>
        <w:tc>
          <w:tcPr>
            <w:tcW w:type="dxa" w:w="3600"/>
            <w:tcMar>
              <w:top w:type="dxa" w:w="80"/>
              <w:left w:type="dxa" w:w="100"/>
              <w:bottom w:type="dxa" w:w="80"/>
              <w:right w:type="dxa" w:w="100"/>
            </w:tcMar>
          </w:tcPr>
          <w:p>
            <w:r>
              <w:rPr>
                <w:color w:val="1a1a1a"/>
                <w:sz w:val="19"/>
                <w:szCs w:val="19"/>
              </w:rPr>
              <w:t xml:space="preserve">Solo para remarketing (gente que ya visitó el sitio), no como canal de captación inicial — el CTR y la intención de compra son bajos para B2B técnico. Nota: Display standalone se está retirando a favor de Demand Gen en 2026.</w:t>
            </w:r>
          </w:p>
        </w:tc>
      </w:tr>
    </w:tbl>
    <w:p>
      <w:pPr>
        <w:pBdr>
          <w:left w:val="single" w:color="00BFB2" w:sz="18" w:space="8"/>
        </w:pBdr>
        <w:shd w:fill="EAF6FB" w:val="clear"/>
        <w:spacing w:after="200" w:before="80"/>
        <w:ind w:left="100"/>
      </w:pPr>
      <w:r>
        <w:rPr>
          <w:i/>
          <w:iCs/>
          <w:color w:val="334155"/>
          <w:sz w:val="20"/>
          <w:szCs w:val="20"/>
        </w:rPr>
        <w:t xml:space="preserve">Dato de referencia (2026): campañas de Search superan a Performance Max en costo por lead calificado por un 25–45% en negocios B2B/servicios — la diferencia es volumen (PMax) vs. calidad de intención (Search). Para Macrogen, con ciclos de venta largos y tickets altos, calidad &gt; volumen.</w:t>
      </w:r>
    </w:p>
    <w:p>
      <w:pPr>
        <w:pStyle w:val="Heading2"/>
        <w:spacing w:after="140" w:before="300"/>
      </w:pPr>
      <w:r>
        <w:t xml:space="preserve">1.5 Progresión de estrategia de puja</w:t>
      </w:r>
    </w:p>
    <w:p>
      <w:pPr>
        <w:pStyle w:val="ListParagraph"/>
        <w:numPr>
          <w:ilvl w:val="0"/>
          <w:numId w:val="1"/>
        </w:numPr>
        <w:spacing w:after="90" w:line="264"/>
      </w:pPr>
      <w:r>
        <w:rPr>
          <w:b/>
          <w:bCs/>
          <w:color w:val="0A1F4F"/>
          <w:sz w:val="22"/>
          <w:szCs w:val="22"/>
        </w:rPr>
        <w:t xml:space="preserve">Semanas 1–3: "Maximizar clics" con tope de CPC. </w:t>
      </w:r>
      <w:r>
        <w:rPr>
          <w:sz w:val="22"/>
          <w:szCs w:val="22"/>
        </w:rPr>
        <w:t xml:space="preserve">Sin suficientes datos de conversión todavía, dejas que el sistema junte volumen controlado de tráfico y aprenda qué búsquedas convierten.</w:t>
      </w:r>
    </w:p>
    <w:p>
      <w:pPr>
        <w:pStyle w:val="ListParagraph"/>
        <w:numPr>
          <w:ilvl w:val="0"/>
          <w:numId w:val="1"/>
        </w:numPr>
        <w:spacing w:after="90" w:line="264"/>
      </w:pPr>
      <w:r>
        <w:rPr>
          <w:b/>
          <w:bCs/>
          <w:color w:val="0A1F4F"/>
          <w:sz w:val="22"/>
          <w:szCs w:val="22"/>
        </w:rPr>
        <w:t xml:space="preserve">Desde ≥15–20 conversiones registradas en el ad group: migrar a "Maximizar conversiones" o tCPA (costo por adquisición objetivo). </w:t>
      </w:r>
      <w:r>
        <w:rPr>
          <w:sz w:val="22"/>
          <w:szCs w:val="22"/>
        </w:rPr>
        <w:t xml:space="preserve">Recién ahí el algoritmo de pujas automáticas tiene señal suficiente para optimizar de forma confiable — migrar antes es como pedirle a un piloto automático que aprenda con un mapa en blanco.</w:t>
      </w:r>
    </w:p>
    <w:p>
      <w:pPr>
        <w:pStyle w:val="Heading2"/>
        <w:spacing w:after="140" w:before="300"/>
      </w:pPr>
      <w:r>
        <w:t xml:space="preserve">1.6 Presupuesto de referencia (benchmarks de mercado, 2026)</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3400"/>
        <w:gridCol w:w="2800"/>
        <w:gridCol w:w="3600"/>
      </w:tblGrid>
      <w:tr>
        <w:trPr>
          <w:tblHeader/>
        </w:trPr>
        <w:tc>
          <w:tcPr>
            <w:tcW w:type="dxa" w:w="3400"/>
            <w:shd w:fill="0A1F4F" w:val="clear"/>
            <w:tcMar>
              <w:top w:type="dxa" w:w="80"/>
              <w:left w:type="dxa" w:w="100"/>
              <w:bottom w:type="dxa" w:w="80"/>
              <w:right w:type="dxa" w:w="100"/>
            </w:tcMar>
          </w:tcPr>
          <w:p>
            <w:r>
              <w:rPr>
                <w:b/>
                <w:bCs/>
                <w:color w:val="FFFFFF"/>
                <w:sz w:val="19"/>
                <w:szCs w:val="19"/>
              </w:rPr>
              <w:t xml:space="preserve">Segmento</w:t>
            </w:r>
          </w:p>
        </w:tc>
        <w:tc>
          <w:tcPr>
            <w:tcW w:type="dxa" w:w="2800"/>
            <w:shd w:fill="0A1F4F" w:val="clear"/>
            <w:tcMar>
              <w:top w:type="dxa" w:w="80"/>
              <w:left w:type="dxa" w:w="100"/>
              <w:bottom w:type="dxa" w:w="80"/>
              <w:right w:type="dxa" w:w="100"/>
            </w:tcMar>
          </w:tcPr>
          <w:p>
            <w:r>
              <w:rPr>
                <w:b/>
                <w:bCs/>
                <w:color w:val="FFFFFF"/>
                <w:sz w:val="19"/>
                <w:szCs w:val="19"/>
              </w:rPr>
              <w:t xml:space="preserve">CPC promedio (búsqueda)</w:t>
            </w:r>
          </w:p>
        </w:tc>
        <w:tc>
          <w:tcPr>
            <w:tcW w:type="dxa" w:w="3600"/>
            <w:shd w:fill="0A1F4F" w:val="clear"/>
            <w:tcMar>
              <w:top w:type="dxa" w:w="80"/>
              <w:left w:type="dxa" w:w="100"/>
              <w:bottom w:type="dxa" w:w="80"/>
              <w:right w:type="dxa" w:w="100"/>
            </w:tcMar>
          </w:tcPr>
          <w:p>
            <w:r>
              <w:rPr>
                <w:b/>
                <w:bCs/>
                <w:color w:val="FFFFFF"/>
                <w:sz w:val="19"/>
                <w:szCs w:val="19"/>
              </w:rPr>
              <w:t xml:space="preserve">Contexto</w:t>
            </w:r>
          </w:p>
        </w:tc>
      </w:tr>
      <w:tr>
        <w:tc>
          <w:tcPr>
            <w:tcW w:type="dxa" w:w="3400"/>
            <w:tcMar>
              <w:top w:type="dxa" w:w="80"/>
              <w:left w:type="dxa" w:w="100"/>
              <w:bottom w:type="dxa" w:w="80"/>
              <w:right w:type="dxa" w:w="100"/>
            </w:tcMar>
          </w:tcPr>
          <w:p>
            <w:r>
              <w:rPr>
                <w:color w:val="1a1a1a"/>
                <w:sz w:val="19"/>
                <w:szCs w:val="19"/>
              </w:rPr>
              <w:t xml:space="preserve">Promedio cruzado, todas las industrias</w:t>
            </w:r>
          </w:p>
        </w:tc>
        <w:tc>
          <w:tcPr>
            <w:tcW w:type="dxa" w:w="2800"/>
            <w:tcMar>
              <w:top w:type="dxa" w:w="80"/>
              <w:left w:type="dxa" w:w="100"/>
              <w:bottom w:type="dxa" w:w="80"/>
              <w:right w:type="dxa" w:w="100"/>
            </w:tcMar>
          </w:tcPr>
          <w:p>
            <w:r>
              <w:rPr>
                <w:color w:val="1a1a1a"/>
                <w:sz w:val="19"/>
                <w:szCs w:val="19"/>
              </w:rPr>
              <w:t xml:space="preserve">~USD 2,96</w:t>
            </w:r>
          </w:p>
        </w:tc>
        <w:tc>
          <w:tcPr>
            <w:tcW w:type="dxa" w:w="3600"/>
            <w:tcMar>
              <w:top w:type="dxa" w:w="80"/>
              <w:left w:type="dxa" w:w="100"/>
              <w:bottom w:type="dxa" w:w="80"/>
              <w:right w:type="dxa" w:w="100"/>
            </w:tcMar>
          </w:tcPr>
          <w:p>
            <w:r>
              <w:rPr>
                <w:color w:val="1a1a1a"/>
                <w:sz w:val="19"/>
                <w:szCs w:val="19"/>
              </w:rPr>
              <w:t xml:space="preserve">Q1 2026, Search.</w:t>
            </w:r>
          </w:p>
        </w:tc>
      </w:tr>
      <w:tr>
        <w:tc>
          <w:tcPr>
            <w:tcW w:type="dxa" w:w="3400"/>
            <w:tcMar>
              <w:top w:type="dxa" w:w="80"/>
              <w:left w:type="dxa" w:w="100"/>
              <w:bottom w:type="dxa" w:w="80"/>
              <w:right w:type="dxa" w:w="100"/>
            </w:tcMar>
          </w:tcPr>
          <w:p>
            <w:r>
              <w:rPr>
                <w:color w:val="1a1a1a"/>
                <w:sz w:val="19"/>
                <w:szCs w:val="19"/>
              </w:rPr>
              <w:t xml:space="preserve">B2B (promedio general)</w:t>
            </w:r>
          </w:p>
        </w:tc>
        <w:tc>
          <w:tcPr>
            <w:tcW w:type="dxa" w:w="2800"/>
            <w:tcMar>
              <w:top w:type="dxa" w:w="80"/>
              <w:left w:type="dxa" w:w="100"/>
              <w:bottom w:type="dxa" w:w="80"/>
              <w:right w:type="dxa" w:w="100"/>
            </w:tcMar>
          </w:tcPr>
          <w:p>
            <w:r>
              <w:rPr>
                <w:color w:val="1a1a1a"/>
                <w:sz w:val="19"/>
                <w:szCs w:val="19"/>
              </w:rPr>
              <w:t xml:space="preserve">~USD 3,33</w:t>
            </w:r>
          </w:p>
        </w:tc>
        <w:tc>
          <w:tcPr>
            <w:tcW w:type="dxa" w:w="3600"/>
            <w:tcMar>
              <w:top w:type="dxa" w:w="80"/>
              <w:left w:type="dxa" w:w="100"/>
              <w:bottom w:type="dxa" w:w="80"/>
              <w:right w:type="dxa" w:w="100"/>
            </w:tcMar>
          </w:tcPr>
          <w:p>
            <w:r>
              <w:rPr>
                <w:color w:val="1a1a1a"/>
                <w:sz w:val="19"/>
                <w:szCs w:val="19"/>
              </w:rPr>
              <w:t xml:space="preserve">+12% interanual — más competencia entrando a digital.</w:t>
            </w:r>
          </w:p>
        </w:tc>
      </w:tr>
      <w:tr>
        <w:tc>
          <w:tcPr>
            <w:tcW w:type="dxa" w:w="3400"/>
            <w:tcMar>
              <w:top w:type="dxa" w:w="80"/>
              <w:left w:type="dxa" w:w="100"/>
              <w:bottom w:type="dxa" w:w="80"/>
              <w:right w:type="dxa" w:w="100"/>
            </w:tcMar>
          </w:tcPr>
          <w:p>
            <w:r>
              <w:rPr>
                <w:color w:val="1a1a1a"/>
                <w:sz w:val="19"/>
                <w:szCs w:val="19"/>
              </w:rPr>
              <w:t xml:space="preserve">B2B SaaS / software técnico</w:t>
            </w:r>
          </w:p>
        </w:tc>
        <w:tc>
          <w:tcPr>
            <w:tcW w:type="dxa" w:w="2800"/>
            <w:tcMar>
              <w:top w:type="dxa" w:w="80"/>
              <w:left w:type="dxa" w:w="100"/>
              <w:bottom w:type="dxa" w:w="80"/>
              <w:right w:type="dxa" w:w="100"/>
            </w:tcMar>
          </w:tcPr>
          <w:p>
            <w:r>
              <w:rPr>
                <w:color w:val="1a1a1a"/>
                <w:sz w:val="19"/>
                <w:szCs w:val="19"/>
              </w:rPr>
              <w:t xml:space="preserve">~USD 5,34</w:t>
            </w:r>
          </w:p>
        </w:tc>
        <w:tc>
          <w:tcPr>
            <w:tcW w:type="dxa" w:w="3600"/>
            <w:tcMar>
              <w:top w:type="dxa" w:w="80"/>
              <w:left w:type="dxa" w:w="100"/>
              <w:bottom w:type="dxa" w:w="80"/>
              <w:right w:type="dxa" w:w="100"/>
            </w:tcMar>
          </w:tcPr>
          <w:p>
            <w:r>
              <w:rPr>
                <w:color w:val="1a1a1a"/>
                <w:sz w:val="19"/>
                <w:szCs w:val="19"/>
              </w:rPr>
              <w:t xml:space="preserve">+29% interanual. La referencia más cercana a "servicio técnico especializado" que encontramos con datos públicos.</w:t>
            </w:r>
          </w:p>
        </w:tc>
      </w:tr>
    </w:tbl>
    <w:p>
      <w:pPr>
        <w:pBdr>
          <w:left w:val="single" w:color="00BFB2" w:sz="18" w:space="8"/>
        </w:pBdr>
        <w:shd w:fill="EAF6FB" w:val="clear"/>
        <w:spacing w:after="200" w:before="80"/>
        <w:ind w:left="100"/>
      </w:pPr>
      <w:r>
        <w:rPr>
          <w:i/>
          <w:iCs/>
          <w:color w:val="334155"/>
          <w:sz w:val="20"/>
          <w:szCs w:val="20"/>
        </w:rPr>
        <w:t xml:space="preserve">No existen benchmarks públicos específicos para "servicios de secuenciación genómica" — es un nicho demasiado específico. La referencia más razonable es B2B SaaS (~USD 5) como techo, y B2B general (~USD 3,3) como piso, ajustando hacia abajo para Sanger/CES (menor competencia, intención más transaccional) y hacia arriba para WGS/NGS (términos más técnicos y competidos). Los primeros 30 días de campaña real van a decir más que cualquier benchmark externo — por eso el plan empieza con presupuesto de aprendizaje, no de escala.</w:t>
      </w:r>
    </w:p>
    <w:p>
      <w:r>
        <w:br w:type="page"/>
      </w:r>
    </w:p>
    <w:p>
      <w:pPr>
        <w:pStyle w:val="Heading1"/>
        <w:pBdr>
          <w:bottom w:val="single" w:color="00BFB2" w:sz="8" w:space="4"/>
        </w:pBdr>
        <w:spacing w:after="200" w:before="400"/>
      </w:pPr>
      <w:r>
        <w:t xml:space="preserve">Parte 2 — Plan estratégico de Google Ads</w:t>
      </w:r>
    </w:p>
    <w:p>
      <w:pPr>
        <w:spacing w:after="160" w:line="276"/>
      </w:pPr>
      <w:r>
        <w:rPr>
          <w:sz w:val="22"/>
          <w:szCs w:val="22"/>
        </w:rPr>
        <w:t xml:space="preserve">El documento que subiste ("macrogen-plan-ads-landing-ngs-espana.pdf") ya desarrolla en detalle la arquitectura de cuenta, los grupos de anuncios por sub-servicio, las palabras clave con tipo de concordancia, y el wireframe completo de la landing "NGS España". No lo repito línea por línea — lo uso como base y agrego la secuencia de lanzamiento, el presupuesto de referencia y cómo se conecta con el resto del sitio.</w:t>
      </w:r>
    </w:p>
    <w:p>
      <w:pPr>
        <w:pStyle w:val="Heading2"/>
        <w:spacing w:after="140" w:before="300"/>
      </w:pPr>
      <w:r>
        <w:t xml:space="preserve">2.1 Arquitectura de cuenta (resumen de lo ya definido)</w:t>
      </w:r>
    </w:p>
    <w:p>
      <w:pPr>
        <w:spacing w:after="160" w:line="276"/>
      </w:pPr>
      <w:r>
        <w:rPr>
          <w:sz w:val="22"/>
          <w:szCs w:val="22"/>
        </w:rPr>
        <w:t xml:space="preserve">Estructura recomendada: 1 campaña por línea de servicio × país, con grupos de anuncios específicos por sub-intención. Esto da control independiente de presupuesto y puja por mercado — si mezclas países en una sola campaña, el algoritmo de pujas automáticas tiende a favorecer el país con más señal (normalmente España) y descuida Chile/Perú.</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400"/>
      </w:tblGrid>
      <w:tr>
        <w:trPr>
          <w:tblHeader/>
        </w:trPr>
        <w:tc>
          <w:tcPr>
            <w:tcW w:type="dxa" w:w="2600"/>
            <w:shd w:fill="0A1F4F" w:val="clear"/>
            <w:tcMar>
              <w:top w:type="dxa" w:w="80"/>
              <w:left w:type="dxa" w:w="100"/>
              <w:bottom w:type="dxa" w:w="80"/>
              <w:right w:type="dxa" w:w="100"/>
            </w:tcMar>
          </w:tcPr>
          <w:p>
            <w:r>
              <w:rPr>
                <w:b/>
                <w:bCs/>
                <w:color w:val="FFFFFF"/>
                <w:sz w:val="19"/>
                <w:szCs w:val="19"/>
              </w:rPr>
              <w:t xml:space="preserve">Campaña</w:t>
            </w:r>
          </w:p>
        </w:tc>
        <w:tc>
          <w:tcPr>
            <w:tcW w:type="dxa" w:w="4200"/>
            <w:shd w:fill="0A1F4F" w:val="clear"/>
            <w:tcMar>
              <w:top w:type="dxa" w:w="80"/>
              <w:left w:type="dxa" w:w="100"/>
              <w:bottom w:type="dxa" w:w="80"/>
              <w:right w:type="dxa" w:w="100"/>
            </w:tcMar>
          </w:tcPr>
          <w:p>
            <w:r>
              <w:rPr>
                <w:b/>
                <w:bCs/>
                <w:color w:val="FFFFFF"/>
                <w:sz w:val="19"/>
                <w:szCs w:val="19"/>
              </w:rPr>
              <w:t xml:space="preserve">Grupos de anuncios</w:t>
            </w:r>
          </w:p>
        </w:tc>
        <w:tc>
          <w:tcPr>
            <w:tcW w:type="dxa" w:w="2400"/>
            <w:shd w:fill="0A1F4F" w:val="clear"/>
            <w:tcMar>
              <w:top w:type="dxa" w:w="80"/>
              <w:left w:type="dxa" w:w="100"/>
              <w:bottom w:type="dxa" w:w="80"/>
              <w:right w:type="dxa" w:w="100"/>
            </w:tcMar>
          </w:tcPr>
          <w:p>
            <w:r>
              <w:rPr>
                <w:b/>
                <w:bCs/>
                <w:color w:val="FFFFFF"/>
                <w:sz w:val="19"/>
                <w:szCs w:val="19"/>
              </w:rPr>
              <w:t xml:space="preserve">Landing de destino</w:t>
            </w:r>
          </w:p>
        </w:tc>
      </w:tr>
      <w:tr>
        <w:tc>
          <w:tcPr>
            <w:tcW w:type="dxa" w:w="2600"/>
            <w:tcMar>
              <w:top w:type="dxa" w:w="80"/>
              <w:left w:type="dxa" w:w="100"/>
              <w:bottom w:type="dxa" w:w="80"/>
              <w:right w:type="dxa" w:w="100"/>
            </w:tcMar>
          </w:tcPr>
          <w:p>
            <w:r>
              <w:rPr>
                <w:color w:val="1a1a1a"/>
                <w:sz w:val="19"/>
                <w:szCs w:val="19"/>
              </w:rPr>
              <w:t xml:space="preserve">NGS/WGS — España</w:t>
            </w:r>
          </w:p>
        </w:tc>
        <w:tc>
          <w:tcPr>
            <w:tcW w:type="dxa" w:w="4200"/>
            <w:tcMar>
              <w:top w:type="dxa" w:w="80"/>
              <w:left w:type="dxa" w:w="100"/>
              <w:bottom w:type="dxa" w:w="80"/>
              <w:right w:type="dxa" w:w="100"/>
            </w:tcMar>
          </w:tcPr>
          <w:p>
            <w:r>
              <w:rPr>
                <w:color w:val="1a1a1a"/>
                <w:sz w:val="19"/>
                <w:szCs w:val="19"/>
              </w:rPr>
              <w:t xml:space="preserve">Whole Genome Sequencing · Secuenciación NGS genérico · Exoma/WES</w:t>
            </w:r>
          </w:p>
        </w:tc>
        <w:tc>
          <w:tcPr>
            <w:tcW w:type="dxa" w:w="2400"/>
            <w:tcMar>
              <w:top w:type="dxa" w:w="80"/>
              <w:left w:type="dxa" w:w="100"/>
              <w:bottom w:type="dxa" w:w="80"/>
              <w:right w:type="dxa" w:w="100"/>
            </w:tcMar>
          </w:tcPr>
          <w:p>
            <w:r>
              <w:rPr>
                <w:color w:val="1a1a1a"/>
                <w:sz w:val="19"/>
                <w:szCs w:val="19"/>
              </w:rPr>
              <w:t xml:space="preserve">Landing "NGS España" (nueva, ver 2.2 del PDF subido)</w:t>
            </w:r>
          </w:p>
        </w:tc>
      </w:tr>
      <w:tr>
        <w:tc>
          <w:tcPr>
            <w:tcW w:type="dxa" w:w="2600"/>
            <w:tcMar>
              <w:top w:type="dxa" w:w="80"/>
              <w:left w:type="dxa" w:w="100"/>
              <w:bottom w:type="dxa" w:w="80"/>
              <w:right w:type="dxa" w:w="100"/>
            </w:tcMar>
          </w:tcPr>
          <w:p>
            <w:r>
              <w:rPr>
                <w:color w:val="1a1a1a"/>
                <w:sz w:val="19"/>
                <w:szCs w:val="19"/>
              </w:rPr>
              <w:t xml:space="preserve">Metagenómica — España</w:t>
            </w:r>
          </w:p>
        </w:tc>
        <w:tc>
          <w:tcPr>
            <w:tcW w:type="dxa" w:w="4200"/>
            <w:tcMar>
              <w:top w:type="dxa" w:w="80"/>
              <w:left w:type="dxa" w:w="100"/>
              <w:bottom w:type="dxa" w:w="80"/>
              <w:right w:type="dxa" w:w="100"/>
            </w:tcMar>
          </w:tcPr>
          <w:p>
            <w:r>
              <w:rPr>
                <w:color w:val="1a1a1a"/>
                <w:sz w:val="19"/>
                <w:szCs w:val="19"/>
              </w:rPr>
              <w:t xml:space="preserve">16S rRNA / Microbioma · Shotgun metagenomics</w:t>
            </w:r>
          </w:p>
        </w:tc>
        <w:tc>
          <w:tcPr>
            <w:tcW w:type="dxa" w:w="2400"/>
            <w:tcMar>
              <w:top w:type="dxa" w:w="80"/>
              <w:left w:type="dxa" w:w="100"/>
              <w:bottom w:type="dxa" w:w="80"/>
              <w:right w:type="dxa" w:w="100"/>
            </w:tcMar>
          </w:tcPr>
          <w:p>
            <w:r>
              <w:rPr>
                <w:color w:val="1a1a1a"/>
                <w:sz w:val="19"/>
                <w:szCs w:val="19"/>
              </w:rPr>
              <w:t xml:space="preserve">servicios/metagenoma.html</w:t>
            </w:r>
          </w:p>
        </w:tc>
      </w:tr>
      <w:tr>
        <w:tc>
          <w:tcPr>
            <w:tcW w:type="dxa" w:w="2600"/>
            <w:tcMar>
              <w:top w:type="dxa" w:w="80"/>
              <w:left w:type="dxa" w:w="100"/>
              <w:bottom w:type="dxa" w:w="80"/>
              <w:right w:type="dxa" w:w="100"/>
            </w:tcMar>
          </w:tcPr>
          <w:p>
            <w:r>
              <w:rPr>
                <w:color w:val="1a1a1a"/>
                <w:sz w:val="19"/>
                <w:szCs w:val="19"/>
              </w:rPr>
              <w:t xml:space="preserve">Sanger — España</w:t>
            </w:r>
          </w:p>
        </w:tc>
        <w:tc>
          <w:tcPr>
            <w:tcW w:type="dxa" w:w="4200"/>
            <w:tcMar>
              <w:top w:type="dxa" w:w="80"/>
              <w:left w:type="dxa" w:w="100"/>
              <w:bottom w:type="dxa" w:w="80"/>
              <w:right w:type="dxa" w:w="100"/>
            </w:tcMar>
          </w:tcPr>
          <w:p>
            <w:r>
              <w:rPr>
                <w:color w:val="1a1a1a"/>
                <w:sz w:val="19"/>
                <w:szCs w:val="19"/>
              </w:rPr>
              <w:t xml:space="preserve">Secuenciación Sanger servicio</w:t>
            </w:r>
          </w:p>
        </w:tc>
        <w:tc>
          <w:tcPr>
            <w:tcW w:type="dxa" w:w="2400"/>
            <w:tcMar>
              <w:top w:type="dxa" w:w="80"/>
              <w:left w:type="dxa" w:w="100"/>
              <w:bottom w:type="dxa" w:w="80"/>
              <w:right w:type="dxa" w:w="100"/>
            </w:tcMar>
          </w:tcPr>
          <w:p>
            <w:r>
              <w:rPr>
                <w:color w:val="1a1a1a"/>
                <w:sz w:val="19"/>
                <w:szCs w:val="19"/>
              </w:rPr>
              <w:t xml:space="preserve">servicios/sanger.html</w:t>
            </w:r>
          </w:p>
        </w:tc>
      </w:tr>
      <w:tr>
        <w:tc>
          <w:tcPr>
            <w:tcW w:type="dxa" w:w="2600"/>
            <w:tcMar>
              <w:top w:type="dxa" w:w="80"/>
              <w:left w:type="dxa" w:w="100"/>
              <w:bottom w:type="dxa" w:w="80"/>
              <w:right w:type="dxa" w:w="100"/>
            </w:tcMar>
          </w:tcPr>
          <w:p>
            <w:r>
              <w:rPr>
                <w:color w:val="1a1a1a"/>
                <w:sz w:val="19"/>
                <w:szCs w:val="19"/>
              </w:rPr>
              <w:t xml:space="preserve">NGS/WGS — Chile</w:t>
            </w:r>
          </w:p>
        </w:tc>
        <w:tc>
          <w:tcPr>
            <w:tcW w:type="dxa" w:w="4200"/>
            <w:tcMar>
              <w:top w:type="dxa" w:w="80"/>
              <w:left w:type="dxa" w:w="100"/>
              <w:bottom w:type="dxa" w:w="80"/>
              <w:right w:type="dxa" w:w="100"/>
            </w:tcMar>
          </w:tcPr>
          <w:p>
            <w:r>
              <w:rPr>
                <w:color w:val="1a1a1a"/>
                <w:sz w:val="19"/>
                <w:szCs w:val="19"/>
              </w:rPr>
              <w:t xml:space="preserve">Misma estructura, geo-targeting Chile</w:t>
            </w:r>
          </w:p>
        </w:tc>
        <w:tc>
          <w:tcPr>
            <w:tcW w:type="dxa" w:w="2400"/>
            <w:tcMar>
              <w:top w:type="dxa" w:w="80"/>
              <w:left w:type="dxa" w:w="100"/>
              <w:bottom w:type="dxa" w:w="80"/>
              <w:right w:type="dxa" w:w="100"/>
            </w:tcMar>
          </w:tcPr>
          <w:p>
            <w:r>
              <w:rPr>
                <w:color w:val="1a1a1a"/>
                <w:sz w:val="19"/>
                <w:szCs w:val="19"/>
              </w:rPr>
              <w:t xml:space="preserve">Landing localizada CL (pendiente de crear)</w:t>
            </w:r>
          </w:p>
        </w:tc>
      </w:tr>
      <w:tr>
        <w:tc>
          <w:tcPr>
            <w:tcW w:type="dxa" w:w="2600"/>
            <w:tcMar>
              <w:top w:type="dxa" w:w="80"/>
              <w:left w:type="dxa" w:w="100"/>
              <w:bottom w:type="dxa" w:w="80"/>
              <w:right w:type="dxa" w:w="100"/>
            </w:tcMar>
          </w:tcPr>
          <w:p>
            <w:r>
              <w:rPr>
                <w:color w:val="1a1a1a"/>
                <w:sz w:val="19"/>
                <w:szCs w:val="19"/>
              </w:rPr>
              <w:t xml:space="preserve">NGS/WGS — Perú</w:t>
            </w:r>
          </w:p>
        </w:tc>
        <w:tc>
          <w:tcPr>
            <w:tcW w:type="dxa" w:w="4200"/>
            <w:tcMar>
              <w:top w:type="dxa" w:w="80"/>
              <w:left w:type="dxa" w:w="100"/>
              <w:bottom w:type="dxa" w:w="80"/>
              <w:right w:type="dxa" w:w="100"/>
            </w:tcMar>
          </w:tcPr>
          <w:p>
            <w:r>
              <w:rPr>
                <w:color w:val="1a1a1a"/>
                <w:sz w:val="19"/>
                <w:szCs w:val="19"/>
              </w:rPr>
              <w:t xml:space="preserve">Misma estructura, geo-targeting Perú</w:t>
            </w:r>
          </w:p>
        </w:tc>
        <w:tc>
          <w:tcPr>
            <w:tcW w:type="dxa" w:w="2400"/>
            <w:tcMar>
              <w:top w:type="dxa" w:w="80"/>
              <w:left w:type="dxa" w:w="100"/>
              <w:bottom w:type="dxa" w:w="80"/>
              <w:right w:type="dxa" w:w="100"/>
            </w:tcMar>
          </w:tcPr>
          <w:p>
            <w:r>
              <w:rPr>
                <w:color w:val="1a1a1a"/>
                <w:sz w:val="19"/>
                <w:szCs w:val="19"/>
              </w:rPr>
              <w:t xml:space="preserve">Landing localizada PE (pendiente de crear)</w:t>
            </w:r>
          </w:p>
        </w:tc>
      </w:tr>
    </w:tbl>
    <w:p>
      <w:pPr>
        <w:pStyle w:val="Heading2"/>
        <w:spacing w:after="140" w:before="300"/>
      </w:pPr>
      <w:r>
        <w:t xml:space="preserve">2.2 Negativos a nivel de cuenta (crítico)</w:t>
      </w:r>
    </w:p>
    <w:p>
      <w:pPr>
        <w:spacing w:after="160" w:line="276"/>
      </w:pPr>
      <w:r>
        <w:rPr>
          <w:sz w:val="22"/>
          <w:szCs w:val="22"/>
        </w:rPr>
        <w:t xml:space="preserve">Sin esto, el presupuesto científico B2B se fuga hacia búsquedas de consumidor final que no tienen nada que ver con el cliente objetivo (laboratorios, institutos, biotech):</w:t>
      </w:r>
    </w:p>
    <w:p>
      <w:pPr>
        <w:spacing w:after="160" w:line="276"/>
      </w:pPr>
      <w:r>
        <w:rPr>
          <w:color w:val="8b98b8"/>
          <w:sz w:val="22"/>
          <w:szCs w:val="22"/>
        </w:rPr>
        <w:t xml:space="preserve">-gratis, -curso, -master, -que es, -significado, -wikipedia, -empleo, -trabajo, -test ADN paternidad, -test ADN ancestros, -23andme, -myheritage</w:t>
      </w:r>
    </w:p>
    <w:p>
      <w:pPr>
        <w:pStyle w:val="Heading2"/>
        <w:spacing w:after="140" w:before="300"/>
      </w:pPr>
      <w:r>
        <w:t xml:space="preserve">2.3 Secuencia de lanzamiento recomendada</w:t>
      </w:r>
    </w:p>
    <w:p>
      <w:pPr>
        <w:pStyle w:val="ListParagraph"/>
        <w:numPr>
          <w:ilvl w:val="0"/>
          <w:numId w:val="1"/>
        </w:numPr>
        <w:spacing w:after="90" w:line="264"/>
      </w:pPr>
      <w:r>
        <w:rPr>
          <w:b/>
          <w:bCs/>
          <w:color w:val="0A1F4F"/>
          <w:sz w:val="22"/>
          <w:szCs w:val="22"/>
        </w:rPr>
        <w:t xml:space="preserve">Semana 1–2 — Sanger primero. </w:t>
      </w:r>
      <w:r>
        <w:rPr>
          <w:sz w:val="22"/>
          <w:szCs w:val="22"/>
        </w:rPr>
        <w:t xml:space="preserve">CPC más bajo, volumen de búsqueda más constante (uso rutinario en labs pequeños/universidades). Sirve como "colchón" de leads recurrentes de bajo costo mientras maduran las campañas de NGS, que son más caras pero de mayor ticket. También da los primeros datos de conversión reales para calibrar Quality Score de la cuenta completa.</w:t>
      </w:r>
    </w:p>
    <w:p>
      <w:pPr>
        <w:pStyle w:val="ListParagraph"/>
        <w:numPr>
          <w:ilvl w:val="0"/>
          <w:numId w:val="1"/>
        </w:numPr>
        <w:spacing w:after="90" w:line="264"/>
      </w:pPr>
      <w:r>
        <w:rPr>
          <w:b/>
          <w:bCs/>
          <w:color w:val="0A1F4F"/>
          <w:sz w:val="22"/>
          <w:szCs w:val="22"/>
        </w:rPr>
        <w:t xml:space="preserve">Semana 3–4 — NGS/WGS España, solo después de publicar la landing "NGS España". </w:t>
      </w:r>
      <w:r>
        <w:rPr>
          <w:sz w:val="22"/>
          <w:szCs w:val="22"/>
        </w:rPr>
        <w:t xml:space="preserve">Lanzar Ads apuntando a servicios/wgs.html (la página genérica actual) en vez de a la landing dedicada sería quemar presupuesto en una relación anuncio↔landing menos relevante — peor Quality Score, mayor CPC, desde el día uno.</w:t>
      </w:r>
    </w:p>
    <w:p>
      <w:pPr>
        <w:pStyle w:val="ListParagraph"/>
        <w:numPr>
          <w:ilvl w:val="0"/>
          <w:numId w:val="1"/>
        </w:numPr>
        <w:spacing w:after="90" w:line="264"/>
      </w:pPr>
      <w:r>
        <w:rPr>
          <w:b/>
          <w:bCs/>
          <w:color w:val="0A1F4F"/>
          <w:sz w:val="22"/>
          <w:szCs w:val="22"/>
        </w:rPr>
        <w:t xml:space="preserve">Mes 2 — Metagenómica España + expansión a Chile/Perú. </w:t>
      </w:r>
      <w:r>
        <w:rPr>
          <w:sz w:val="22"/>
          <w:szCs w:val="22"/>
        </w:rPr>
        <w:t xml:space="preserve">Una vez que Sanger y NGS España tengan ≥15–20 conversiones acumuladas y el equipo haya visto el patrón real de costo por lead.</w:t>
      </w:r>
    </w:p>
    <w:p>
      <w:pPr>
        <w:pStyle w:val="ListParagraph"/>
        <w:numPr>
          <w:ilvl w:val="0"/>
          <w:numId w:val="1"/>
        </w:numPr>
        <w:spacing w:after="90" w:line="264"/>
      </w:pPr>
      <w:r>
        <w:rPr>
          <w:b/>
          <w:bCs/>
          <w:color w:val="0A1F4F"/>
          <w:sz w:val="22"/>
          <w:szCs w:val="22"/>
        </w:rPr>
        <w:t xml:space="preserve">Mes 3 — Performance Max como complemento (no antes). </w:t>
      </w:r>
      <w:r>
        <w:rPr>
          <w:sz w:val="22"/>
          <w:szCs w:val="22"/>
        </w:rPr>
        <w:t xml:space="preserve">Con el pixel de conversión maduro y volumen suficiente para que el algoritmo aprenda.</w:t>
      </w:r>
    </w:p>
    <w:p>
      <w:pPr>
        <w:pStyle w:val="Heading2"/>
        <w:spacing w:after="140" w:before="300"/>
      </w:pPr>
      <w:r>
        <w:t xml:space="preserve">2.4 Medición — lo no negociable</w:t>
      </w:r>
    </w:p>
    <w:p>
      <w:pPr>
        <w:pStyle w:val="ListParagraph"/>
        <w:numPr>
          <w:ilvl w:val="0"/>
          <w:numId w:val="1"/>
        </w:numPr>
        <w:spacing w:after="90" w:line="264"/>
      </w:pPr>
      <w:r>
        <w:rPr>
          <w:sz w:val="22"/>
          <w:szCs w:val="22"/>
        </w:rPr>
        <w:t xml:space="preserve">Conversión primaria: envío del formulario "Solicitar cotización" — sepárala de "contacto general" como conversión distinta en GA4 y Google Ads.</w:t>
      </w:r>
    </w:p>
    <w:p>
      <w:pPr>
        <w:pStyle w:val="ListParagraph"/>
        <w:numPr>
          <w:ilvl w:val="0"/>
          <w:numId w:val="1"/>
        </w:numPr>
        <w:spacing w:after="90" w:line="264"/>
      </w:pPr>
      <w:r>
        <w:rPr>
          <w:sz w:val="22"/>
          <w:szCs w:val="22"/>
        </w:rPr>
        <w:t xml:space="preserve">Conversión secundaria (micro-conversión): descarga del lead magnet técnico (guía de selección de plataforma NGS, mencionada en el PDF subido).</w:t>
      </w:r>
    </w:p>
    <w:p>
      <w:pPr>
        <w:pStyle w:val="ListParagraph"/>
        <w:numPr>
          <w:ilvl w:val="0"/>
          <w:numId w:val="1"/>
        </w:numPr>
        <w:spacing w:after="90" w:line="264"/>
      </w:pPr>
      <w:r>
        <w:rPr>
          <w:sz w:val="22"/>
          <w:szCs w:val="22"/>
        </w:rPr>
        <w:t xml:space="preserve">Importación de conversiones offline desde el CRM cuando un lead de Ads se convierte en cliente real — para que las pujas automáticas optimicen hacia valor real, no solo hacia formularios enviados.</w:t>
      </w:r>
    </w:p>
    <w:p>
      <w:pPr>
        <w:pStyle w:val="ListParagraph"/>
        <w:numPr>
          <w:ilvl w:val="0"/>
          <w:numId w:val="1"/>
        </w:numPr>
        <w:spacing w:after="90" w:line="264"/>
      </w:pPr>
      <w:r>
        <w:rPr>
          <w:sz w:val="22"/>
          <w:szCs w:val="22"/>
        </w:rPr>
        <w:t xml:space="preserve">Reporte semanal de CPL (costo por lead) por ad group, no solo por campaña — ahí es donde se ve qué sub-servicio tiene mejor ratio costo/calidad de lead.</w:t>
      </w:r>
    </w:p>
    <w:p>
      <w:r>
        <w:br w:type="page"/>
      </w:r>
    </w:p>
    <w:p>
      <w:pPr>
        <w:pStyle w:val="Heading1"/>
        <w:pBdr>
          <w:bottom w:val="single" w:color="00BFB2" w:sz="8" w:space="4"/>
        </w:pBdr>
        <w:spacing w:after="200" w:before="400"/>
      </w:pPr>
      <w:r>
        <w:t xml:space="preserve">Parte 3 — Qué es el SEO y cómo funciona  /  What is SEO and how it works</w:t>
      </w:r>
    </w:p>
    <w:p>
      <w:pPr>
        <w:spacing w:after="160" w:line="276"/>
      </w:pPr>
      <w:r>
        <w:rPr>
          <w:sz w:val="22"/>
          <w:szCs w:val="22"/>
        </w:rPr>
        <w:t xml:space="preserve">Esta sección se incluye en inglés y en español, tal como se pidió.</w:t>
      </w:r>
    </w:p>
    <w:p>
      <w:pPr>
        <w:pStyle w:val="Heading2"/>
        <w:spacing w:after="140" w:before="300"/>
      </w:pPr>
      <w:r>
        <w:t xml:space="preserve">In English</w:t>
      </w:r>
    </w:p>
    <w:p>
      <w:pPr>
        <w:spacing w:after="160" w:line="276"/>
      </w:pPr>
      <w:r>
        <w:rPr>
          <w:sz w:val="22"/>
          <w:szCs w:val="22"/>
        </w:rPr>
        <w:t xml:space="preserve">SEO (Search Engine Optimization) is the practice of shaping a website so that search engines like Google can find it, understand what it is about, and choose to show it — for free — when someone searches for something related to it. It sits opposite paid search (Google Ads, Parts 1–2 of this document): SEO does not cost per click, but it is not free either — it costs time, content, and technical correctness, and results take months, not days.</w:t>
      </w:r>
    </w:p>
    <w:p>
      <w:pPr>
        <w:pStyle w:val="Heading3"/>
        <w:spacing w:after="100" w:before="220"/>
      </w:pPr>
      <w:r>
        <w:t xml:space="preserve">How a search engine actually decides what to show</w:t>
      </w:r>
    </w:p>
    <w:p>
      <w:pPr>
        <w:spacing w:after="160" w:line="276"/>
      </w:pPr>
      <w:r>
        <w:rPr>
          <w:sz w:val="22"/>
          <w:szCs w:val="22"/>
        </w:rPr>
        <w:t xml:space="preserve">Google's system does three separate jobs, in this order:</w:t>
      </w:r>
    </w:p>
    <w:p>
      <w:pPr>
        <w:pStyle w:val="ListParagraph"/>
        <w:numPr>
          <w:ilvl w:val="0"/>
          <w:numId w:val="1"/>
        </w:numPr>
        <w:spacing w:after="90" w:line="264"/>
      </w:pPr>
      <w:r>
        <w:rPr>
          <w:b/>
          <w:bCs/>
          <w:color w:val="0A1F4F"/>
          <w:sz w:val="22"/>
          <w:szCs w:val="22"/>
        </w:rPr>
        <w:t xml:space="preserve">Crawling: </w:t>
      </w:r>
      <w:r>
        <w:rPr>
          <w:sz w:val="22"/>
          <w:szCs w:val="22"/>
        </w:rPr>
        <w:t xml:space="preserve">Google's bots follow links from page to page across the internet, discovering which pages exist. A page that is not linked from anywhere and is not in a sitemap may never be found.</w:t>
      </w:r>
    </w:p>
    <w:p>
      <w:pPr>
        <w:pStyle w:val="ListParagraph"/>
        <w:numPr>
          <w:ilvl w:val="0"/>
          <w:numId w:val="1"/>
        </w:numPr>
        <w:spacing w:after="90" w:line="264"/>
      </w:pPr>
      <w:r>
        <w:rPr>
          <w:b/>
          <w:bCs/>
          <w:color w:val="0A1F4F"/>
          <w:sz w:val="22"/>
          <w:szCs w:val="22"/>
        </w:rPr>
        <w:t xml:space="preserve">Indexing: </w:t>
      </w:r>
      <w:r>
        <w:rPr>
          <w:sz w:val="22"/>
          <w:szCs w:val="22"/>
        </w:rPr>
        <w:t xml:space="preserve">Once found, Google reads the page's content, code, and structured data (schema.org) and decides what the page is about, then stores that understanding in its index. A page can be crawled but not indexed if Google decides it is low-value, duplicate, or blocked (by robots.txt or noindex).</w:t>
      </w:r>
    </w:p>
    <w:p>
      <w:pPr>
        <w:pStyle w:val="ListParagraph"/>
        <w:numPr>
          <w:ilvl w:val="0"/>
          <w:numId w:val="1"/>
        </w:numPr>
        <w:spacing w:after="90" w:line="264"/>
      </w:pPr>
      <w:r>
        <w:rPr>
          <w:b/>
          <w:bCs/>
          <w:color w:val="0A1F4F"/>
          <w:sz w:val="22"/>
          <w:szCs w:val="22"/>
        </w:rPr>
        <w:t xml:space="preserve">Ranking: </w:t>
      </w:r>
      <w:r>
        <w:rPr>
          <w:sz w:val="22"/>
          <w:szCs w:val="22"/>
        </w:rPr>
        <w:t xml:space="preserve">When someone searches, Google scores every indexed page that might be relevant against hundreds of signals, and orders the results. This is the part everyone calls "SEO," but it only works if crawling and indexing already succeeded.</w:t>
      </w:r>
    </w:p>
    <w:p>
      <w:pPr>
        <w:pBdr>
          <w:left w:val="single" w:color="00BFB2" w:sz="18" w:space="8"/>
        </w:pBdr>
        <w:shd w:fill="EAF6FB" w:val="clear"/>
        <w:spacing w:after="200" w:before="80"/>
        <w:ind w:left="100"/>
      </w:pPr>
      <w:r>
        <w:rPr>
          <w:i/>
          <w:iCs/>
          <w:color w:val="334155"/>
          <w:sz w:val="20"/>
          <w:szCs w:val="20"/>
        </w:rPr>
        <w:t xml:space="preserve">This is exactly why the broken hreflang and the incomplete FAQ schema mattered (see Part 4): both are signals used at the indexing/ranking stage. A page can be perfectly written and still rank poorly if these technical signals are wrong or contradictory.</w:t>
      </w:r>
    </w:p>
    <w:p>
      <w:pPr>
        <w:pStyle w:val="Heading3"/>
        <w:spacing w:after="100" w:before="220"/>
      </w:pPr>
      <w:r>
        <w:t xml:space="preserve">The three pillars that determine ranking</w:t>
      </w:r>
    </w:p>
    <w:p>
      <w:pPr>
        <w:pStyle w:val="ListParagraph"/>
        <w:numPr>
          <w:ilvl w:val="0"/>
          <w:numId w:val="1"/>
        </w:numPr>
        <w:spacing w:after="90" w:line="264"/>
      </w:pPr>
      <w:r>
        <w:rPr>
          <w:b/>
          <w:bCs/>
          <w:color w:val="0A1F4F"/>
          <w:sz w:val="22"/>
          <w:szCs w:val="22"/>
        </w:rPr>
        <w:t xml:space="preserve">Technical SEO: </w:t>
      </w:r>
      <w:r>
        <w:rPr>
          <w:sz w:val="22"/>
          <w:szCs w:val="22"/>
        </w:rPr>
        <w:t xml:space="preserve">Can Google physically crawl and index the site without errors? Site speed, mobile-friendliness, correct canonical tags, valid structured data, a working sitemap/robots.txt, no broken hreflang. This is the foundation — without it, nothing else matters.</w:t>
      </w:r>
    </w:p>
    <w:p>
      <w:pPr>
        <w:pStyle w:val="ListParagraph"/>
        <w:numPr>
          <w:ilvl w:val="0"/>
          <w:numId w:val="1"/>
        </w:numPr>
        <w:spacing w:after="90" w:line="264"/>
      </w:pPr>
      <w:r>
        <w:rPr>
          <w:b/>
          <w:bCs/>
          <w:color w:val="0A1F4F"/>
          <w:sz w:val="22"/>
          <w:szCs w:val="22"/>
        </w:rPr>
        <w:t xml:space="preserve">On-page SEO (content relevance): </w:t>
      </w:r>
      <w:r>
        <w:rPr>
          <w:sz w:val="22"/>
          <w:szCs w:val="22"/>
        </w:rPr>
        <w:t xml:space="preserve">Does the page actually answer what the searcher typed? Keyword usage in titles/headings, content depth, matching search intent (informational vs. transactional), internal linking between related pages.</w:t>
      </w:r>
    </w:p>
    <w:p>
      <w:pPr>
        <w:pStyle w:val="ListParagraph"/>
        <w:numPr>
          <w:ilvl w:val="0"/>
          <w:numId w:val="1"/>
        </w:numPr>
        <w:spacing w:after="90" w:line="264"/>
      </w:pPr>
      <w:r>
        <w:rPr>
          <w:b/>
          <w:bCs/>
          <w:color w:val="0A1F4F"/>
          <w:sz w:val="22"/>
          <w:szCs w:val="22"/>
        </w:rPr>
        <w:t xml:space="preserve">Off-page SEO (authority): </w:t>
      </w:r>
      <w:r>
        <w:rPr>
          <w:sz w:val="22"/>
          <w:szCs w:val="22"/>
        </w:rPr>
        <w:t xml:space="preserve">Do other credible sites link to this one? Backlinks, brand mentions, reviews, and social signals tell Google "other people trust this source" — one of the hardest signals to fake, and one of the strongest ranking factors.</w:t>
      </w:r>
    </w:p>
    <w:p>
      <w:pPr>
        <w:pStyle w:val="Heading3"/>
        <w:spacing w:after="100" w:before="220"/>
      </w:pPr>
      <w:r>
        <w:t xml:space="preserve">Why it is slow, and why it compounds</w:t>
      </w:r>
    </w:p>
    <w:p>
      <w:pPr>
        <w:spacing w:after="160" w:line="276"/>
      </w:pPr>
      <w:r>
        <w:rPr>
          <w:sz w:val="22"/>
          <w:szCs w:val="22"/>
        </w:rPr>
        <w:t xml:space="preserve">Unlike Google Ads, where traffic starts the moment you pay, SEO has no on/off switch — Google needs to re-crawl, re-evaluate, and build trust in a domain over weeks or months before rankings move meaningfully. The upside: once a page ranks, it keeps generating free traffic every day with no per-click cost, which is why this document treats Ads as the fast lane and SEO as the compounding asset underneath it.</w:t>
      </w:r>
    </w:p>
    <w:p>
      <w:pPr>
        <w:pStyle w:val="Heading2"/>
        <w:spacing w:after="140" w:before="300"/>
      </w:pPr>
      <w:r>
        <w:t xml:space="preserve">En español</w:t>
      </w:r>
    </w:p>
    <w:p>
      <w:pPr>
        <w:spacing w:after="160" w:line="276"/>
      </w:pPr>
      <w:r>
        <w:rPr>
          <w:sz w:val="22"/>
          <w:szCs w:val="22"/>
        </w:rPr>
        <w:t xml:space="preserve">El SEO (Search Engine Optimization, optimización para motores de búsqueda) es el conjunto de prácticas que hacen que un sitio web sea encontrable, comprensible y elegible para aparecer — de forma gratuita — cuando alguien busca algo relacionado. Es el opuesto de la búsqueda pagada (Google Ads, Partes 1–2 de este documento): el SEO no cobra por clic, pero tampoco es gratis — cuesta tiempo, contenido y corrección técnica, y los resultados tardan meses, no días.</w:t>
      </w:r>
    </w:p>
    <w:p>
      <w:pPr>
        <w:pStyle w:val="Heading3"/>
        <w:spacing w:after="100" w:before="220"/>
      </w:pPr>
      <w:r>
        <w:t xml:space="preserve">Cómo decide realmente un motor de búsqueda qué mostrar</w:t>
      </w:r>
    </w:p>
    <w:p>
      <w:pPr>
        <w:spacing w:after="160" w:line="276"/>
      </w:pPr>
      <w:r>
        <w:rPr>
          <w:sz w:val="22"/>
          <w:szCs w:val="22"/>
        </w:rPr>
        <w:t xml:space="preserve">El sistema de Google hace tres trabajos distintos, en este orden:</w:t>
      </w:r>
    </w:p>
    <w:p>
      <w:pPr>
        <w:pStyle w:val="ListParagraph"/>
        <w:numPr>
          <w:ilvl w:val="0"/>
          <w:numId w:val="1"/>
        </w:numPr>
        <w:spacing w:after="90" w:line="264"/>
      </w:pPr>
      <w:r>
        <w:rPr>
          <w:b/>
          <w:bCs/>
          <w:color w:val="0A1F4F"/>
          <w:sz w:val="22"/>
          <w:szCs w:val="22"/>
        </w:rPr>
        <w:t xml:space="preserve">Rastreo (crawling): </w:t>
      </w:r>
      <w:r>
        <w:rPr>
          <w:sz w:val="22"/>
          <w:szCs w:val="22"/>
        </w:rPr>
        <w:t xml:space="preserve">Los robots de Google siguen enlaces de página en página por todo internet, descubriendo qué páginas existen. Una página que no está enlazada desde ningún lado y no aparece en el sitemap puede no ser encontrada nunca.</w:t>
      </w:r>
    </w:p>
    <w:p>
      <w:pPr>
        <w:pStyle w:val="ListParagraph"/>
        <w:numPr>
          <w:ilvl w:val="0"/>
          <w:numId w:val="1"/>
        </w:numPr>
        <w:spacing w:after="90" w:line="264"/>
      </w:pPr>
      <w:r>
        <w:rPr>
          <w:b/>
          <w:bCs/>
          <w:color w:val="0A1F4F"/>
          <w:sz w:val="22"/>
          <w:szCs w:val="22"/>
        </w:rPr>
        <w:t xml:space="preserve">Indexación (indexing): </w:t>
      </w:r>
      <w:r>
        <w:rPr>
          <w:sz w:val="22"/>
          <w:szCs w:val="22"/>
        </w:rPr>
        <w:t xml:space="preserve">Una vez encontrada, Google lee el contenido, el código y los datos estructurados (schema.org) de la página y decide de qué trata, guardando esa interpretación en su índice. Una página puede ser rastreada pero no indexada si Google la considera de bajo valor, duplicada, o bloqueada (por robots.txt o noindex).</w:t>
      </w:r>
    </w:p>
    <w:p>
      <w:pPr>
        <w:pStyle w:val="ListParagraph"/>
        <w:numPr>
          <w:ilvl w:val="0"/>
          <w:numId w:val="1"/>
        </w:numPr>
        <w:spacing w:after="90" w:line="264"/>
      </w:pPr>
      <w:r>
        <w:rPr>
          <w:b/>
          <w:bCs/>
          <w:color w:val="0A1F4F"/>
          <w:sz w:val="22"/>
          <w:szCs w:val="22"/>
        </w:rPr>
        <w:t xml:space="preserve">Posicionamiento (ranking): </w:t>
      </w:r>
      <w:r>
        <w:rPr>
          <w:sz w:val="22"/>
          <w:szCs w:val="22"/>
        </w:rPr>
        <w:t xml:space="preserve">Cuando alguien busca, Google evalúa cada página indexada que podría ser relevante contra cientos de señales, y ordena los resultados. Esta es la parte que todos llaman "SEO", pero solo funciona si el rastreo y la indexación ya tuvieron éxito.</w:t>
      </w:r>
    </w:p>
    <w:p>
      <w:pPr>
        <w:pBdr>
          <w:left w:val="single" w:color="00BFB2" w:sz="18" w:space="8"/>
        </w:pBdr>
        <w:shd w:fill="EAF6FB" w:val="clear"/>
        <w:spacing w:after="200" w:before="80"/>
        <w:ind w:left="100"/>
      </w:pPr>
      <w:r>
        <w:rPr>
          <w:i/>
          <w:iCs/>
          <w:color w:val="334155"/>
          <w:sz w:val="20"/>
          <w:szCs w:val="20"/>
        </w:rPr>
        <w:t xml:space="preserve">Por esto importaba tanto el hreflang roto y el schema de FAQ incompleto (ver Parte 4): ambos son señales que se usan en la etapa de indexación/posicionamiento. Una página puede estar perfectamente escrita y aun así posicionar mal si estas señales técnicas están mal configuradas o son contradictorias.</w:t>
      </w:r>
    </w:p>
    <w:p>
      <w:pPr>
        <w:pStyle w:val="Heading3"/>
        <w:spacing w:after="100" w:before="220"/>
      </w:pPr>
      <w:r>
        <w:t xml:space="preserve">Los tres pilares que determinan el posicionamiento</w:t>
      </w:r>
    </w:p>
    <w:p>
      <w:pPr>
        <w:pStyle w:val="ListParagraph"/>
        <w:numPr>
          <w:ilvl w:val="0"/>
          <w:numId w:val="1"/>
        </w:numPr>
        <w:spacing w:after="90" w:line="264"/>
      </w:pPr>
      <w:r>
        <w:rPr>
          <w:b/>
          <w:bCs/>
          <w:color w:val="0A1F4F"/>
          <w:sz w:val="22"/>
          <w:szCs w:val="22"/>
        </w:rPr>
        <w:t xml:space="preserve">SEO técnico: </w:t>
      </w:r>
      <w:r>
        <w:rPr>
          <w:sz w:val="22"/>
          <w:szCs w:val="22"/>
        </w:rPr>
        <w:t xml:space="preserve">¿Puede Google rastrear e indexar el sitio sin errores? Velocidad del sitio, compatibilidad móvil, canonical tags correctos, datos estructurados válidos, sitemap/robots.txt funcionando, hreflang sin errores. Es la base — sin esto, nada más importa.</w:t>
      </w:r>
    </w:p>
    <w:p>
      <w:pPr>
        <w:pStyle w:val="ListParagraph"/>
        <w:numPr>
          <w:ilvl w:val="0"/>
          <w:numId w:val="1"/>
        </w:numPr>
        <w:spacing w:after="90" w:line="264"/>
      </w:pPr>
      <w:r>
        <w:rPr>
          <w:b/>
          <w:bCs/>
          <w:color w:val="0A1F4F"/>
          <w:sz w:val="22"/>
          <w:szCs w:val="22"/>
        </w:rPr>
        <w:t xml:space="preserve">SEO on-page (relevancia de contenido): </w:t>
      </w:r>
      <w:r>
        <w:rPr>
          <w:sz w:val="22"/>
          <w:szCs w:val="22"/>
        </w:rPr>
        <w:t xml:space="preserve">¿La página responde realmente lo que la persona buscó? Uso de keywords en títulos/encabezados, profundidad del contenido, coincidencia con la intención de búsqueda (informativa vs. transaccional), enlazado interno entre páginas relacionadas.</w:t>
      </w:r>
    </w:p>
    <w:p>
      <w:pPr>
        <w:pStyle w:val="ListParagraph"/>
        <w:numPr>
          <w:ilvl w:val="0"/>
          <w:numId w:val="1"/>
        </w:numPr>
        <w:spacing w:after="90" w:line="264"/>
      </w:pPr>
      <w:r>
        <w:rPr>
          <w:b/>
          <w:bCs/>
          <w:color w:val="0A1F4F"/>
          <w:sz w:val="22"/>
          <w:szCs w:val="22"/>
        </w:rPr>
        <w:t xml:space="preserve">SEO off-page (autoridad): </w:t>
      </w:r>
      <w:r>
        <w:rPr>
          <w:sz w:val="22"/>
          <w:szCs w:val="22"/>
        </w:rPr>
        <w:t xml:space="preserve">¿Otros sitios creíbles enlazan a este? Los backlinks, menciones de marca, reseñas y señales sociales le dicen a Google "otros confían en esta fuente" — una de las señales más difíciles de falsificar, y uno de los factores de posicionamiento más fuertes.</w:t>
      </w:r>
    </w:p>
    <w:p>
      <w:pPr>
        <w:pStyle w:val="Heading3"/>
        <w:spacing w:after="100" w:before="220"/>
      </w:pPr>
      <w:r>
        <w:t xml:space="preserve">Por qué es lento, y por qué se acumula</w:t>
      </w:r>
    </w:p>
    <w:p>
      <w:pPr>
        <w:spacing w:after="160" w:line="276"/>
      </w:pPr>
      <w:r>
        <w:rPr>
          <w:sz w:val="22"/>
          <w:szCs w:val="22"/>
        </w:rPr>
        <w:t xml:space="preserve">A diferencia de Google Ads, donde el tráfico empieza en el momento en que pagas, el SEO no tiene interruptor de encendido/apagado — Google necesita volver a rastrear, reevaluar y construir confianza en un dominio durante semanas o meses antes de que el posicionamiento se mueva de forma significativa. La ventaja: una vez que una página posiciona, sigue generando tráfico gratuito todos los días sin costo por clic, por eso este documento trata a Ads como el carril rápido y al SEO como el activo que se acumula debajo.</w:t>
      </w:r>
    </w:p>
    <w:p>
      <w:r>
        <w:br w:type="page"/>
      </w:r>
    </w:p>
    <w:p>
      <w:pPr>
        <w:pStyle w:val="Heading1"/>
        <w:pBdr>
          <w:bottom w:val="single" w:color="00BFB2" w:sz="8" w:space="4"/>
        </w:pBdr>
        <w:spacing w:after="200" w:before="400"/>
      </w:pPr>
      <w:r>
        <w:t xml:space="preserve">Parte 4 — Auditoría SEO: estado real del sitio hoy</w:t>
      </w:r>
    </w:p>
    <w:p>
      <w:pPr>
        <w:spacing w:after="160" w:line="276"/>
      </w:pPr>
      <w:r>
        <w:rPr>
          <w:sz w:val="22"/>
          <w:szCs w:val="22"/>
        </w:rPr>
        <w:t xml:space="preserve">La Auditoría Estratégica 360° de mayo 2026 (sección 2.1) encontró una lista larga de elementos técnicos "FALTA". Volví a revisar el código del sitio tal como está publicado hoy, elemento por elemento. La buena noticia: se corrigió mucho más de lo que el audit de mayo hacía suponer. Esta tabla muestra el estado real actual, no el de mayo.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2400"/>
        <w:gridCol w:w="3400"/>
      </w:tblGrid>
      <w:tr>
        <w:trPr>
          <w:tblHeader/>
        </w:trPr>
        <w:tc>
          <w:tcPr>
            <w:tcW w:type="dxa" w:w="2400"/>
            <w:shd w:fill="0A1F4F" w:val="clear"/>
            <w:tcMar>
              <w:top w:type="dxa" w:w="80"/>
              <w:left w:type="dxa" w:w="100"/>
              <w:bottom w:type="dxa" w:w="80"/>
              <w:right w:type="dxa" w:w="100"/>
            </w:tcMar>
          </w:tcPr>
          <w:p>
            <w:r>
              <w:rPr>
                <w:b/>
                <w:bCs/>
                <w:color w:val="FFFFFF"/>
                <w:sz w:val="19"/>
                <w:szCs w:val="19"/>
              </w:rPr>
              <w:t xml:space="preserve">Elemento</w:t>
            </w:r>
          </w:p>
        </w:tc>
        <w:tc>
          <w:tcPr>
            <w:tcW w:type="dxa" w:w="1700"/>
            <w:shd w:fill="0A1F4F" w:val="clear"/>
            <w:tcMar>
              <w:top w:type="dxa" w:w="80"/>
              <w:left w:type="dxa" w:w="100"/>
              <w:bottom w:type="dxa" w:w="80"/>
              <w:right w:type="dxa" w:w="100"/>
            </w:tcMar>
          </w:tcPr>
          <w:p>
            <w:r>
              <w:rPr>
                <w:b/>
                <w:bCs/>
                <w:color w:val="FFFFFF"/>
                <w:sz w:val="19"/>
                <w:szCs w:val="19"/>
              </w:rPr>
              <w:t xml:space="preserve">Mayo 2026</w:t>
            </w:r>
          </w:p>
        </w:tc>
        <w:tc>
          <w:tcPr>
            <w:tcW w:type="dxa" w:w="2400"/>
            <w:shd w:fill="0A1F4F" w:val="clear"/>
            <w:tcMar>
              <w:top w:type="dxa" w:w="80"/>
              <w:left w:type="dxa" w:w="100"/>
              <w:bottom w:type="dxa" w:w="80"/>
              <w:right w:type="dxa" w:w="100"/>
            </w:tcMar>
          </w:tcPr>
          <w:p>
            <w:r>
              <w:rPr>
                <w:b/>
                <w:bCs/>
                <w:color w:val="FFFFFF"/>
                <w:sz w:val="19"/>
                <w:szCs w:val="19"/>
              </w:rPr>
              <w:t xml:space="preserve">Hoy</w:t>
            </w:r>
          </w:p>
        </w:tc>
        <w:tc>
          <w:tcPr>
            <w:tcW w:type="dxa" w:w="3400"/>
            <w:shd w:fill="0A1F4F" w:val="clear"/>
            <w:tcMar>
              <w:top w:type="dxa" w:w="80"/>
              <w:left w:type="dxa" w:w="100"/>
              <w:bottom w:type="dxa" w:w="80"/>
              <w:right w:type="dxa" w:w="100"/>
            </w:tcMar>
          </w:tcPr>
          <w:p>
            <w:r>
              <w:rPr>
                <w:b/>
                <w:bCs/>
                <w:color w:val="FFFFFF"/>
                <w:sz w:val="19"/>
                <w:szCs w:val="19"/>
              </w:rPr>
              <w:t xml:space="preserve">Detalle</w:t>
            </w:r>
          </w:p>
        </w:tc>
      </w:tr>
      <w:tr>
        <w:tc>
          <w:tcPr>
            <w:tcW w:type="dxa" w:w="2400"/>
            <w:tcMar>
              <w:top w:type="dxa" w:w="80"/>
              <w:left w:type="dxa" w:w="100"/>
              <w:bottom w:type="dxa" w:w="80"/>
              <w:right w:type="dxa" w:w="100"/>
            </w:tcMar>
          </w:tcPr>
          <w:p>
            <w:r>
              <w:rPr>
                <w:color w:val="1a1a1a"/>
                <w:sz w:val="19"/>
                <w:szCs w:val="19"/>
              </w:rPr>
              <w:t xml:space="preserve">Title tags</w:t>
            </w:r>
          </w:p>
        </w:tc>
        <w:tc>
          <w:tcPr>
            <w:tcW w:type="dxa" w:w="1700"/>
            <w:tcMar>
              <w:top w:type="dxa" w:w="80"/>
              <w:left w:type="dxa" w:w="100"/>
              <w:bottom w:type="dxa" w:w="80"/>
              <w:right w:type="dxa" w:w="100"/>
            </w:tcMar>
          </w:tcPr>
          <w:p>
            <w:r>
              <w:rPr>
                <w:color w:val="1a1a1a"/>
                <w:sz w:val="19"/>
                <w:szCs w:val="19"/>
              </w:rPr>
              <w:t xml:space="preserve">OK</w:t>
            </w:r>
          </w:p>
        </w:tc>
        <w:tc>
          <w:tcPr>
            <w:tcW w:type="dxa" w:w="2400"/>
            <w:tcMar>
              <w:top w:type="dxa" w:w="80"/>
              <w:left w:type="dxa" w:w="100"/>
              <w:bottom w:type="dxa" w:w="80"/>
              <w:right w:type="dxa" w:w="100"/>
            </w:tcMar>
          </w:tcPr>
          <w:p>
            <w:r>
              <w:rPr>
                <w:color w:val="1a1a1a"/>
                <w:sz w:val="19"/>
                <w:szCs w:val="19"/>
              </w:rPr>
              <w:t xml:space="preserve">OK</w:t>
            </w:r>
          </w:p>
        </w:tc>
        <w:tc>
          <w:tcPr>
            <w:tcW w:type="dxa" w:w="3400"/>
            <w:tcMar>
              <w:top w:type="dxa" w:w="80"/>
              <w:left w:type="dxa" w:w="100"/>
              <w:bottom w:type="dxa" w:w="80"/>
              <w:right w:type="dxa" w:w="100"/>
            </w:tcMar>
          </w:tcPr>
          <w:p>
            <w:r>
              <w:rPr>
                <w:color w:val="1a1a1a"/>
                <w:sz w:val="19"/>
                <w:szCs w:val="19"/>
              </w:rPr>
              <w:t xml:space="preserve">Bien estructurados, keyword + marca.</w:t>
            </w:r>
          </w:p>
        </w:tc>
      </w:tr>
      <w:tr>
        <w:tc>
          <w:tcPr>
            <w:tcW w:type="dxa" w:w="2400"/>
            <w:tcMar>
              <w:top w:type="dxa" w:w="80"/>
              <w:left w:type="dxa" w:w="100"/>
              <w:bottom w:type="dxa" w:w="80"/>
              <w:right w:type="dxa" w:w="100"/>
            </w:tcMar>
          </w:tcPr>
          <w:p>
            <w:r>
              <w:rPr>
                <w:color w:val="1a1a1a"/>
                <w:sz w:val="19"/>
                <w:szCs w:val="19"/>
              </w:rPr>
              <w:t xml:space="preserve">Meta descriptions</w:t>
            </w:r>
          </w:p>
        </w:tc>
        <w:tc>
          <w:tcPr>
            <w:tcW w:type="dxa" w:w="1700"/>
            <w:tcMar>
              <w:top w:type="dxa" w:w="80"/>
              <w:left w:type="dxa" w:w="100"/>
              <w:bottom w:type="dxa" w:w="80"/>
              <w:right w:type="dxa" w:w="100"/>
            </w:tcMar>
          </w:tcPr>
          <w:p>
            <w:r>
              <w:rPr>
                <w:color w:val="1a1a1a"/>
                <w:sz w:val="19"/>
                <w:szCs w:val="19"/>
              </w:rPr>
              <w:t xml:space="preserve">OK</w:t>
            </w:r>
          </w:p>
        </w:tc>
        <w:tc>
          <w:tcPr>
            <w:tcW w:type="dxa" w:w="2400"/>
            <w:tcMar>
              <w:top w:type="dxa" w:w="80"/>
              <w:left w:type="dxa" w:w="100"/>
              <w:bottom w:type="dxa" w:w="80"/>
              <w:right w:type="dxa" w:w="100"/>
            </w:tcMar>
          </w:tcPr>
          <w:p>
            <w:r>
              <w:rPr>
                <w:color w:val="1a1a1a"/>
                <w:sz w:val="19"/>
                <w:szCs w:val="19"/>
              </w:rPr>
              <w:t xml:space="preserve">OK</w:t>
            </w:r>
          </w:p>
        </w:tc>
        <w:tc>
          <w:tcPr>
            <w:tcW w:type="dxa" w:w="3400"/>
            <w:tcMar>
              <w:top w:type="dxa" w:w="80"/>
              <w:left w:type="dxa" w:w="100"/>
              <w:bottom w:type="dxa" w:w="80"/>
              <w:right w:type="dxa" w:w="100"/>
            </w:tcMar>
          </w:tcPr>
          <w:p>
            <w:r>
              <w:rPr>
                <w:color w:val="1a1a1a"/>
                <w:sz w:val="19"/>
                <w:szCs w:val="19"/>
              </w:rPr>
              <w:t xml:space="preserve">Presentes, largo correcto.</w:t>
            </w:r>
          </w:p>
        </w:tc>
      </w:tr>
      <w:tr>
        <w:tc>
          <w:tcPr>
            <w:tcW w:type="dxa" w:w="2400"/>
            <w:tcMar>
              <w:top w:type="dxa" w:w="80"/>
              <w:left w:type="dxa" w:w="100"/>
              <w:bottom w:type="dxa" w:w="80"/>
              <w:right w:type="dxa" w:w="100"/>
            </w:tcMar>
          </w:tcPr>
          <w:p>
            <w:r>
              <w:rPr>
                <w:color w:val="1a1a1a"/>
                <w:sz w:val="19"/>
                <w:szCs w:val="19"/>
              </w:rPr>
              <w:t xml:space="preserve">Open Graph (og:image, og:title)</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Implementado en todas las páginas revisadas.</w:t>
            </w:r>
          </w:p>
        </w:tc>
      </w:tr>
      <w:tr>
        <w:tc>
          <w:tcPr>
            <w:tcW w:type="dxa" w:w="2400"/>
            <w:tcMar>
              <w:top w:type="dxa" w:w="80"/>
              <w:left w:type="dxa" w:w="100"/>
              <w:bottom w:type="dxa" w:w="80"/>
              <w:right w:type="dxa" w:w="100"/>
            </w:tcMar>
          </w:tcPr>
          <w:p>
            <w:r>
              <w:rPr>
                <w:color w:val="1a1a1a"/>
                <w:sz w:val="19"/>
                <w:szCs w:val="19"/>
              </w:rPr>
              <w:t xml:space="preserve">Twitter Card tags</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Implementado.</w:t>
            </w:r>
          </w:p>
        </w:tc>
      </w:tr>
      <w:tr>
        <w:tc>
          <w:tcPr>
            <w:tcW w:type="dxa" w:w="2400"/>
            <w:tcMar>
              <w:top w:type="dxa" w:w="80"/>
              <w:left w:type="dxa" w:w="100"/>
              <w:bottom w:type="dxa" w:w="80"/>
              <w:right w:type="dxa" w:w="100"/>
            </w:tcMar>
          </w:tcPr>
          <w:p>
            <w:r>
              <w:rPr>
                <w:color w:val="1a1a1a"/>
                <w:sz w:val="19"/>
                <w:szCs w:val="19"/>
              </w:rPr>
              <w:t xml:space="preserve">Canonical URLs</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Self-referencing en todas las páginas revisadas.</w:t>
            </w:r>
          </w:p>
        </w:tc>
      </w:tr>
      <w:tr>
        <w:tc>
          <w:tcPr>
            <w:tcW w:type="dxa" w:w="2400"/>
            <w:tcMar>
              <w:top w:type="dxa" w:w="80"/>
              <w:left w:type="dxa" w:w="100"/>
              <w:bottom w:type="dxa" w:w="80"/>
              <w:right w:type="dxa" w:w="100"/>
            </w:tcMar>
          </w:tcPr>
          <w:p>
            <w:r>
              <w:rPr>
                <w:color w:val="1a1a1a"/>
                <w:sz w:val="19"/>
                <w:szCs w:val="19"/>
              </w:rPr>
              <w:t xml:space="preserve">Schema.org Organization</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Implementado con @graph, incluye parentOrganization (Macrogen Inc.).</w:t>
            </w:r>
          </w:p>
        </w:tc>
      </w:tr>
      <w:tr>
        <w:tc>
          <w:tcPr>
            <w:tcW w:type="dxa" w:w="2400"/>
            <w:tcMar>
              <w:top w:type="dxa" w:w="80"/>
              <w:left w:type="dxa" w:w="100"/>
              <w:bottom w:type="dxa" w:w="80"/>
              <w:right w:type="dxa" w:w="100"/>
            </w:tcMar>
          </w:tcPr>
          <w:p>
            <w:r>
              <w:rPr>
                <w:color w:val="1a1a1a"/>
                <w:sz w:val="19"/>
                <w:szCs w:val="19"/>
              </w:rPr>
              <w:t xml:space="preserve">Schema.org LocalBusiness × 2</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Madrid y Santiago como MedicalBusiness independientes.</w:t>
            </w:r>
          </w:p>
        </w:tc>
      </w:tr>
      <w:tr>
        <w:tc>
          <w:tcPr>
            <w:tcW w:type="dxa" w:w="2400"/>
            <w:tcMar>
              <w:top w:type="dxa" w:w="80"/>
              <w:left w:type="dxa" w:w="100"/>
              <w:bottom w:type="dxa" w:w="80"/>
              <w:right w:type="dxa" w:w="100"/>
            </w:tcMar>
          </w:tcPr>
          <w:p>
            <w:r>
              <w:rPr>
                <w:color w:val="1a1a1a"/>
                <w:sz w:val="19"/>
                <w:szCs w:val="19"/>
              </w:rPr>
              <w:t xml:space="preserve">Schema.org BreadcrumbList</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Presente en las 10 páginas de servicio.</w:t>
            </w:r>
          </w:p>
        </w:tc>
      </w:tr>
      <w:tr>
        <w:tc>
          <w:tcPr>
            <w:tcW w:type="dxa" w:w="2400"/>
            <w:tcMar>
              <w:top w:type="dxa" w:w="80"/>
              <w:left w:type="dxa" w:w="100"/>
              <w:bottom w:type="dxa" w:w="80"/>
              <w:right w:type="dxa" w:w="100"/>
            </w:tcMar>
          </w:tcPr>
          <w:p>
            <w:r>
              <w:rPr>
                <w:color w:val="1a1a1a"/>
                <w:sz w:val="19"/>
                <w:szCs w:val="19"/>
              </w:rPr>
              <w:t xml:space="preserve">sitemap.xml</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45 URLs indexadas.</w:t>
            </w:r>
          </w:p>
        </w:tc>
      </w:tr>
      <w:tr>
        <w:tc>
          <w:tcPr>
            <w:tcW w:type="dxa" w:w="2400"/>
            <w:tcMar>
              <w:top w:type="dxa" w:w="80"/>
              <w:left w:type="dxa" w:w="100"/>
              <w:bottom w:type="dxa" w:w="80"/>
              <w:right w:type="dxa" w:w="100"/>
            </w:tcMar>
          </w:tcPr>
          <w:p>
            <w:r>
              <w:rPr>
                <w:color w:val="1a1a1a"/>
                <w:sz w:val="19"/>
                <w:szCs w:val="19"/>
              </w:rPr>
              <w:t xml:space="preserve">robots.txt</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3D6B00"/>
                <w:sz w:val="19"/>
                <w:szCs w:val="19"/>
              </w:rPr>
              <w:t xml:space="preserve">OK</w:t>
            </w:r>
          </w:p>
        </w:tc>
        <w:tc>
          <w:tcPr>
            <w:tcW w:type="dxa" w:w="3400"/>
            <w:tcMar>
              <w:top w:type="dxa" w:w="80"/>
              <w:left w:type="dxa" w:w="100"/>
              <w:bottom w:type="dxa" w:w="80"/>
              <w:right w:type="dxa" w:w="100"/>
            </w:tcMar>
          </w:tcPr>
          <w:p>
            <w:r>
              <w:rPr>
                <w:color w:val="1a1a1a"/>
                <w:sz w:val="19"/>
                <w:szCs w:val="19"/>
              </w:rPr>
              <w:t xml:space="preserve">Presente, referencia el sitemap.</w:t>
            </w:r>
          </w:p>
        </w:tc>
      </w:tr>
      <w:tr>
        <w:tc>
          <w:tcPr>
            <w:tcW w:type="dxa" w:w="2400"/>
            <w:tcMar>
              <w:top w:type="dxa" w:w="80"/>
              <w:left w:type="dxa" w:w="100"/>
              <w:bottom w:type="dxa" w:w="80"/>
              <w:right w:type="dxa" w:w="100"/>
            </w:tcMar>
          </w:tcPr>
          <w:p>
            <w:r>
              <w:rPr>
                <w:color w:val="1a1a1a"/>
                <w:sz w:val="19"/>
                <w:szCs w:val="19"/>
              </w:rPr>
              <w:t xml:space="preserve">Hreflang (es-ES, es-CL, es-PE)</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00BFB2"/>
                <w:sz w:val="19"/>
                <w:szCs w:val="19"/>
              </w:rPr>
              <w:t xml:space="preserve">ROTO → CORREGIDO HOY</w:t>
            </w:r>
          </w:p>
        </w:tc>
        <w:tc>
          <w:tcPr>
            <w:tcW w:type="dxa" w:w="3400"/>
            <w:tcMar>
              <w:top w:type="dxa" w:w="80"/>
              <w:left w:type="dxa" w:w="100"/>
              <w:bottom w:type="dxa" w:w="80"/>
              <w:right w:type="dxa" w:w="100"/>
            </w:tcMar>
          </w:tcPr>
          <w:p>
            <w:r>
              <w:rPr>
                <w:color w:val="1a1a1a"/>
                <w:sz w:val="19"/>
                <w:szCs w:val="19"/>
              </w:rPr>
              <w:t xml:space="preserve">Las 4 variantes apuntaban a la misma URL. Simplificado a "es" + x-default.</w:t>
            </w:r>
          </w:p>
        </w:tc>
      </w:tr>
      <w:tr>
        <w:tc>
          <w:tcPr>
            <w:tcW w:type="dxa" w:w="2400"/>
            <w:tcMar>
              <w:top w:type="dxa" w:w="80"/>
              <w:left w:type="dxa" w:w="100"/>
              <w:bottom w:type="dxa" w:w="80"/>
              <w:right w:type="dxa" w:w="100"/>
            </w:tcMar>
          </w:tcPr>
          <w:p>
            <w:r>
              <w:rPr>
                <w:color w:val="1a1a1a"/>
                <w:sz w:val="19"/>
                <w:szCs w:val="19"/>
              </w:rPr>
              <w:t xml:space="preserve">lang= del HTML</w:t>
            </w:r>
          </w:p>
        </w:tc>
        <w:tc>
          <w:tcPr>
            <w:tcW w:type="dxa" w:w="1700"/>
            <w:tcMar>
              <w:top w:type="dxa" w:w="80"/>
              <w:left w:type="dxa" w:w="100"/>
              <w:bottom w:type="dxa" w:w="80"/>
              <w:right w:type="dxa" w:w="100"/>
            </w:tcMar>
          </w:tcPr>
          <w:p>
            <w:r>
              <w:rPr>
                <w:color w:val="1a1a1a"/>
                <w:sz w:val="19"/>
                <w:szCs w:val="19"/>
              </w:rPr>
              <w:t xml:space="preserve">(no evaluado)</w:t>
            </w:r>
          </w:p>
        </w:tc>
        <w:tc>
          <w:tcPr>
            <w:tcW w:type="dxa" w:w="2400"/>
            <w:tcMar>
              <w:top w:type="dxa" w:w="80"/>
              <w:left w:type="dxa" w:w="100"/>
              <w:bottom w:type="dxa" w:w="80"/>
              <w:right w:type="dxa" w:w="100"/>
            </w:tcMar>
          </w:tcPr>
          <w:p>
            <w:r>
              <w:rPr>
                <w:b/>
                <w:bCs/>
                <w:color w:val="00BFB2"/>
                <w:sz w:val="19"/>
                <w:szCs w:val="19"/>
              </w:rPr>
              <w:t xml:space="preserve">CORREGIDO HOY</w:t>
            </w:r>
          </w:p>
        </w:tc>
        <w:tc>
          <w:tcPr>
            <w:tcW w:type="dxa" w:w="3400"/>
            <w:tcMar>
              <w:top w:type="dxa" w:w="80"/>
              <w:left w:type="dxa" w:w="100"/>
              <w:bottom w:type="dxa" w:w="80"/>
              <w:right w:type="dxa" w:w="100"/>
            </w:tcMar>
          </w:tcPr>
          <w:p>
            <w:r>
              <w:rPr>
                <w:color w:val="1a1a1a"/>
                <w:sz w:val="19"/>
                <w:szCs w:val="19"/>
              </w:rPr>
              <w:t xml:space="preserve">37 páginas declaraban es-CL para todo el público. Cambiado a es (neutro).</w:t>
            </w:r>
          </w:p>
        </w:tc>
      </w:tr>
      <w:tr>
        <w:tc>
          <w:tcPr>
            <w:tcW w:type="dxa" w:w="2400"/>
            <w:tcMar>
              <w:top w:type="dxa" w:w="80"/>
              <w:left w:type="dxa" w:w="100"/>
              <w:bottom w:type="dxa" w:w="80"/>
              <w:right w:type="dxa" w:w="100"/>
            </w:tcMar>
          </w:tcPr>
          <w:p>
            <w:r>
              <w:rPr>
                <w:color w:val="1a1a1a"/>
                <w:sz w:val="19"/>
                <w:szCs w:val="19"/>
              </w:rPr>
              <w:t xml:space="preserve">Schema.org FAQPage</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00BFB2"/>
                <w:sz w:val="19"/>
                <w:szCs w:val="19"/>
              </w:rPr>
              <w:t xml:space="preserve">5/39 → 39/39 HOY</w:t>
            </w:r>
          </w:p>
        </w:tc>
        <w:tc>
          <w:tcPr>
            <w:tcW w:type="dxa" w:w="3400"/>
            <w:tcMar>
              <w:top w:type="dxa" w:w="80"/>
              <w:left w:type="dxa" w:w="100"/>
              <w:bottom w:type="dxa" w:w="80"/>
              <w:right w:type="dxa" w:w="100"/>
            </w:tcMar>
          </w:tcPr>
          <w:p>
            <w:r>
              <w:rPr>
                <w:color w:val="1a1a1a"/>
                <w:sz w:val="19"/>
                <w:szCs w:val="19"/>
              </w:rPr>
              <w:t xml:space="preserve">Regenerado desde el contenido real visible de faq.html.</w:t>
            </w:r>
          </w:p>
        </w:tc>
      </w:tr>
      <w:tr>
        <w:tc>
          <w:tcPr>
            <w:tcW w:type="dxa" w:w="2400"/>
            <w:tcMar>
              <w:top w:type="dxa" w:w="80"/>
              <w:left w:type="dxa" w:w="100"/>
              <w:bottom w:type="dxa" w:w="80"/>
              <w:right w:type="dxa" w:w="100"/>
            </w:tcMar>
          </w:tcPr>
          <w:p>
            <w:r>
              <w:rPr>
                <w:color w:val="1a1a1a"/>
                <w:sz w:val="19"/>
                <w:szCs w:val="19"/>
              </w:rPr>
              <w:t xml:space="preserve">Documentos internos protegidos</w:t>
            </w:r>
          </w:p>
        </w:tc>
        <w:tc>
          <w:tcPr>
            <w:tcW w:type="dxa" w:w="1700"/>
            <w:tcMar>
              <w:top w:type="dxa" w:w="80"/>
              <w:left w:type="dxa" w:w="100"/>
              <w:bottom w:type="dxa" w:w="80"/>
              <w:right w:type="dxa" w:w="100"/>
            </w:tcMar>
          </w:tcPr>
          <w:p>
            <w:r>
              <w:rPr>
                <w:color w:val="1a1a1a"/>
                <w:sz w:val="19"/>
                <w:szCs w:val="19"/>
              </w:rPr>
              <w:t xml:space="preserve">(no evaluado)</w:t>
            </w:r>
          </w:p>
        </w:tc>
        <w:tc>
          <w:tcPr>
            <w:tcW w:type="dxa" w:w="2400"/>
            <w:tcMar>
              <w:top w:type="dxa" w:w="80"/>
              <w:left w:type="dxa" w:w="100"/>
              <w:bottom w:type="dxa" w:w="80"/>
              <w:right w:type="dxa" w:w="100"/>
            </w:tcMar>
          </w:tcPr>
          <w:p>
            <w:r>
              <w:rPr>
                <w:b/>
                <w:bCs/>
                <w:color w:val="00BFB2"/>
                <w:sz w:val="19"/>
                <w:szCs w:val="19"/>
              </w:rPr>
              <w:t xml:space="preserve">CORREGIDO HOY</w:t>
            </w:r>
          </w:p>
        </w:tc>
        <w:tc>
          <w:tcPr>
            <w:tcW w:type="dxa" w:w="3400"/>
            <w:tcMar>
              <w:top w:type="dxa" w:w="80"/>
              <w:left w:type="dxa" w:w="100"/>
              <w:bottom w:type="dxa" w:w="80"/>
              <w:right w:type="dxa" w:w="100"/>
            </w:tcMar>
          </w:tcPr>
          <w:p>
            <w:r>
              <w:rPr>
                <w:color w:val="1a1a1a"/>
                <w:sz w:val="19"/>
                <w:szCs w:val="19"/>
              </w:rPr>
              <w:t xml:space="preserve">PROJECT_LOG.html y la propia Auditoría estaban públicos sin protección.</w:t>
            </w:r>
          </w:p>
        </w:tc>
      </w:tr>
      <w:tr>
        <w:tc>
          <w:tcPr>
            <w:tcW w:type="dxa" w:w="2400"/>
            <w:tcMar>
              <w:top w:type="dxa" w:w="80"/>
              <w:left w:type="dxa" w:w="100"/>
              <w:bottom w:type="dxa" w:w="80"/>
              <w:right w:type="dxa" w:w="100"/>
            </w:tcMar>
          </w:tcPr>
          <w:p>
            <w:r>
              <w:rPr>
                <w:color w:val="1a1a1a"/>
                <w:sz w:val="19"/>
                <w:szCs w:val="19"/>
              </w:rPr>
              <w:t xml:space="preserve">Google Search Console verificado</w:t>
            </w:r>
          </w:p>
        </w:tc>
        <w:tc>
          <w:tcPr>
            <w:tcW w:type="dxa" w:w="1700"/>
            <w:tcMar>
              <w:top w:type="dxa" w:w="80"/>
              <w:left w:type="dxa" w:w="100"/>
              <w:bottom w:type="dxa" w:w="80"/>
              <w:right w:type="dxa" w:w="100"/>
            </w:tcMar>
          </w:tcPr>
          <w:p>
            <w:r>
              <w:rPr>
                <w:color w:val="1a1a1a"/>
                <w:sz w:val="19"/>
                <w:szCs w:val="19"/>
              </w:rPr>
              <w:t xml:space="preserve">DESC.</w:t>
            </w:r>
          </w:p>
        </w:tc>
        <w:tc>
          <w:tcPr>
            <w:tcW w:type="dxa" w:w="2400"/>
            <w:tcMar>
              <w:top w:type="dxa" w:w="80"/>
              <w:left w:type="dxa" w:w="100"/>
              <w:bottom w:type="dxa" w:w="80"/>
              <w:right w:type="dxa" w:w="100"/>
            </w:tcMar>
          </w:tcPr>
          <w:p>
            <w:r>
              <w:rPr>
                <w:b/>
                <w:bCs/>
                <w:color w:val="E0004D"/>
                <w:sz w:val="19"/>
                <w:szCs w:val="19"/>
              </w:rPr>
              <w:t xml:space="preserve">Sigue sin verificar</w:t>
            </w:r>
          </w:p>
        </w:tc>
        <w:tc>
          <w:tcPr>
            <w:tcW w:type="dxa" w:w="3400"/>
            <w:tcMar>
              <w:top w:type="dxa" w:w="80"/>
              <w:left w:type="dxa" w:w="100"/>
              <w:bottom w:type="dxa" w:w="80"/>
              <w:right w:type="dxa" w:w="100"/>
            </w:tcMar>
          </w:tcPr>
          <w:p>
            <w:r>
              <w:rPr>
                <w:color w:val="1a1a1a"/>
                <w:sz w:val="19"/>
                <w:szCs w:val="19"/>
              </w:rPr>
              <w:t xml:space="preserve">No se encontró etiqueta de verificación. Acción tuya — ver Parte 5.</w:t>
            </w:r>
          </w:p>
        </w:tc>
      </w:tr>
      <w:tr>
        <w:tc>
          <w:tcPr>
            <w:tcW w:type="dxa" w:w="2400"/>
            <w:tcMar>
              <w:top w:type="dxa" w:w="80"/>
              <w:left w:type="dxa" w:w="100"/>
              <w:bottom w:type="dxa" w:w="80"/>
              <w:right w:type="dxa" w:w="100"/>
            </w:tcMar>
          </w:tcPr>
          <w:p>
            <w:r>
              <w:rPr>
                <w:color w:val="1a1a1a"/>
                <w:sz w:val="19"/>
                <w:szCs w:val="19"/>
              </w:rPr>
              <w:t xml:space="preserve">Bing Webmaster / Yandex</w:t>
            </w:r>
          </w:p>
        </w:tc>
        <w:tc>
          <w:tcPr>
            <w:tcW w:type="dxa" w:w="1700"/>
            <w:tcMar>
              <w:top w:type="dxa" w:w="80"/>
              <w:left w:type="dxa" w:w="100"/>
              <w:bottom w:type="dxa" w:w="80"/>
              <w:right w:type="dxa" w:w="100"/>
            </w:tcMar>
          </w:tcPr>
          <w:p>
            <w:r>
              <w:rPr>
                <w:color w:val="1a1a1a"/>
                <w:sz w:val="19"/>
                <w:szCs w:val="19"/>
              </w:rPr>
              <w:t xml:space="preserve">FALTA</w:t>
            </w:r>
          </w:p>
        </w:tc>
        <w:tc>
          <w:tcPr>
            <w:tcW w:type="dxa" w:w="2400"/>
            <w:tcMar>
              <w:top w:type="dxa" w:w="80"/>
              <w:left w:type="dxa" w:w="100"/>
              <w:bottom w:type="dxa" w:w="80"/>
              <w:right w:type="dxa" w:w="100"/>
            </w:tcMar>
          </w:tcPr>
          <w:p>
            <w:r>
              <w:rPr>
                <w:b/>
                <w:bCs/>
                <w:color w:val="E0004D"/>
                <w:sz w:val="19"/>
                <w:szCs w:val="19"/>
              </w:rPr>
              <w:t xml:space="preserve">Sigue pendiente</w:t>
            </w:r>
          </w:p>
        </w:tc>
        <w:tc>
          <w:tcPr>
            <w:tcW w:type="dxa" w:w="3400"/>
            <w:tcMar>
              <w:top w:type="dxa" w:w="80"/>
              <w:left w:type="dxa" w:w="100"/>
              <w:bottom w:type="dxa" w:w="80"/>
              <w:right w:type="dxa" w:w="100"/>
            </w:tcMar>
          </w:tcPr>
          <w:p>
            <w:r>
              <w:rPr>
                <w:color w:val="1a1a1a"/>
                <w:sz w:val="19"/>
                <w:szCs w:val="19"/>
              </w:rPr>
              <w:t xml:space="preserve">No evaluado como urgente frente a GSC, pero sigue abierto.</w:t>
            </w:r>
          </w:p>
        </w:tc>
      </w:tr>
      <w:tr>
        <w:tc>
          <w:tcPr>
            <w:tcW w:type="dxa" w:w="2400"/>
            <w:tcMar>
              <w:top w:type="dxa" w:w="80"/>
              <w:left w:type="dxa" w:w="100"/>
              <w:bottom w:type="dxa" w:w="80"/>
              <w:right w:type="dxa" w:w="100"/>
            </w:tcMar>
          </w:tcPr>
          <w:p>
            <w:r>
              <w:rPr>
                <w:color w:val="1a1a1a"/>
                <w:sz w:val="19"/>
                <w:szCs w:val="19"/>
              </w:rPr>
              <w:t xml:space="preserve">Imagen alt text descriptivo</w:t>
            </w:r>
          </w:p>
        </w:tc>
        <w:tc>
          <w:tcPr>
            <w:tcW w:type="dxa" w:w="1700"/>
            <w:tcMar>
              <w:top w:type="dxa" w:w="80"/>
              <w:left w:type="dxa" w:w="100"/>
              <w:bottom w:type="dxa" w:w="80"/>
              <w:right w:type="dxa" w:w="100"/>
            </w:tcMar>
          </w:tcPr>
          <w:p>
            <w:r>
              <w:rPr>
                <w:color w:val="1a1a1a"/>
                <w:sz w:val="19"/>
                <w:szCs w:val="19"/>
              </w:rPr>
              <w:t xml:space="preserve">PARCIAL</w:t>
            </w:r>
          </w:p>
        </w:tc>
        <w:tc>
          <w:tcPr>
            <w:tcW w:type="dxa" w:w="2400"/>
            <w:tcMar>
              <w:top w:type="dxa" w:w="80"/>
              <w:left w:type="dxa" w:w="100"/>
              <w:bottom w:type="dxa" w:w="80"/>
              <w:right w:type="dxa" w:w="100"/>
            </w:tcMar>
          </w:tcPr>
          <w:p>
            <w:r>
              <w:rPr>
                <w:color w:val="1a1a1a"/>
                <w:sz w:val="19"/>
                <w:szCs w:val="19"/>
              </w:rPr>
              <w:t xml:space="preserve">PARCIAL</w:t>
            </w:r>
          </w:p>
        </w:tc>
        <w:tc>
          <w:tcPr>
            <w:tcW w:type="dxa" w:w="3400"/>
            <w:tcMar>
              <w:top w:type="dxa" w:w="80"/>
              <w:left w:type="dxa" w:w="100"/>
              <w:bottom w:type="dxa" w:w="80"/>
              <w:right w:type="dxa" w:w="100"/>
            </w:tcMar>
          </w:tcPr>
          <w:p>
            <w:r>
              <w:rPr>
                <w:color w:val="1a1a1a"/>
                <w:sz w:val="19"/>
                <w:szCs w:val="19"/>
              </w:rPr>
              <w:t xml:space="preserve">Bueno en home; no se auditaron las ~50 páginas restantes una por una.</w:t>
            </w:r>
          </w:p>
        </w:tc>
      </w:tr>
      <w:tr>
        <w:tc>
          <w:tcPr>
            <w:tcW w:type="dxa" w:w="2400"/>
            <w:tcMar>
              <w:top w:type="dxa" w:w="80"/>
              <w:left w:type="dxa" w:w="100"/>
              <w:bottom w:type="dxa" w:w="80"/>
              <w:right w:type="dxa" w:w="100"/>
            </w:tcMar>
          </w:tcPr>
          <w:p>
            <w:r>
              <w:rPr>
                <w:color w:val="1a1a1a"/>
                <w:sz w:val="19"/>
                <w:szCs w:val="19"/>
              </w:rPr>
              <w:t xml:space="preserve">Schema.org Service (por página de servicio)</w:t>
            </w:r>
          </w:p>
        </w:tc>
        <w:tc>
          <w:tcPr>
            <w:tcW w:type="dxa" w:w="1700"/>
            <w:tcMar>
              <w:top w:type="dxa" w:w="80"/>
              <w:left w:type="dxa" w:w="100"/>
              <w:bottom w:type="dxa" w:w="80"/>
              <w:right w:type="dxa" w:w="100"/>
            </w:tcMar>
          </w:tcPr>
          <w:p>
            <w:r>
              <w:rPr>
                <w:color w:val="1a1a1a"/>
                <w:sz w:val="19"/>
                <w:szCs w:val="19"/>
              </w:rPr>
              <w:t xml:space="preserve">(no evaluado)</w:t>
            </w:r>
          </w:p>
        </w:tc>
        <w:tc>
          <w:tcPr>
            <w:tcW w:type="dxa" w:w="2400"/>
            <w:tcMar>
              <w:top w:type="dxa" w:w="80"/>
              <w:left w:type="dxa" w:w="100"/>
              <w:bottom w:type="dxa" w:w="80"/>
              <w:right w:type="dxa" w:w="100"/>
            </w:tcMar>
          </w:tcPr>
          <w:p>
            <w:r>
              <w:rPr>
                <w:b/>
                <w:bCs/>
                <w:color w:val="E0004D"/>
                <w:sz w:val="19"/>
                <w:szCs w:val="19"/>
              </w:rPr>
              <w:t xml:space="preserve">Falta</w:t>
            </w:r>
          </w:p>
        </w:tc>
        <w:tc>
          <w:tcPr>
            <w:tcW w:type="dxa" w:w="3400"/>
            <w:tcMar>
              <w:top w:type="dxa" w:w="80"/>
              <w:left w:type="dxa" w:w="100"/>
              <w:bottom w:type="dxa" w:w="80"/>
              <w:right w:type="dxa" w:w="100"/>
            </w:tcMar>
          </w:tcPr>
          <w:p>
            <w:r>
              <w:rPr>
                <w:color w:val="1a1a1a"/>
                <w:sz w:val="19"/>
                <w:szCs w:val="19"/>
              </w:rPr>
              <w:t xml:space="preserve">Ninguna de las 10 páginas de servicio tiene Service schema — oportunidad concreta, ver Parte 5.</w:t>
            </w:r>
          </w:p>
        </w:tc>
      </w:tr>
      <w:tr>
        <w:tc>
          <w:tcPr>
            <w:tcW w:type="dxa" w:w="2400"/>
            <w:tcMar>
              <w:top w:type="dxa" w:w="80"/>
              <w:left w:type="dxa" w:w="100"/>
              <w:bottom w:type="dxa" w:w="80"/>
              <w:right w:type="dxa" w:w="100"/>
            </w:tcMar>
          </w:tcPr>
          <w:p>
            <w:r>
              <w:rPr>
                <w:color w:val="1a1a1a"/>
                <w:sz w:val="19"/>
                <w:szCs w:val="19"/>
              </w:rPr>
              <w:t xml:space="preserve">Headings H1-H6</w:t>
            </w:r>
          </w:p>
        </w:tc>
        <w:tc>
          <w:tcPr>
            <w:tcW w:type="dxa" w:w="1700"/>
            <w:tcMar>
              <w:top w:type="dxa" w:w="80"/>
              <w:left w:type="dxa" w:w="100"/>
              <w:bottom w:type="dxa" w:w="80"/>
              <w:right w:type="dxa" w:w="100"/>
            </w:tcMar>
          </w:tcPr>
          <w:p>
            <w:r>
              <w:rPr>
                <w:color w:val="1a1a1a"/>
                <w:sz w:val="19"/>
                <w:szCs w:val="19"/>
              </w:rPr>
              <w:t xml:space="preserve">OK</w:t>
            </w:r>
          </w:p>
        </w:tc>
        <w:tc>
          <w:tcPr>
            <w:tcW w:type="dxa" w:w="2400"/>
            <w:tcMar>
              <w:top w:type="dxa" w:w="80"/>
              <w:left w:type="dxa" w:w="100"/>
              <w:bottom w:type="dxa" w:w="80"/>
              <w:right w:type="dxa" w:w="100"/>
            </w:tcMar>
          </w:tcPr>
          <w:p>
            <w:r>
              <w:rPr>
                <w:color w:val="1a1a1a"/>
                <w:sz w:val="19"/>
                <w:szCs w:val="19"/>
              </w:rPr>
              <w:t xml:space="preserve">OK</w:t>
            </w:r>
          </w:p>
        </w:tc>
        <w:tc>
          <w:tcPr>
            <w:tcW w:type="dxa" w:w="3400"/>
            <w:tcMar>
              <w:top w:type="dxa" w:w="80"/>
              <w:left w:type="dxa" w:w="100"/>
              <w:bottom w:type="dxa" w:w="80"/>
              <w:right w:type="dxa" w:w="100"/>
            </w:tcMar>
          </w:tcPr>
          <w:p>
            <w:r>
              <w:rPr>
                <w:color w:val="1a1a1a"/>
                <w:sz w:val="19"/>
                <w:szCs w:val="19"/>
              </w:rPr>
              <w:t xml:space="preserve">Un H1 único por página, sin saltar niveles.</w:t>
            </w:r>
          </w:p>
        </w:tc>
      </w:tr>
    </w:tbl>
    <w:p>
      <w:pPr>
        <w:pStyle w:val="Heading2"/>
        <w:spacing w:after="140" w:before="300"/>
      </w:pPr>
      <w:r>
        <w:t xml:space="preserve">3.1 Hallazgo de seguridad: documentos internos expuestos</w:t>
      </w:r>
    </w:p>
    <w:p>
      <w:pPr>
        <w:pBdr>
          <w:left w:val="single" w:color="E0004D" w:sz="18" w:space="8"/>
        </w:pBdr>
        <w:shd w:fill="FDECEF" w:val="clear"/>
        <w:spacing w:after="200" w:before="80"/>
        <w:ind w:left="100"/>
      </w:pPr>
      <w:r>
        <w:rPr>
          <w:b/>
          <w:bCs/>
          <w:color w:val="E0004D"/>
          <w:sz w:val="20"/>
          <w:szCs w:val="20"/>
        </w:rPr>
        <w:t xml:space="preserve">⚠ </w:t>
      </w:r>
      <w:r>
        <w:rPr>
          <w:color w:val="334155"/>
          <w:sz w:val="20"/>
          <w:szCs w:val="20"/>
        </w:rPr>
        <w:t xml:space="preserve">Encontramos PROJECT_LOG.html y Auditoria_Macrogen_Iberoamerica.html — la propia auditoría estratégica que incluye análisis competitivo, hallazgos críticos de conversión y KPIs internos — publicados en la raíz del repositorio sin protección. Como el sitio se despliega en Vercel directo desde Git sin paso de build, cualquier archivo en el repo es servido tal cual en su URL literal (ej. macrogen-es.com/PROJECT_LOG.html), esté o no enlazado desde algún menú.</w:t>
      </w:r>
    </w:p>
    <w:p>
      <w:pPr>
        <w:spacing w:after="160" w:line="276"/>
      </w:pPr>
      <w:r>
        <w:rPr>
          <w:sz w:val="22"/>
          <w:szCs w:val="22"/>
        </w:rPr>
        <w:t xml:space="preserve">Esto no es solo un problema de SEO (contenido de baja calidad que Google podría indexar si algo lo enlaza alguna vez) — es un problema de confidencialidad: análisis competitivo interno, notas de proyecto y borradores de campañas quedaban alcanzables por cualquiera que adivinara o encontrara la URL.</w:t>
      </w:r>
    </w:p>
    <w:p>
      <w:pPr>
        <w:pBdr>
          <w:left w:val="single" w:color="84BD00" w:sz="18" w:space="8"/>
        </w:pBdr>
        <w:shd w:fill="E9F7EF" w:val="clear"/>
        <w:spacing w:after="200" w:before="80"/>
        <w:ind w:left="100"/>
      </w:pPr>
      <w:r>
        <w:rPr>
          <w:b/>
          <w:bCs/>
          <w:color w:val="3D6B00"/>
          <w:sz w:val="20"/>
          <w:szCs w:val="20"/>
        </w:rPr>
        <w:t xml:space="preserve">✓ CORREGIDO HOY — </w:t>
      </w:r>
      <w:r>
        <w:rPr>
          <w:color w:val="334155"/>
          <w:sz w:val="20"/>
          <w:szCs w:val="20"/>
        </w:rPr>
        <w:t xml:space="preserve">Agregué .vercelignore (excluye estos archivos y las carpetas outputs/, emails/, reports_EN/ del deploy) y reglas Disallow en robots.txt como segunda capa de protección. Esto toma efecto en el próximo deploy — no es retroactivo sobre versiones ya cacheadas por buscadores, así que vale la pena revisar en Google "site:macrogen-es.com PROJECT_LOG" dentro de 1–2 semanas para confirmar que no quedó indexado.</w:t>
      </w:r>
    </w:p>
    <w:p>
      <w:r>
        <w:br w:type="page"/>
      </w:r>
    </w:p>
    <w:p>
      <w:pPr>
        <w:pStyle w:val="Heading1"/>
        <w:pBdr>
          <w:bottom w:val="single" w:color="00BFB2" w:sz="8" w:space="4"/>
        </w:pBdr>
        <w:spacing w:after="200" w:before="400"/>
      </w:pPr>
      <w:r>
        <w:t xml:space="preserve">Parte 5 — Lo que sigue, priorizado</w:t>
      </w:r>
    </w:p>
    <w:p>
      <w:pPr>
        <w:pStyle w:val="Heading2"/>
        <w:spacing w:after="140" w:before="300"/>
      </w:pPr>
      <w:r>
        <w:t xml:space="preserve">P0 — Esta semana, bloquea todo lo demás</w:t>
      </w:r>
    </w:p>
    <w:p>
      <w:pPr>
        <w:pStyle w:val="ListParagraph"/>
        <w:numPr>
          <w:ilvl w:val="0"/>
          <w:numId w:val="1"/>
        </w:numPr>
        <w:spacing w:after="90" w:line="264"/>
      </w:pPr>
      <w:r>
        <w:rPr>
          <w:b/>
          <w:bCs/>
          <w:color w:val="0A1F4F"/>
          <w:sz w:val="22"/>
          <w:szCs w:val="22"/>
        </w:rPr>
        <w:t xml:space="preserve">1. Verificar Google Search Console (todas las propiedades: dominio + www). </w:t>
      </w:r>
      <w:r>
        <w:rPr>
          <w:sz w:val="22"/>
          <w:szCs w:val="22"/>
        </w:rPr>
        <w:t xml:space="preserve">Sin esto no hay forma de ver impresiones, posición promedio ni qué errores de cobertura está viendo Google. Es gratis y toma 10 minutos — el paso que más impacto tiene por menos esfuerzo de toda la lista.</w:t>
      </w:r>
    </w:p>
    <w:p>
      <w:pPr>
        <w:pStyle w:val="ListParagraph"/>
        <w:numPr>
          <w:ilvl w:val="0"/>
          <w:numId w:val="1"/>
        </w:numPr>
        <w:spacing w:after="90" w:line="264"/>
      </w:pPr>
      <w:r>
        <w:rPr>
          <w:b/>
          <w:bCs/>
          <w:color w:val="0A1F4F"/>
          <w:sz w:val="22"/>
          <w:szCs w:val="22"/>
        </w:rPr>
        <w:t xml:space="preserve">2. Verificar Bing Webmaster Tools. </w:t>
      </w:r>
      <w:r>
        <w:rPr>
          <w:sz w:val="22"/>
          <w:szCs w:val="22"/>
        </w:rPr>
        <w:t xml:space="preserve">Bing tiene ~8% de cuota en España y no es ignorable — además, ChatGPT y otras IAs con navegación usan el índice de Bing, no el de Google.</w:t>
      </w:r>
    </w:p>
    <w:p>
      <w:pPr>
        <w:pStyle w:val="ListParagraph"/>
        <w:numPr>
          <w:ilvl w:val="0"/>
          <w:numId w:val="1"/>
        </w:numPr>
        <w:spacing w:after="90" w:line="264"/>
      </w:pPr>
      <w:r>
        <w:rPr>
          <w:b/>
          <w:bCs/>
          <w:color w:val="0A1F4F"/>
          <w:sz w:val="22"/>
          <w:szCs w:val="22"/>
        </w:rPr>
        <w:t xml:space="preserve">3. Borrar manualmente .git/index.lock </w:t>
      </w:r>
      <w:r>
        <w:rPr>
          <w:sz w:val="22"/>
          <w:szCs w:val="22"/>
        </w:rPr>
        <w:t xml:space="preserve">en la carpeta Macrogen-es antes del próximo commit (ver Resumen ejecutivo).</w:t>
      </w:r>
    </w:p>
    <w:p>
      <w:pPr>
        <w:pStyle w:val="Heading2"/>
        <w:spacing w:after="140" w:before="300"/>
      </w:pPr>
      <w:r>
        <w:t xml:space="preserve">P1 — Próximas 2–4 semanas</w:t>
      </w:r>
    </w:p>
    <w:p>
      <w:pPr>
        <w:pStyle w:val="ListParagraph"/>
        <w:numPr>
          <w:ilvl w:val="0"/>
          <w:numId w:val="1"/>
        </w:numPr>
        <w:spacing w:after="90" w:line="264"/>
      </w:pPr>
      <w:r>
        <w:rPr>
          <w:b/>
          <w:bCs/>
          <w:color w:val="0A1F4F"/>
          <w:sz w:val="22"/>
          <w:szCs w:val="22"/>
        </w:rPr>
        <w:t xml:space="preserve">Publicar la landing "NGS España" </w:t>
      </w:r>
      <w:r>
        <w:rPr>
          <w:sz w:val="22"/>
          <w:szCs w:val="22"/>
        </w:rPr>
        <w:t xml:space="preserve">según el wireframe y checklist ya definidos en el documento que subiste. Es el desbloqueador tanto del hreflang real como de las campañas de Ads de la Parte 2.</w:t>
      </w:r>
    </w:p>
    <w:p>
      <w:pPr>
        <w:pStyle w:val="ListParagraph"/>
        <w:numPr>
          <w:ilvl w:val="0"/>
          <w:numId w:val="1"/>
        </w:numPr>
        <w:spacing w:after="90" w:line="264"/>
      </w:pPr>
      <w:r>
        <w:rPr>
          <w:b/>
          <w:bCs/>
          <w:color w:val="0A1F4F"/>
          <w:sz w:val="22"/>
          <w:szCs w:val="22"/>
        </w:rPr>
        <w:t xml:space="preserve">Agregar Schema.org Service a las 10 páginas de servicio </w:t>
      </w:r>
      <w:r>
        <w:rPr>
          <w:sz w:val="22"/>
          <w:szCs w:val="22"/>
        </w:rPr>
        <w:t xml:space="preserve">(servicios/wgs.html, sanger.html, etc.) — cada una con name, description, provider (enlazando al @id de Organization que ya existe), areaServed. Es mecánico y de bajo riesgo, pero requiere pasar página por página con cuidado para no inventar datos — se puede hacer en la próxima sesión.</w:t>
      </w:r>
    </w:p>
    <w:p>
      <w:pPr>
        <w:pStyle w:val="ListParagraph"/>
        <w:numPr>
          <w:ilvl w:val="0"/>
          <w:numId w:val="1"/>
        </w:numPr>
        <w:spacing w:after="90" w:line="264"/>
      </w:pPr>
      <w:r>
        <w:rPr>
          <w:b/>
          <w:bCs/>
          <w:color w:val="0A1F4F"/>
          <w:sz w:val="22"/>
          <w:szCs w:val="22"/>
        </w:rPr>
        <w:t xml:space="preserve">Google Business Profile para Madrid y Santiago. </w:t>
      </w:r>
      <w:r>
        <w:rPr>
          <w:sz w:val="22"/>
          <w:szCs w:val="22"/>
        </w:rPr>
        <w:t xml:space="preserve">Captura intención de búsqueda local ("laboratorio NGS cerca de mí") y es gratis.</w:t>
      </w:r>
    </w:p>
    <w:p>
      <w:pPr>
        <w:pStyle w:val="Heading2"/>
        <w:spacing w:after="140" w:before="300"/>
      </w:pPr>
      <w:r>
        <w:t xml:space="preserve">P2 — 60-90 días</w:t>
      </w:r>
    </w:p>
    <w:p>
      <w:pPr>
        <w:pStyle w:val="ListParagraph"/>
        <w:numPr>
          <w:ilvl w:val="0"/>
          <w:numId w:val="1"/>
        </w:numPr>
        <w:spacing w:after="90" w:line="264"/>
      </w:pPr>
      <w:r>
        <w:rPr>
          <w:b/>
          <w:bCs/>
          <w:color w:val="0A1F4F"/>
          <w:sz w:val="22"/>
          <w:szCs w:val="22"/>
        </w:rPr>
        <w:t xml:space="preserve">Calendario de contenido (12 posts, ya definidos en el audit de mayo). </w:t>
      </w:r>
      <w:r>
        <w:rPr>
          <w:sz w:val="22"/>
          <w:szCs w:val="22"/>
        </w:rPr>
        <w:t xml:space="preserve">Sigue vigente — se detalla abajo en 4.2.</w:t>
      </w:r>
    </w:p>
    <w:p>
      <w:pPr>
        <w:pStyle w:val="ListParagraph"/>
        <w:numPr>
          <w:ilvl w:val="0"/>
          <w:numId w:val="1"/>
        </w:numPr>
        <w:spacing w:after="90" w:line="264"/>
      </w:pPr>
      <w:r>
        <w:rPr>
          <w:b/>
          <w:bCs/>
          <w:color w:val="0A1F4F"/>
          <w:sz w:val="22"/>
          <w:szCs w:val="22"/>
        </w:rPr>
        <w:t xml:space="preserve">LinkedIn corporativo @MacrogenIberoamerica. </w:t>
      </w:r>
      <w:r>
        <w:rPr>
          <w:sz w:val="22"/>
          <w:szCs w:val="22"/>
        </w:rPr>
        <w:t xml:space="preserve">Inexistente hoy según el audit de mayo; 2 posts/semana. El video "NGS Oligo" que ya preparamos (agosto) es un buen primer contenido nativo.</w:t>
      </w:r>
    </w:p>
    <w:p>
      <w:pPr>
        <w:pStyle w:val="ListParagraph"/>
        <w:numPr>
          <w:ilvl w:val="0"/>
          <w:numId w:val="1"/>
        </w:numPr>
        <w:spacing w:after="90" w:line="264"/>
      </w:pPr>
      <w:r>
        <w:rPr>
          <w:b/>
          <w:bCs/>
          <w:color w:val="0A1F4F"/>
          <w:sz w:val="22"/>
          <w:szCs w:val="22"/>
        </w:rPr>
        <w:t xml:space="preserve">Considerar limpiar sitemap.xml </w:t>
      </w:r>
      <w:r>
        <w:rPr>
          <w:sz w:val="22"/>
          <w:szCs w:val="22"/>
        </w:rPr>
        <w:t xml:space="preserve">para que solo liste páginas HTML indexables, no PDFs/XLSX de descarga ni reportes interactivos de muestra — no es un error grave, pero concentra mejor el crawl budget en las páginas que sí quieres rankeando.</w:t>
      </w:r>
    </w:p>
    <w:p>
      <w:pPr>
        <w:pStyle w:val="Heading2"/>
        <w:spacing w:after="140" w:before="300"/>
      </w:pPr>
      <w:r>
        <w:t xml:space="preserve">4.1 Estrategia de keywords (vigente desde el audit de mayo — aún sin rankear)</w:t>
      </w:r>
    </w:p>
    <w:p>
      <w:pPr>
        <w:spacing w:after="160" w:line="276"/>
      </w:pPr>
      <w:r>
        <w:rPr>
          <w:sz w:val="22"/>
          <w:szCs w:val="22"/>
        </w:rPr>
        <w:t xml:space="preserve">Estas son las palabras clave de mayor intención comercial identificadas en mayo. Ninguna rankeaba entonces; vale la pena revisar en Search Console (una vez verificado) si alguna empezó a moverse.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1400"/>
        <w:gridCol w:w="3200"/>
      </w:tblGrid>
      <w:tr>
        <w:trPr>
          <w:tblHeader/>
        </w:trPr>
        <w:tc>
          <w:tcPr>
            <w:tcW w:type="dxa" w:w="3400"/>
            <w:shd w:fill="0A1F4F" w:val="clear"/>
            <w:tcMar>
              <w:top w:type="dxa" w:w="80"/>
              <w:left w:type="dxa" w:w="100"/>
              <w:bottom w:type="dxa" w:w="80"/>
              <w:right w:type="dxa" w:w="100"/>
            </w:tcMar>
          </w:tcPr>
          <w:p>
            <w:r>
              <w:rPr>
                <w:b/>
                <w:bCs/>
                <w:color w:val="FFFFFF"/>
                <w:sz w:val="19"/>
                <w:szCs w:val="19"/>
              </w:rPr>
              <w:t xml:space="preserve">Keyword</w:t>
            </w:r>
          </w:p>
        </w:tc>
        <w:tc>
          <w:tcPr>
            <w:tcW w:type="dxa" w:w="1400"/>
            <w:shd w:fill="0A1F4F" w:val="clear"/>
            <w:tcMar>
              <w:top w:type="dxa" w:w="80"/>
              <w:left w:type="dxa" w:w="100"/>
              <w:bottom w:type="dxa" w:w="80"/>
              <w:right w:type="dxa" w:w="100"/>
            </w:tcMar>
          </w:tcPr>
          <w:p>
            <w:r>
              <w:rPr>
                <w:b/>
                <w:bCs/>
                <w:color w:val="FFFFFF"/>
                <w:sz w:val="19"/>
                <w:szCs w:val="19"/>
              </w:rPr>
              <w:t xml:space="preserve">Vol/mes</w:t>
            </w:r>
          </w:p>
        </w:tc>
        <w:tc>
          <w:tcPr>
            <w:tcW w:type="dxa" w:w="1400"/>
            <w:shd w:fill="0A1F4F" w:val="clear"/>
            <w:tcMar>
              <w:top w:type="dxa" w:w="80"/>
              <w:left w:type="dxa" w:w="100"/>
              <w:bottom w:type="dxa" w:w="80"/>
              <w:right w:type="dxa" w:w="100"/>
            </w:tcMar>
          </w:tcPr>
          <w:p>
            <w:r>
              <w:rPr>
                <w:b/>
                <w:bCs/>
                <w:color w:val="FFFFFF"/>
                <w:sz w:val="19"/>
                <w:szCs w:val="19"/>
              </w:rPr>
              <w:t xml:space="preserve">Dificultad</w:t>
            </w:r>
          </w:p>
        </w:tc>
        <w:tc>
          <w:tcPr>
            <w:tcW w:type="dxa" w:w="3200"/>
            <w:shd w:fill="0A1F4F" w:val="clear"/>
            <w:tcMar>
              <w:top w:type="dxa" w:w="80"/>
              <w:left w:type="dxa" w:w="100"/>
              <w:bottom w:type="dxa" w:w="80"/>
              <w:right w:type="dxa" w:w="100"/>
            </w:tcMar>
          </w:tcPr>
          <w:p>
            <w:r>
              <w:rPr>
                <w:b/>
                <w:bCs/>
                <w:color w:val="FFFFFF"/>
                <w:sz w:val="19"/>
                <w:szCs w:val="19"/>
              </w:rPr>
              <w:t xml:space="preserve">Página objetivo</w:t>
            </w:r>
          </w:p>
        </w:tc>
      </w:tr>
      <w:tr>
        <w:tc>
          <w:tcPr>
            <w:tcW w:type="dxa" w:w="3400"/>
            <w:tcMar>
              <w:top w:type="dxa" w:w="80"/>
              <w:left w:type="dxa" w:w="100"/>
              <w:bottom w:type="dxa" w:w="80"/>
              <w:right w:type="dxa" w:w="100"/>
            </w:tcMar>
          </w:tcPr>
          <w:p>
            <w:r>
              <w:rPr>
                <w:color w:val="1a1a1a"/>
                <w:sz w:val="19"/>
                <w:szCs w:val="19"/>
              </w:rPr>
              <w:t xml:space="preserve">secuenciación NGS precio</w:t>
            </w:r>
          </w:p>
        </w:tc>
        <w:tc>
          <w:tcPr>
            <w:tcW w:type="dxa" w:w="1400"/>
            <w:tcMar>
              <w:top w:type="dxa" w:w="80"/>
              <w:left w:type="dxa" w:w="100"/>
              <w:bottom w:type="dxa" w:w="80"/>
              <w:right w:type="dxa" w:w="100"/>
            </w:tcMar>
          </w:tcPr>
          <w:p>
            <w:r>
              <w:rPr>
                <w:color w:val="1a1a1a"/>
                <w:sz w:val="19"/>
                <w:szCs w:val="19"/>
              </w:rPr>
              <w:t xml:space="preserve">~720</w:t>
            </w:r>
          </w:p>
        </w:tc>
        <w:tc>
          <w:tcPr>
            <w:tcW w:type="dxa" w:w="1400"/>
            <w:tcMar>
              <w:top w:type="dxa" w:w="80"/>
              <w:left w:type="dxa" w:w="100"/>
              <w:bottom w:type="dxa" w:w="80"/>
              <w:right w:type="dxa" w:w="100"/>
            </w:tcMar>
          </w:tcPr>
          <w:p>
            <w:r>
              <w:rPr>
                <w:color w:val="1a1a1a"/>
                <w:sz w:val="19"/>
                <w:szCs w:val="19"/>
              </w:rPr>
              <w:t xml:space="preserve">Media</w:t>
            </w:r>
          </w:p>
        </w:tc>
        <w:tc>
          <w:tcPr>
            <w:tcW w:type="dxa" w:w="3200"/>
            <w:tcMar>
              <w:top w:type="dxa" w:w="80"/>
              <w:left w:type="dxa" w:w="100"/>
              <w:bottom w:type="dxa" w:w="80"/>
              <w:right w:type="dxa" w:w="100"/>
            </w:tcMar>
          </w:tcPr>
          <w:p>
            <w:r>
              <w:rPr>
                <w:color w:val="1a1a1a"/>
                <w:sz w:val="19"/>
                <w:szCs w:val="19"/>
              </w:rPr>
              <w:t xml:space="preserve">contacto.html</w:t>
            </w:r>
          </w:p>
        </w:tc>
      </w:tr>
      <w:tr>
        <w:tc>
          <w:tcPr>
            <w:tcW w:type="dxa" w:w="3400"/>
            <w:tcMar>
              <w:top w:type="dxa" w:w="80"/>
              <w:left w:type="dxa" w:w="100"/>
              <w:bottom w:type="dxa" w:w="80"/>
              <w:right w:type="dxa" w:w="100"/>
            </w:tcMar>
          </w:tcPr>
          <w:p>
            <w:r>
              <w:rPr>
                <w:color w:val="1a1a1a"/>
                <w:sz w:val="19"/>
                <w:szCs w:val="19"/>
              </w:rPr>
              <w:t xml:space="preserve">RNA-seq análisis bioinformática</w:t>
            </w:r>
          </w:p>
        </w:tc>
        <w:tc>
          <w:tcPr>
            <w:tcW w:type="dxa" w:w="1400"/>
            <w:tcMar>
              <w:top w:type="dxa" w:w="80"/>
              <w:left w:type="dxa" w:w="100"/>
              <w:bottom w:type="dxa" w:w="80"/>
              <w:right w:type="dxa" w:w="100"/>
            </w:tcMar>
          </w:tcPr>
          <w:p>
            <w:r>
              <w:rPr>
                <w:color w:val="1a1a1a"/>
                <w:sz w:val="19"/>
                <w:szCs w:val="19"/>
              </w:rPr>
              <w:t xml:space="preserve">~480</w:t>
            </w:r>
          </w:p>
        </w:tc>
        <w:tc>
          <w:tcPr>
            <w:tcW w:type="dxa" w:w="1400"/>
            <w:tcMar>
              <w:top w:type="dxa" w:w="80"/>
              <w:left w:type="dxa" w:w="100"/>
              <w:bottom w:type="dxa" w:w="80"/>
              <w:right w:type="dxa" w:w="100"/>
            </w:tcMar>
          </w:tcPr>
          <w:p>
            <w:r>
              <w:rPr>
                <w:color w:val="1a1a1a"/>
                <w:sz w:val="19"/>
                <w:szCs w:val="19"/>
              </w:rPr>
              <w:t xml:space="preserve">Alta</w:t>
            </w:r>
          </w:p>
        </w:tc>
        <w:tc>
          <w:tcPr>
            <w:tcW w:type="dxa" w:w="3200"/>
            <w:tcMar>
              <w:top w:type="dxa" w:w="80"/>
              <w:left w:type="dxa" w:w="100"/>
              <w:bottom w:type="dxa" w:w="80"/>
              <w:right w:type="dxa" w:w="100"/>
            </w:tcMar>
          </w:tcPr>
          <w:p>
            <w:r>
              <w:rPr>
                <w:color w:val="1a1a1a"/>
                <w:sz w:val="19"/>
                <w:szCs w:val="19"/>
              </w:rPr>
              <w:t xml:space="preserve">servicios/rna-seq.html</w:t>
            </w:r>
          </w:p>
        </w:tc>
      </w:tr>
      <w:tr>
        <w:tc>
          <w:tcPr>
            <w:tcW w:type="dxa" w:w="3400"/>
            <w:tcMar>
              <w:top w:type="dxa" w:w="80"/>
              <w:left w:type="dxa" w:w="100"/>
              <w:bottom w:type="dxa" w:w="80"/>
              <w:right w:type="dxa" w:w="100"/>
            </w:tcMar>
          </w:tcPr>
          <w:p>
            <w:r>
              <w:rPr>
                <w:color w:val="1a1a1a"/>
                <w:sz w:val="19"/>
                <w:szCs w:val="19"/>
              </w:rPr>
              <w:t xml:space="preserve">microbioma 16S laboratorio</w:t>
            </w:r>
          </w:p>
        </w:tc>
        <w:tc>
          <w:tcPr>
            <w:tcW w:type="dxa" w:w="1400"/>
            <w:tcMar>
              <w:top w:type="dxa" w:w="80"/>
              <w:left w:type="dxa" w:w="100"/>
              <w:bottom w:type="dxa" w:w="80"/>
              <w:right w:type="dxa" w:w="100"/>
            </w:tcMar>
          </w:tcPr>
          <w:p>
            <w:r>
              <w:rPr>
                <w:color w:val="1a1a1a"/>
                <w:sz w:val="19"/>
                <w:szCs w:val="19"/>
              </w:rPr>
              <w:t xml:space="preserve">~390</w:t>
            </w:r>
          </w:p>
        </w:tc>
        <w:tc>
          <w:tcPr>
            <w:tcW w:type="dxa" w:w="1400"/>
            <w:tcMar>
              <w:top w:type="dxa" w:w="80"/>
              <w:left w:type="dxa" w:w="100"/>
              <w:bottom w:type="dxa" w:w="80"/>
              <w:right w:type="dxa" w:w="100"/>
            </w:tcMar>
          </w:tcPr>
          <w:p>
            <w:r>
              <w:rPr>
                <w:color w:val="1a1a1a"/>
                <w:sz w:val="19"/>
                <w:szCs w:val="19"/>
              </w:rPr>
              <w:t xml:space="preserve">Media</w:t>
            </w:r>
          </w:p>
        </w:tc>
        <w:tc>
          <w:tcPr>
            <w:tcW w:type="dxa" w:w="3200"/>
            <w:tcMar>
              <w:top w:type="dxa" w:w="80"/>
              <w:left w:type="dxa" w:w="100"/>
              <w:bottom w:type="dxa" w:w="80"/>
              <w:right w:type="dxa" w:w="100"/>
            </w:tcMar>
          </w:tcPr>
          <w:p>
            <w:r>
              <w:rPr>
                <w:color w:val="1a1a1a"/>
                <w:sz w:val="19"/>
                <w:szCs w:val="19"/>
              </w:rPr>
              <w:t xml:space="preserve">servicios/metagenoma.html</w:t>
            </w:r>
          </w:p>
        </w:tc>
      </w:tr>
      <w:tr>
        <w:tc>
          <w:tcPr>
            <w:tcW w:type="dxa" w:w="3400"/>
            <w:tcMar>
              <w:top w:type="dxa" w:w="80"/>
              <w:left w:type="dxa" w:w="100"/>
              <w:bottom w:type="dxa" w:w="80"/>
              <w:right w:type="dxa" w:w="100"/>
            </w:tcMar>
          </w:tcPr>
          <w:p>
            <w:r>
              <w:rPr>
                <w:color w:val="1a1a1a"/>
                <w:sz w:val="19"/>
                <w:szCs w:val="19"/>
              </w:rPr>
              <w:t xml:space="preserve">single cell sequencing precio</w:t>
            </w:r>
          </w:p>
        </w:tc>
        <w:tc>
          <w:tcPr>
            <w:tcW w:type="dxa" w:w="1400"/>
            <w:tcMar>
              <w:top w:type="dxa" w:w="80"/>
              <w:left w:type="dxa" w:w="100"/>
              <w:bottom w:type="dxa" w:w="80"/>
              <w:right w:type="dxa" w:w="100"/>
            </w:tcMar>
          </w:tcPr>
          <w:p>
            <w:r>
              <w:rPr>
                <w:color w:val="1a1a1a"/>
                <w:sz w:val="19"/>
                <w:szCs w:val="19"/>
              </w:rPr>
              <w:t xml:space="preserve">~170</w:t>
            </w:r>
          </w:p>
        </w:tc>
        <w:tc>
          <w:tcPr>
            <w:tcW w:type="dxa" w:w="1400"/>
            <w:tcMar>
              <w:top w:type="dxa" w:w="80"/>
              <w:left w:type="dxa" w:w="100"/>
              <w:bottom w:type="dxa" w:w="80"/>
              <w:right w:type="dxa" w:w="100"/>
            </w:tcMar>
          </w:tcPr>
          <w:p>
            <w:r>
              <w:rPr>
                <w:color w:val="1a1a1a"/>
                <w:sz w:val="19"/>
                <w:szCs w:val="19"/>
              </w:rPr>
              <w:t xml:space="preserve">Media</w:t>
            </w:r>
          </w:p>
        </w:tc>
        <w:tc>
          <w:tcPr>
            <w:tcW w:type="dxa" w:w="3200"/>
            <w:tcMar>
              <w:top w:type="dxa" w:w="80"/>
              <w:left w:type="dxa" w:w="100"/>
              <w:bottom w:type="dxa" w:w="80"/>
              <w:right w:type="dxa" w:w="100"/>
            </w:tcMar>
          </w:tcPr>
          <w:p>
            <w:r>
              <w:rPr>
                <w:color w:val="1a1a1a"/>
                <w:sz w:val="19"/>
                <w:szCs w:val="19"/>
              </w:rPr>
              <w:t xml:space="preserve">servicios/single-cell.html</w:t>
            </w:r>
          </w:p>
        </w:tc>
      </w:tr>
      <w:tr>
        <w:tc>
          <w:tcPr>
            <w:tcW w:type="dxa" w:w="3400"/>
            <w:tcMar>
              <w:top w:type="dxa" w:w="80"/>
              <w:left w:type="dxa" w:w="100"/>
              <w:bottom w:type="dxa" w:w="80"/>
              <w:right w:type="dxa" w:w="100"/>
            </w:tcMar>
          </w:tcPr>
          <w:p>
            <w:r>
              <w:rPr>
                <w:color w:val="1a1a1a"/>
                <w:sz w:val="19"/>
                <w:szCs w:val="19"/>
              </w:rPr>
              <w:t xml:space="preserve">secuenciación Sanger España</w:t>
            </w:r>
          </w:p>
        </w:tc>
        <w:tc>
          <w:tcPr>
            <w:tcW w:type="dxa" w:w="1400"/>
            <w:tcMar>
              <w:top w:type="dxa" w:w="80"/>
              <w:left w:type="dxa" w:w="100"/>
              <w:bottom w:type="dxa" w:w="80"/>
              <w:right w:type="dxa" w:w="100"/>
            </w:tcMar>
          </w:tcPr>
          <w:p>
            <w:r>
              <w:rPr>
                <w:color w:val="1a1a1a"/>
                <w:sz w:val="19"/>
                <w:szCs w:val="19"/>
              </w:rPr>
              <w:t xml:space="preserve">~210</w:t>
            </w:r>
          </w:p>
        </w:tc>
        <w:tc>
          <w:tcPr>
            <w:tcW w:type="dxa" w:w="1400"/>
            <w:tcMar>
              <w:top w:type="dxa" w:w="80"/>
              <w:left w:type="dxa" w:w="100"/>
              <w:bottom w:type="dxa" w:w="80"/>
              <w:right w:type="dxa" w:w="100"/>
            </w:tcMar>
          </w:tcPr>
          <w:p>
            <w:r>
              <w:rPr>
                <w:color w:val="1a1a1a"/>
                <w:sz w:val="19"/>
                <w:szCs w:val="19"/>
              </w:rPr>
              <w:t xml:space="preserve">Baja</w:t>
            </w:r>
          </w:p>
        </w:tc>
        <w:tc>
          <w:tcPr>
            <w:tcW w:type="dxa" w:w="3200"/>
            <w:tcMar>
              <w:top w:type="dxa" w:w="80"/>
              <w:left w:type="dxa" w:w="100"/>
              <w:bottom w:type="dxa" w:w="80"/>
              <w:right w:type="dxa" w:w="100"/>
            </w:tcMar>
          </w:tcPr>
          <w:p>
            <w:r>
              <w:rPr>
                <w:color w:val="1a1a1a"/>
                <w:sz w:val="19"/>
                <w:szCs w:val="19"/>
              </w:rPr>
              <w:t xml:space="preserve">servicios/sanger.html</w:t>
            </w:r>
          </w:p>
        </w:tc>
      </w:tr>
      <w:tr>
        <w:tc>
          <w:tcPr>
            <w:tcW w:type="dxa" w:w="3400"/>
            <w:tcMar>
              <w:top w:type="dxa" w:w="80"/>
              <w:left w:type="dxa" w:w="100"/>
              <w:bottom w:type="dxa" w:w="80"/>
              <w:right w:type="dxa" w:w="100"/>
            </w:tcMar>
          </w:tcPr>
          <w:p>
            <w:r>
              <w:rPr>
                <w:color w:val="1a1a1a"/>
                <w:sz w:val="19"/>
                <w:szCs w:val="19"/>
              </w:rPr>
              <w:t xml:space="preserve">whole genome sequencing chile</w:t>
            </w:r>
          </w:p>
        </w:tc>
        <w:tc>
          <w:tcPr>
            <w:tcW w:type="dxa" w:w="1400"/>
            <w:tcMar>
              <w:top w:type="dxa" w:w="80"/>
              <w:left w:type="dxa" w:w="100"/>
              <w:bottom w:type="dxa" w:w="80"/>
              <w:right w:type="dxa" w:w="100"/>
            </w:tcMar>
          </w:tcPr>
          <w:p>
            <w:r>
              <w:rPr>
                <w:color w:val="1a1a1a"/>
                <w:sz w:val="19"/>
                <w:szCs w:val="19"/>
              </w:rPr>
              <w:t xml:space="preserve">~110</w:t>
            </w:r>
          </w:p>
        </w:tc>
        <w:tc>
          <w:tcPr>
            <w:tcW w:type="dxa" w:w="1400"/>
            <w:tcMar>
              <w:top w:type="dxa" w:w="80"/>
              <w:left w:type="dxa" w:w="100"/>
              <w:bottom w:type="dxa" w:w="80"/>
              <w:right w:type="dxa" w:w="100"/>
            </w:tcMar>
          </w:tcPr>
          <w:p>
            <w:r>
              <w:rPr>
                <w:color w:val="1a1a1a"/>
                <w:sz w:val="19"/>
                <w:szCs w:val="19"/>
              </w:rPr>
              <w:t xml:space="preserve">Baja</w:t>
            </w:r>
          </w:p>
        </w:tc>
        <w:tc>
          <w:tcPr>
            <w:tcW w:type="dxa" w:w="3200"/>
            <w:tcMar>
              <w:top w:type="dxa" w:w="80"/>
              <w:left w:type="dxa" w:w="100"/>
              <w:bottom w:type="dxa" w:w="80"/>
              <w:right w:type="dxa" w:w="100"/>
            </w:tcMar>
          </w:tcPr>
          <w:p>
            <w:r>
              <w:rPr>
                <w:color w:val="1a1a1a"/>
                <w:sz w:val="19"/>
                <w:szCs w:val="19"/>
              </w:rPr>
              <w:t xml:space="preserve">servicios/wgs.html</w:t>
            </w:r>
          </w:p>
        </w:tc>
      </w:tr>
      <w:tr>
        <w:tc>
          <w:tcPr>
            <w:tcW w:type="dxa" w:w="3400"/>
            <w:tcMar>
              <w:top w:type="dxa" w:w="80"/>
              <w:left w:type="dxa" w:w="100"/>
              <w:bottom w:type="dxa" w:w="80"/>
              <w:right w:type="dxa" w:w="100"/>
            </w:tcMar>
          </w:tcPr>
          <w:p>
            <w:r>
              <w:rPr>
                <w:color w:val="1a1a1a"/>
                <w:sz w:val="19"/>
                <w:szCs w:val="19"/>
              </w:rPr>
              <w:t xml:space="preserve">síntesis oligonucleótidos chile</w:t>
            </w:r>
          </w:p>
        </w:tc>
        <w:tc>
          <w:tcPr>
            <w:tcW w:type="dxa" w:w="1400"/>
            <w:tcMar>
              <w:top w:type="dxa" w:w="80"/>
              <w:left w:type="dxa" w:w="100"/>
              <w:bottom w:type="dxa" w:w="80"/>
              <w:right w:type="dxa" w:w="100"/>
            </w:tcMar>
          </w:tcPr>
          <w:p>
            <w:r>
              <w:rPr>
                <w:color w:val="1a1a1a"/>
                <w:sz w:val="19"/>
                <w:szCs w:val="19"/>
              </w:rPr>
              <w:t xml:space="preserve">~90</w:t>
            </w:r>
          </w:p>
        </w:tc>
        <w:tc>
          <w:tcPr>
            <w:tcW w:type="dxa" w:w="1400"/>
            <w:tcMar>
              <w:top w:type="dxa" w:w="80"/>
              <w:left w:type="dxa" w:w="100"/>
              <w:bottom w:type="dxa" w:w="80"/>
              <w:right w:type="dxa" w:w="100"/>
            </w:tcMar>
          </w:tcPr>
          <w:p>
            <w:r>
              <w:rPr>
                <w:color w:val="1a1a1a"/>
                <w:sz w:val="19"/>
                <w:szCs w:val="19"/>
              </w:rPr>
              <w:t xml:space="preserve">Baja</w:t>
            </w:r>
          </w:p>
        </w:tc>
        <w:tc>
          <w:tcPr>
            <w:tcW w:type="dxa" w:w="3200"/>
            <w:tcMar>
              <w:top w:type="dxa" w:w="80"/>
              <w:left w:type="dxa" w:w="100"/>
              <w:bottom w:type="dxa" w:w="80"/>
              <w:right w:type="dxa" w:w="100"/>
            </w:tcMar>
          </w:tcPr>
          <w:p>
            <w:r>
              <w:rPr>
                <w:color w:val="1a1a1a"/>
                <w:sz w:val="19"/>
                <w:szCs w:val="19"/>
              </w:rPr>
              <w:t xml:space="preserve">servicios/oligo.html</w:t>
            </w:r>
          </w:p>
        </w:tc>
      </w:tr>
    </w:tbl>
    <w:p>
      <w:pPr>
        <w:pStyle w:val="Heading2"/>
        <w:spacing w:after="140" w:before="300"/>
      </w:pPr>
      <w:r>
        <w:t xml:space="preserve">4.2 Calendario editorial 90 días (vigente, del audit de mayo)</w:t>
      </w:r>
    </w:p>
    <w:p>
      <w:pPr>
        <w:spacing w:after="160" w:line="276"/>
      </w:pPr>
      <w:r>
        <w:rPr>
          <w:sz w:val="22"/>
          <w:szCs w:val="22"/>
        </w:rPr>
        <w:t xml:space="preserve">Cada post debe tener ≥1.500 palabras, incluir 1 figura/diagrama, y cerrar con CTA + lead magnet relevante:</w:t>
      </w:r>
    </w:p>
    <w:p>
      <w:pPr>
        <w:pStyle w:val="ListParagraph"/>
        <w:numPr>
          <w:ilvl w:val="0"/>
          <w:numId w:val="1"/>
        </w:numPr>
        <w:spacing w:after="90" w:line="264"/>
      </w:pPr>
      <w:r>
        <w:rPr>
          <w:sz w:val="22"/>
          <w:szCs w:val="22"/>
        </w:rPr>
        <w:t xml:space="preserve">Guía completa WGS 30x vs 60x vs 120x: cuál elegir según tu pregunta de investigación</w:t>
      </w:r>
    </w:p>
    <w:p>
      <w:pPr>
        <w:pStyle w:val="ListParagraph"/>
        <w:numPr>
          <w:ilvl w:val="0"/>
          <w:numId w:val="1"/>
        </w:numPr>
        <w:spacing w:after="90" w:line="264"/>
      </w:pPr>
      <w:r>
        <w:rPr>
          <w:sz w:val="22"/>
          <w:szCs w:val="22"/>
        </w:rPr>
        <w:t xml:space="preserve">RNA-Seq desde cero: pipeline GATK + DESeq2 explicado paso a paso</w:t>
      </w:r>
    </w:p>
    <w:p>
      <w:pPr>
        <w:pStyle w:val="ListParagraph"/>
        <w:numPr>
          <w:ilvl w:val="0"/>
          <w:numId w:val="1"/>
        </w:numPr>
        <w:spacing w:after="90" w:line="264"/>
      </w:pPr>
      <w:r>
        <w:rPr>
          <w:sz w:val="22"/>
          <w:szCs w:val="22"/>
        </w:rPr>
        <w:t xml:space="preserve">5 errores que hacen rechazar un manuscrito por baja calidad de secuenciación</w:t>
      </w:r>
    </w:p>
    <w:p>
      <w:pPr>
        <w:pStyle w:val="ListParagraph"/>
        <w:numPr>
          <w:ilvl w:val="0"/>
          <w:numId w:val="1"/>
        </w:numPr>
        <w:spacing w:after="90" w:line="264"/>
      </w:pPr>
      <w:r>
        <w:rPr>
          <w:sz w:val="22"/>
          <w:szCs w:val="22"/>
        </w:rPr>
        <w:t xml:space="preserve">Microbioma del salmón chileno: protocolo metagenómica 16S optimizado</w:t>
      </w:r>
    </w:p>
    <w:p>
      <w:pPr>
        <w:pStyle w:val="ListParagraph"/>
        <w:numPr>
          <w:ilvl w:val="0"/>
          <w:numId w:val="1"/>
        </w:numPr>
        <w:spacing w:after="90" w:line="264"/>
      </w:pPr>
      <w:r>
        <w:rPr>
          <w:sz w:val="22"/>
          <w:szCs w:val="22"/>
        </w:rPr>
        <w:t xml:space="preserve">Single cell vs bulk RNA-Seq: cuándo justifica el costo extra</w:t>
      </w:r>
    </w:p>
    <w:p>
      <w:pPr>
        <w:pStyle w:val="ListParagraph"/>
        <w:numPr>
          <w:ilvl w:val="0"/>
          <w:numId w:val="1"/>
        </w:numPr>
        <w:spacing w:after="90" w:line="264"/>
      </w:pPr>
      <w:r>
        <w:rPr>
          <w:sz w:val="22"/>
          <w:szCs w:val="22"/>
        </w:rPr>
        <w:t xml:space="preserve">Cómo enviar muestras de RNA desde Chile a Madrid sin perder calidad</w:t>
      </w:r>
    </w:p>
    <w:p>
      <w:pPr>
        <w:pStyle w:val="ListParagraph"/>
        <w:numPr>
          <w:ilvl w:val="0"/>
          <w:numId w:val="1"/>
        </w:numPr>
        <w:spacing w:after="90" w:line="264"/>
      </w:pPr>
      <w:r>
        <w:rPr>
          <w:sz w:val="22"/>
          <w:szCs w:val="22"/>
        </w:rPr>
        <w:t xml:space="preserve">Comparativa NovaSeq X Plus vs DNBSEQ T20: por qué elegimos Illumina</w:t>
      </w:r>
    </w:p>
    <w:p>
      <w:pPr>
        <w:pStyle w:val="ListParagraph"/>
        <w:numPr>
          <w:ilvl w:val="0"/>
          <w:numId w:val="1"/>
        </w:numPr>
        <w:spacing w:after="90" w:line="264"/>
      </w:pPr>
      <w:r>
        <w:rPr>
          <w:sz w:val="22"/>
          <w:szCs w:val="22"/>
        </w:rPr>
        <w:t xml:space="preserve">Análisis poblacional con WGS: caso BASE-LATAM y lecciones aprendidas</w:t>
      </w:r>
    </w:p>
    <w:p>
      <w:pPr>
        <w:pStyle w:val="ListParagraph"/>
        <w:numPr>
          <w:ilvl w:val="0"/>
          <w:numId w:val="1"/>
        </w:numPr>
        <w:spacing w:after="90" w:line="264"/>
      </w:pPr>
      <w:r>
        <w:rPr>
          <w:sz w:val="22"/>
          <w:szCs w:val="22"/>
        </w:rPr>
        <w:t xml:space="preserve">Glosario NGS en español: 30 términos que todo investigador debe dominar</w:t>
      </w:r>
    </w:p>
    <w:p>
      <w:pPr>
        <w:pStyle w:val="ListParagraph"/>
        <w:numPr>
          <w:ilvl w:val="0"/>
          <w:numId w:val="1"/>
        </w:numPr>
        <w:spacing w:after="90" w:line="264"/>
      </w:pPr>
      <w:r>
        <w:rPr>
          <w:sz w:val="22"/>
          <w:szCs w:val="22"/>
        </w:rPr>
        <w:t xml:space="preserve">PacBio HiFi vs ONT: long reads para genomas complejos en Iberoamérica</w:t>
      </w:r>
    </w:p>
    <w:p>
      <w:pPr>
        <w:pStyle w:val="ListParagraph"/>
        <w:numPr>
          <w:ilvl w:val="0"/>
          <w:numId w:val="1"/>
        </w:numPr>
        <w:spacing w:after="90" w:line="264"/>
      </w:pPr>
      <w:r>
        <w:rPr>
          <w:sz w:val="22"/>
          <w:szCs w:val="22"/>
        </w:rPr>
        <w:t xml:space="preserve">Costo total de un proyecto WES exome sequencing: presupuesto realista 2026</w:t>
      </w:r>
    </w:p>
    <w:p>
      <w:pPr>
        <w:pStyle w:val="ListParagraph"/>
        <w:numPr>
          <w:ilvl w:val="0"/>
          <w:numId w:val="1"/>
        </w:numPr>
        <w:spacing w:after="90" w:line="264"/>
      </w:pPr>
      <w:r>
        <w:rPr>
          <w:sz w:val="22"/>
          <w:szCs w:val="22"/>
        </w:rPr>
        <w:t xml:space="preserve">Cómo Macrogen Madrid + Santiago coordina cohortes multipaís</w:t>
      </w:r>
    </w:p>
    <w:p>
      <w:pPr>
        <w:pBdr>
          <w:left w:val="single" w:color="00BFB2" w:sz="18" w:space="8"/>
        </w:pBdr>
        <w:shd w:fill="EAF6FB" w:val="clear"/>
        <w:spacing w:after="200" w:before="80"/>
        <w:ind w:left="100"/>
      </w:pPr>
      <w:r>
        <w:rPr>
          <w:i/>
          <w:iCs/>
          <w:color w:val="334155"/>
          <w:sz w:val="20"/>
          <w:szCs w:val="20"/>
        </w:rPr>
        <w:t xml:space="preserve">De estos 12, blog/wgs-wes-targeted-matriz.html y blog/dna-oligos-guia-tecnica.html ya existen publicados — vale la pena revisar cuántos de los 12 temas están cubiertos antes de duplicar esfuerzo.</w:t>
      </w:r>
    </w:p>
    <w:p>
      <w:pPr>
        <w:pStyle w:val="Heading2"/>
        <w:spacing w:after="140" w:before="300"/>
      </w:pPr>
      <w:r>
        <w:t xml:space="preserve">4.3 Panorama competitivo (resumen del audit de mayo, sigue vigente)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600"/>
        <w:gridCol w:w="2600"/>
      </w:tblGrid>
      <w:tr>
        <w:trPr>
          <w:tblHeader/>
        </w:trPr>
        <w:tc>
          <w:tcPr>
            <w:tcW w:type="dxa" w:w="2200"/>
            <w:shd w:fill="0A1F4F" w:val="clear"/>
            <w:tcMar>
              <w:top w:type="dxa" w:w="80"/>
              <w:left w:type="dxa" w:w="100"/>
              <w:bottom w:type="dxa" w:w="80"/>
              <w:right w:type="dxa" w:w="100"/>
            </w:tcMar>
          </w:tcPr>
          <w:p>
            <w:r>
              <w:rPr>
                <w:b/>
                <w:bCs/>
                <w:color w:val="FFFFFF"/>
                <w:sz w:val="19"/>
                <w:szCs w:val="19"/>
              </w:rPr>
              <w:t xml:space="preserve">Competidor</w:t>
            </w:r>
          </w:p>
        </w:tc>
        <w:tc>
          <w:tcPr>
            <w:tcW w:type="dxa" w:w="2600"/>
            <w:shd w:fill="0A1F4F" w:val="clear"/>
            <w:tcMar>
              <w:top w:type="dxa" w:w="80"/>
              <w:left w:type="dxa" w:w="100"/>
              <w:bottom w:type="dxa" w:w="80"/>
              <w:right w:type="dxa" w:w="100"/>
            </w:tcMar>
          </w:tcPr>
          <w:p>
            <w:r>
              <w:rPr>
                <w:b/>
                <w:bCs/>
                <w:color w:val="FFFFFF"/>
                <w:sz w:val="19"/>
                <w:szCs w:val="19"/>
              </w:rPr>
              <w:t xml:space="preserve">Fortaleza</w:t>
            </w:r>
          </w:p>
        </w:tc>
        <w:tc>
          <w:tcPr>
            <w:tcW w:type="dxa" w:w="2600"/>
            <w:shd w:fill="0A1F4F" w:val="clear"/>
            <w:tcMar>
              <w:top w:type="dxa" w:w="80"/>
              <w:left w:type="dxa" w:w="100"/>
              <w:bottom w:type="dxa" w:w="80"/>
              <w:right w:type="dxa" w:w="100"/>
            </w:tcMar>
          </w:tcPr>
          <w:p>
            <w:r>
              <w:rPr>
                <w:b/>
                <w:bCs/>
                <w:color w:val="FFFFFF"/>
                <w:sz w:val="19"/>
                <w:szCs w:val="19"/>
              </w:rPr>
              <w:t xml:space="preserve">Debilidad</w:t>
            </w:r>
          </w:p>
        </w:tc>
        <w:tc>
          <w:tcPr>
            <w:tcW w:type="dxa" w:w="2600"/>
            <w:shd w:fill="0A1F4F" w:val="clear"/>
            <w:tcMar>
              <w:top w:type="dxa" w:w="80"/>
              <w:left w:type="dxa" w:w="100"/>
              <w:bottom w:type="dxa" w:w="80"/>
              <w:right w:type="dxa" w:w="100"/>
            </w:tcMar>
          </w:tcPr>
          <w:p>
            <w:r>
              <w:rPr>
                <w:b/>
                <w:bCs/>
                <w:color w:val="FFFFFF"/>
                <w:sz w:val="19"/>
                <w:szCs w:val="19"/>
              </w:rPr>
              <w:t xml:space="preserve">Cómo ganarles</w:t>
            </w:r>
          </w:p>
        </w:tc>
      </w:tr>
      <w:tr>
        <w:tc>
          <w:tcPr>
            <w:tcW w:type="dxa" w:w="2200"/>
            <w:tcMar>
              <w:top w:type="dxa" w:w="80"/>
              <w:left w:type="dxa" w:w="100"/>
              <w:bottom w:type="dxa" w:w="80"/>
              <w:right w:type="dxa" w:w="100"/>
            </w:tcMar>
          </w:tcPr>
          <w:p>
            <w:r>
              <w:rPr>
                <w:color w:val="1a1a1a"/>
                <w:sz w:val="19"/>
                <w:szCs w:val="19"/>
              </w:rPr>
              <w:t xml:space="preserve">Eurofins Genomics España</w:t>
            </w:r>
          </w:p>
        </w:tc>
        <w:tc>
          <w:tcPr>
            <w:tcW w:type="dxa" w:w="2600"/>
            <w:tcMar>
              <w:top w:type="dxa" w:w="80"/>
              <w:left w:type="dxa" w:w="100"/>
              <w:bottom w:type="dxa" w:w="80"/>
              <w:right w:type="dxa" w:w="100"/>
            </w:tcMar>
          </w:tcPr>
          <w:p>
            <w:r>
              <w:rPr>
                <w:color w:val="1a1a1a"/>
                <w:sz w:val="19"/>
                <w:szCs w:val="19"/>
              </w:rPr>
              <w:t xml:space="preserve">Blog técnico denso (300+ artículos), 10+ años de SEO</w:t>
            </w:r>
          </w:p>
        </w:tc>
        <w:tc>
          <w:tcPr>
            <w:tcW w:type="dxa" w:w="2600"/>
            <w:tcMar>
              <w:top w:type="dxa" w:w="80"/>
              <w:left w:type="dxa" w:w="100"/>
              <w:bottom w:type="dxa" w:w="80"/>
              <w:right w:type="dxa" w:w="100"/>
            </w:tcMar>
          </w:tcPr>
          <w:p>
            <w:r>
              <w:rPr>
                <w:color w:val="1a1a1a"/>
                <w:sz w:val="19"/>
                <w:szCs w:val="19"/>
              </w:rPr>
              <w:t xml:space="preserve">UX desactualizada, sin diferenciación regional, soporte solo horario europeo</w:t>
            </w:r>
          </w:p>
        </w:tc>
        <w:tc>
          <w:tcPr>
            <w:tcW w:type="dxa" w:w="2600"/>
            <w:tcMar>
              <w:top w:type="dxa" w:w="80"/>
              <w:left w:type="dxa" w:w="100"/>
              <w:bottom w:type="dxa" w:w="80"/>
              <w:right w:type="dxa" w:w="100"/>
            </w:tcMar>
          </w:tcPr>
          <w:p>
            <w:r>
              <w:rPr>
                <w:color w:val="1a1a1a"/>
                <w:sz w:val="19"/>
                <w:szCs w:val="19"/>
              </w:rPr>
              <w:t xml:space="preserve">Contenido más práctico ("how to"), soporte en horario LATAM, casos chilenos/peruanos</w:t>
            </w:r>
          </w:p>
        </w:tc>
      </w:tr>
      <w:tr>
        <w:tc>
          <w:tcPr>
            <w:tcW w:type="dxa" w:w="2200"/>
            <w:tcMar>
              <w:top w:type="dxa" w:w="80"/>
              <w:left w:type="dxa" w:w="100"/>
              <w:bottom w:type="dxa" w:w="80"/>
              <w:right w:type="dxa" w:w="100"/>
            </w:tcMar>
          </w:tcPr>
          <w:p>
            <w:r>
              <w:rPr>
                <w:color w:val="1a1a1a"/>
                <w:sz w:val="19"/>
                <w:szCs w:val="19"/>
              </w:rPr>
              <w:t xml:space="preserve">Novogene Europe</w:t>
            </w:r>
          </w:p>
        </w:tc>
        <w:tc>
          <w:tcPr>
            <w:tcW w:type="dxa" w:w="2600"/>
            <w:tcMar>
              <w:top w:type="dxa" w:w="80"/>
              <w:left w:type="dxa" w:w="100"/>
              <w:bottom w:type="dxa" w:w="80"/>
              <w:right w:type="dxa" w:w="100"/>
            </w:tcMar>
          </w:tcPr>
          <w:p>
            <w:r>
              <w:rPr>
                <w:color w:val="1a1a1a"/>
                <w:sz w:val="19"/>
                <w:szCs w:val="19"/>
              </w:rPr>
              <w:t xml:space="preserve">Precios públicos orientativos (raro en la industria), inbound fuerte</w:t>
            </w:r>
          </w:p>
        </w:tc>
        <w:tc>
          <w:tcPr>
            <w:tcW w:type="dxa" w:w="2600"/>
            <w:tcMar>
              <w:top w:type="dxa" w:w="80"/>
              <w:left w:type="dxa" w:w="100"/>
              <w:bottom w:type="dxa" w:w="80"/>
              <w:right w:type="dxa" w:w="100"/>
            </w:tcMar>
          </w:tcPr>
          <w:p>
            <w:r>
              <w:rPr>
                <w:color w:val="1a1a1a"/>
                <w:sz w:val="19"/>
                <w:szCs w:val="19"/>
              </w:rPr>
              <w:t xml:space="preserve">Cero presencia local LATAM, todo se factura desde UK</w:t>
            </w:r>
          </w:p>
        </w:tc>
        <w:tc>
          <w:tcPr>
            <w:tcW w:type="dxa" w:w="2600"/>
            <w:tcMar>
              <w:top w:type="dxa" w:w="80"/>
              <w:left w:type="dxa" w:w="100"/>
              <w:bottom w:type="dxa" w:w="80"/>
              <w:right w:type="dxa" w:w="100"/>
            </w:tcMar>
          </w:tcPr>
          <w:p>
            <w:r>
              <w:rPr>
                <w:color w:val="1a1a1a"/>
                <w:sz w:val="19"/>
                <w:szCs w:val="19"/>
              </w:rPr>
              <w:t xml:space="preserve">Replicar precios orientativos + facturación local + soporte en español 24/7</w:t>
            </w:r>
          </w:p>
        </w:tc>
      </w:tr>
      <w:tr>
        <w:tc>
          <w:tcPr>
            <w:tcW w:type="dxa" w:w="2200"/>
            <w:tcMar>
              <w:top w:type="dxa" w:w="80"/>
              <w:left w:type="dxa" w:w="100"/>
              <w:bottom w:type="dxa" w:w="80"/>
              <w:right w:type="dxa" w:w="100"/>
            </w:tcMar>
          </w:tcPr>
          <w:p>
            <w:r>
              <w:rPr>
                <w:color w:val="1a1a1a"/>
                <w:sz w:val="19"/>
                <w:szCs w:val="19"/>
              </w:rPr>
              <w:t xml:space="preserve">Psomagen (hermana corporativa)</w:t>
            </w:r>
          </w:p>
        </w:tc>
        <w:tc>
          <w:tcPr>
            <w:tcW w:type="dxa" w:w="2600"/>
            <w:tcMar>
              <w:top w:type="dxa" w:w="80"/>
              <w:left w:type="dxa" w:w="100"/>
              <w:bottom w:type="dxa" w:w="80"/>
              <w:right w:type="dxa" w:w="100"/>
            </w:tcMar>
          </w:tcPr>
          <w:p>
            <w:r>
              <w:rPr>
                <w:color w:val="1a1a1a"/>
                <w:sz w:val="19"/>
                <w:szCs w:val="19"/>
              </w:rPr>
              <w:t xml:space="preserve">Branding científico premium, papers en Cell/Nature</w:t>
            </w:r>
          </w:p>
        </w:tc>
        <w:tc>
          <w:tcPr>
            <w:tcW w:type="dxa" w:w="2600"/>
            <w:tcMar>
              <w:top w:type="dxa" w:w="80"/>
              <w:left w:type="dxa" w:w="100"/>
              <w:bottom w:type="dxa" w:w="80"/>
              <w:right w:type="dxa" w:w="100"/>
            </w:tcMar>
          </w:tcPr>
          <w:p>
            <w:r>
              <w:rPr>
                <w:color w:val="1a1a1a"/>
                <w:sz w:val="19"/>
                <w:szCs w:val="19"/>
              </w:rPr>
              <w:t xml:space="preserve">Solo inglés, no atiende hispanoparlante</w:t>
            </w:r>
          </w:p>
        </w:tc>
        <w:tc>
          <w:tcPr>
            <w:tcW w:type="dxa" w:w="2600"/>
            <w:tcMar>
              <w:top w:type="dxa" w:w="80"/>
              <w:left w:type="dxa" w:w="100"/>
              <w:bottom w:type="dxa" w:w="80"/>
              <w:right w:type="dxa" w:w="100"/>
            </w:tcMar>
          </w:tcPr>
          <w:p>
            <w:r>
              <w:rPr>
                <w:color w:val="1a1a1a"/>
                <w:sz w:val="19"/>
                <w:szCs w:val="19"/>
              </w:rPr>
              <w:t xml:space="preserve">Enlazar papers de Psomagen como "red Macrogen" para credibilidad sin competir</w:t>
            </w:r>
          </w:p>
        </w:tc>
      </w:tr>
    </w:tbl>
    <w:p>
      <w:r>
        <w:br w:type="page"/>
      </w:r>
    </w:p>
    <w:p>
      <w:pPr>
        <w:pStyle w:val="Heading1"/>
        <w:pBdr>
          <w:bottom w:val="single" w:color="00BFB2" w:sz="8" w:space="4"/>
        </w:pBdr>
        <w:spacing w:after="200" w:before="400"/>
      </w:pPr>
      <w:r>
        <w:t xml:space="preserve">Parte 6 — Plan de ejecución 30 / 60 / 90 días</w:t>
      </w:r>
    </w:p>
    <w:p>
      <w:pPr>
        <w:pStyle w:val="Heading2"/>
        <w:spacing w:after="140" w:before="300"/>
      </w:pPr>
      <w:r>
        <w:t xml:space="preserve">Días 1–30</w:t>
      </w:r>
    </w:p>
    <w:p>
      <w:pPr>
        <w:pStyle w:val="ListParagraph"/>
        <w:numPr>
          <w:ilvl w:val="0"/>
          <w:numId w:val="1"/>
        </w:numPr>
        <w:spacing w:after="90" w:line="264"/>
      </w:pPr>
      <w:r>
        <w:rPr>
          <w:sz w:val="22"/>
          <w:szCs w:val="22"/>
        </w:rPr>
        <w:t xml:space="preserve">Verificar Google Search Console + Bing Webmaster Tools (tú).</w:t>
      </w:r>
    </w:p>
    <w:p>
      <w:pPr>
        <w:pStyle w:val="ListParagraph"/>
        <w:numPr>
          <w:ilvl w:val="0"/>
          <w:numId w:val="1"/>
        </w:numPr>
        <w:spacing w:after="90" w:line="264"/>
      </w:pPr>
      <w:r>
        <w:rPr>
          <w:sz w:val="22"/>
          <w:szCs w:val="22"/>
        </w:rPr>
        <w:t xml:space="preserve">Borrar .git/index.lock antes del próximo commit (tú).</w:t>
      </w:r>
    </w:p>
    <w:p>
      <w:pPr>
        <w:pStyle w:val="ListParagraph"/>
        <w:numPr>
          <w:ilvl w:val="0"/>
          <w:numId w:val="1"/>
        </w:numPr>
        <w:spacing w:after="90" w:line="264"/>
      </w:pPr>
      <w:r>
        <w:rPr>
          <w:sz w:val="22"/>
          <w:szCs w:val="22"/>
        </w:rPr>
        <w:t xml:space="preserve">Deploy de los cambios de hoy: hreflang, lang="es", FAQ schema, .vercelignore/robots.txt (tú, vía GitHub Desktop).</w:t>
      </w:r>
    </w:p>
    <w:p>
      <w:pPr>
        <w:pStyle w:val="ListParagraph"/>
        <w:numPr>
          <w:ilvl w:val="0"/>
          <w:numId w:val="1"/>
        </w:numPr>
        <w:spacing w:after="90" w:line="264"/>
      </w:pPr>
      <w:r>
        <w:rPr>
          <w:sz w:val="22"/>
          <w:szCs w:val="22"/>
        </w:rPr>
        <w:t xml:space="preserve">Lanzar campaña Google Ads Sanger — España (presupuesto de aprendizaje, "Maximizar clics").</w:t>
      </w:r>
    </w:p>
    <w:p>
      <w:pPr>
        <w:pStyle w:val="ListParagraph"/>
        <w:numPr>
          <w:ilvl w:val="0"/>
          <w:numId w:val="1"/>
        </w:numPr>
        <w:spacing w:after="90" w:line="264"/>
      </w:pPr>
      <w:r>
        <w:rPr>
          <w:sz w:val="22"/>
          <w:szCs w:val="22"/>
        </w:rPr>
        <w:t xml:space="preserve">Publicar landing "NGS España" según el documento ya especificado.</w:t>
      </w:r>
    </w:p>
    <w:p>
      <w:pPr>
        <w:pStyle w:val="Heading2"/>
        <w:spacing w:after="140" w:before="300"/>
      </w:pPr>
      <w:r>
        <w:t xml:space="preserve">Días 31–60</w:t>
      </w:r>
    </w:p>
    <w:p>
      <w:pPr>
        <w:pStyle w:val="ListParagraph"/>
        <w:numPr>
          <w:ilvl w:val="0"/>
          <w:numId w:val="1"/>
        </w:numPr>
        <w:spacing w:after="90" w:line="264"/>
      </w:pPr>
      <w:r>
        <w:rPr>
          <w:sz w:val="22"/>
          <w:szCs w:val="22"/>
        </w:rPr>
        <w:t xml:space="preserve">Lanzar campaña NGS/WGS — España apuntando a la landing dedicada.</w:t>
      </w:r>
    </w:p>
    <w:p>
      <w:pPr>
        <w:pStyle w:val="ListParagraph"/>
        <w:numPr>
          <w:ilvl w:val="0"/>
          <w:numId w:val="1"/>
        </w:numPr>
        <w:spacing w:after="90" w:line="264"/>
      </w:pPr>
      <w:r>
        <w:rPr>
          <w:sz w:val="22"/>
          <w:szCs w:val="22"/>
        </w:rPr>
        <w:t xml:space="preserve">Migrar Sanger a "Maximizar conversiones" una vez acumule ≥15–20 conversiones.</w:t>
      </w:r>
    </w:p>
    <w:p>
      <w:pPr>
        <w:pStyle w:val="ListParagraph"/>
        <w:numPr>
          <w:ilvl w:val="0"/>
          <w:numId w:val="1"/>
        </w:numPr>
        <w:spacing w:after="90" w:line="264"/>
      </w:pPr>
      <w:r>
        <w:rPr>
          <w:sz w:val="22"/>
          <w:szCs w:val="22"/>
        </w:rPr>
        <w:t xml:space="preserve">Agregar Schema.org Service a las 10 páginas de servicio.</w:t>
      </w:r>
    </w:p>
    <w:p>
      <w:pPr>
        <w:pStyle w:val="ListParagraph"/>
        <w:numPr>
          <w:ilvl w:val="0"/>
          <w:numId w:val="1"/>
        </w:numPr>
        <w:spacing w:after="90" w:line="264"/>
      </w:pPr>
      <w:r>
        <w:rPr>
          <w:sz w:val="22"/>
          <w:szCs w:val="22"/>
        </w:rPr>
        <w:t xml:space="preserve">Publicar los primeros 3–4 posts del calendario editorial.</w:t>
      </w:r>
    </w:p>
    <w:p>
      <w:pPr>
        <w:pStyle w:val="ListParagraph"/>
        <w:numPr>
          <w:ilvl w:val="0"/>
          <w:numId w:val="1"/>
        </w:numPr>
        <w:spacing w:after="90" w:line="264"/>
      </w:pPr>
      <w:r>
        <w:rPr>
          <w:sz w:val="22"/>
          <w:szCs w:val="22"/>
        </w:rPr>
        <w:t xml:space="preserve">Crear Google Business Profile Madrid + Santiago.</w:t>
      </w:r>
    </w:p>
    <w:p>
      <w:pPr>
        <w:pStyle w:val="Heading2"/>
        <w:spacing w:after="140" w:before="300"/>
      </w:pPr>
      <w:r>
        <w:t xml:space="preserve">Días 61–90</w:t>
      </w:r>
    </w:p>
    <w:p>
      <w:pPr>
        <w:pStyle w:val="ListParagraph"/>
        <w:numPr>
          <w:ilvl w:val="0"/>
          <w:numId w:val="1"/>
        </w:numPr>
        <w:spacing w:after="90" w:line="264"/>
      </w:pPr>
      <w:r>
        <w:rPr>
          <w:sz w:val="22"/>
          <w:szCs w:val="22"/>
        </w:rPr>
        <w:t xml:space="preserve">Expandir campañas a Chile y Perú (con landing localizada si ya existe, si no, geo-targeting sobre la landing genérica como paso intermedio).</w:t>
      </w:r>
    </w:p>
    <w:p>
      <w:pPr>
        <w:pStyle w:val="ListParagraph"/>
        <w:numPr>
          <w:ilvl w:val="0"/>
          <w:numId w:val="1"/>
        </w:numPr>
        <w:spacing w:after="90" w:line="264"/>
      </w:pPr>
      <w:r>
        <w:rPr>
          <w:sz w:val="22"/>
          <w:szCs w:val="22"/>
        </w:rPr>
        <w:t xml:space="preserve">Activar Performance Max como complemento de Search.</w:t>
      </w:r>
    </w:p>
    <w:p>
      <w:pPr>
        <w:pStyle w:val="ListParagraph"/>
        <w:numPr>
          <w:ilvl w:val="0"/>
          <w:numId w:val="1"/>
        </w:numPr>
        <w:spacing w:after="90" w:line="264"/>
      </w:pPr>
      <w:r>
        <w:rPr>
          <w:sz w:val="22"/>
          <w:szCs w:val="22"/>
        </w:rPr>
        <w:t xml:space="preserve">Configurar importación de conversiones offline desde el CRM.</w:t>
      </w:r>
    </w:p>
    <w:p>
      <w:pPr>
        <w:pStyle w:val="ListParagraph"/>
        <w:numPr>
          <w:ilvl w:val="0"/>
          <w:numId w:val="1"/>
        </w:numPr>
        <w:spacing w:after="90" w:line="264"/>
      </w:pPr>
      <w:r>
        <w:rPr>
          <w:sz w:val="22"/>
          <w:szCs w:val="22"/>
        </w:rPr>
        <w:t xml:space="preserve">Lanzar LinkedIn corporativo, 2 posts/semana.</w:t>
      </w:r>
    </w:p>
    <w:p>
      <w:pPr>
        <w:pStyle w:val="ListParagraph"/>
        <w:numPr>
          <w:ilvl w:val="0"/>
          <w:numId w:val="1"/>
        </w:numPr>
        <w:spacing w:after="90" w:line="264"/>
      </w:pPr>
      <w:r>
        <w:rPr>
          <w:sz w:val="22"/>
          <w:szCs w:val="22"/>
        </w:rPr>
        <w:t xml:space="preserve">Revisar en Search Console si las páginas internas expuestas (PROJECT_LOG, Auditoría) siguen apareciendo indexadas — solicitar remoción manual si es necesario.</w:t>
      </w:r>
    </w:p>
    <w:p>
      <w:r>
        <w:br w:type="page"/>
      </w:r>
    </w:p>
    <w:p>
      <w:pPr>
        <w:pStyle w:val="Heading1"/>
        <w:pBdr>
          <w:bottom w:val="single" w:color="00BFB2" w:sz="8" w:space="4"/>
        </w:pBdr>
        <w:spacing w:after="200" w:before="400"/>
      </w:pPr>
      <w:r>
        <w:t xml:space="preserve">KPIs a trackear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000"/>
      </w:tblGrid>
      <w:tr>
        <w:trPr>
          <w:tblHeader/>
        </w:trPr>
        <w:tc>
          <w:tcPr>
            <w:tcW w:type="dxa" w:w="1800"/>
            <w:shd w:fill="0A1F4F" w:val="clear"/>
            <w:tcMar>
              <w:top w:type="dxa" w:w="80"/>
              <w:left w:type="dxa" w:w="100"/>
              <w:bottom w:type="dxa" w:w="80"/>
              <w:right w:type="dxa" w:w="100"/>
            </w:tcMar>
          </w:tcPr>
          <w:p>
            <w:r>
              <w:rPr>
                <w:b/>
                <w:bCs/>
                <w:color w:val="FFFFFF"/>
                <w:sz w:val="19"/>
                <w:szCs w:val="19"/>
              </w:rPr>
              <w:t xml:space="preserve">Área</w:t>
            </w:r>
          </w:p>
        </w:tc>
        <w:tc>
          <w:tcPr>
            <w:tcW w:type="dxa" w:w="5400"/>
            <w:shd w:fill="0A1F4F" w:val="clear"/>
            <w:tcMar>
              <w:top w:type="dxa" w:w="80"/>
              <w:left w:type="dxa" w:w="100"/>
              <w:bottom w:type="dxa" w:w="80"/>
              <w:right w:type="dxa" w:w="100"/>
            </w:tcMar>
          </w:tcPr>
          <w:p>
            <w:r>
              <w:rPr>
                <w:b/>
                <w:bCs/>
                <w:color w:val="FFFFFF"/>
                <w:sz w:val="19"/>
                <w:szCs w:val="19"/>
              </w:rPr>
              <w:t xml:space="preserve">KPI</w:t>
            </w:r>
          </w:p>
        </w:tc>
        <w:tc>
          <w:tcPr>
            <w:tcW w:type="dxa" w:w="2000"/>
            <w:shd w:fill="0A1F4F" w:val="clear"/>
            <w:tcMar>
              <w:top w:type="dxa" w:w="80"/>
              <w:left w:type="dxa" w:w="100"/>
              <w:bottom w:type="dxa" w:w="80"/>
              <w:right w:type="dxa" w:w="100"/>
            </w:tcMar>
          </w:tcPr>
          <w:p>
            <w:r>
              <w:rPr>
                <w:b/>
                <w:bCs/>
                <w:color w:val="FFFFFF"/>
                <w:sz w:val="19"/>
                <w:szCs w:val="19"/>
              </w:rPr>
              <w:t xml:space="preserve">Frecuencia</w:t>
            </w:r>
          </w:p>
        </w:tc>
      </w:tr>
      <w:tr>
        <w:tc>
          <w:tcPr>
            <w:tcW w:type="dxa" w:w="1800"/>
            <w:tcMar>
              <w:top w:type="dxa" w:w="80"/>
              <w:left w:type="dxa" w:w="100"/>
              <w:bottom w:type="dxa" w:w="80"/>
              <w:right w:type="dxa" w:w="100"/>
            </w:tcMar>
          </w:tcPr>
          <w:p>
            <w:r>
              <w:rPr>
                <w:color w:val="1a1a1a"/>
                <w:sz w:val="19"/>
                <w:szCs w:val="19"/>
              </w:rPr>
              <w:t xml:space="preserve">SEO</w:t>
            </w:r>
          </w:p>
        </w:tc>
        <w:tc>
          <w:tcPr>
            <w:tcW w:type="dxa" w:w="5400"/>
            <w:tcMar>
              <w:top w:type="dxa" w:w="80"/>
              <w:left w:type="dxa" w:w="100"/>
              <w:bottom w:type="dxa" w:w="80"/>
              <w:right w:type="dxa" w:w="100"/>
            </w:tcMar>
          </w:tcPr>
          <w:p>
            <w:r>
              <w:rPr>
                <w:color w:val="1a1a1a"/>
                <w:sz w:val="19"/>
                <w:szCs w:val="19"/>
              </w:rPr>
              <w:t xml:space="preserve">Impresiones y CTR promedio en Search Console, por país objetivo</w:t>
            </w:r>
          </w:p>
        </w:tc>
        <w:tc>
          <w:tcPr>
            <w:tcW w:type="dxa" w:w="2000"/>
            <w:tcMar>
              <w:top w:type="dxa" w:w="80"/>
              <w:left w:type="dxa" w:w="100"/>
              <w:bottom w:type="dxa" w:w="80"/>
              <w:right w:type="dxa" w:w="100"/>
            </w:tcMar>
          </w:tcPr>
          <w:p>
            <w:r>
              <w:rPr>
                <w:color w:val="1a1a1a"/>
                <w:sz w:val="19"/>
                <w:szCs w:val="19"/>
              </w:rPr>
              <w:t xml:space="preserve">Semanal</w:t>
            </w:r>
          </w:p>
        </w:tc>
      </w:tr>
      <w:tr>
        <w:tc>
          <w:tcPr>
            <w:tcW w:type="dxa" w:w="1800"/>
            <w:tcMar>
              <w:top w:type="dxa" w:w="80"/>
              <w:left w:type="dxa" w:w="100"/>
              <w:bottom w:type="dxa" w:w="80"/>
              <w:right w:type="dxa" w:w="100"/>
            </w:tcMar>
          </w:tcPr>
          <w:p>
            <w:r>
              <w:rPr>
                <w:color w:val="1a1a1a"/>
                <w:sz w:val="19"/>
                <w:szCs w:val="19"/>
              </w:rPr>
              <w:t xml:space="preserve">SEO</w:t>
            </w:r>
          </w:p>
        </w:tc>
        <w:tc>
          <w:tcPr>
            <w:tcW w:type="dxa" w:w="5400"/>
            <w:tcMar>
              <w:top w:type="dxa" w:w="80"/>
              <w:left w:type="dxa" w:w="100"/>
              <w:bottom w:type="dxa" w:w="80"/>
              <w:right w:type="dxa" w:w="100"/>
            </w:tcMar>
          </w:tcPr>
          <w:p>
            <w:r>
              <w:rPr>
                <w:color w:val="1a1a1a"/>
                <w:sz w:val="19"/>
                <w:szCs w:val="19"/>
              </w:rPr>
              <w:t xml:space="preserve">Posición promedio de las 7 keywords prioritarias (tabla 4.1)</w:t>
            </w:r>
          </w:p>
        </w:tc>
        <w:tc>
          <w:tcPr>
            <w:tcW w:type="dxa" w:w="2000"/>
            <w:tcMar>
              <w:top w:type="dxa" w:w="80"/>
              <w:left w:type="dxa" w:w="100"/>
              <w:bottom w:type="dxa" w:w="80"/>
              <w:right w:type="dxa" w:w="100"/>
            </w:tcMar>
          </w:tcPr>
          <w:p>
            <w:r>
              <w:rPr>
                <w:color w:val="1a1a1a"/>
                <w:sz w:val="19"/>
                <w:szCs w:val="19"/>
              </w:rPr>
              <w:t xml:space="preserve">Quincenal</w:t>
            </w:r>
          </w:p>
        </w:tc>
      </w:tr>
      <w:tr>
        <w:tc>
          <w:tcPr>
            <w:tcW w:type="dxa" w:w="1800"/>
            <w:tcMar>
              <w:top w:type="dxa" w:w="80"/>
              <w:left w:type="dxa" w:w="100"/>
              <w:bottom w:type="dxa" w:w="80"/>
              <w:right w:type="dxa" w:w="100"/>
            </w:tcMar>
          </w:tcPr>
          <w:p>
            <w:r>
              <w:rPr>
                <w:color w:val="1a1a1a"/>
                <w:sz w:val="19"/>
                <w:szCs w:val="19"/>
              </w:rPr>
              <w:t xml:space="preserve">SEO</w:t>
            </w:r>
          </w:p>
        </w:tc>
        <w:tc>
          <w:tcPr>
            <w:tcW w:type="dxa" w:w="5400"/>
            <w:tcMar>
              <w:top w:type="dxa" w:w="80"/>
              <w:left w:type="dxa" w:w="100"/>
              <w:bottom w:type="dxa" w:w="80"/>
              <w:right w:type="dxa" w:w="100"/>
            </w:tcMar>
          </w:tcPr>
          <w:p>
            <w:r>
              <w:rPr>
                <w:color w:val="1a1a1a"/>
                <w:sz w:val="19"/>
                <w:szCs w:val="19"/>
              </w:rPr>
              <w:t xml:space="preserve">Páginas indexadas vs. páginas en sitemap (cobertura)</w:t>
            </w:r>
          </w:p>
        </w:tc>
        <w:tc>
          <w:tcPr>
            <w:tcW w:type="dxa" w:w="2000"/>
            <w:tcMar>
              <w:top w:type="dxa" w:w="80"/>
              <w:left w:type="dxa" w:w="100"/>
              <w:bottom w:type="dxa" w:w="80"/>
              <w:right w:type="dxa" w:w="100"/>
            </w:tcMar>
          </w:tcPr>
          <w:p>
            <w:r>
              <w:rPr>
                <w:color w:val="1a1a1a"/>
                <w:sz w:val="19"/>
                <w:szCs w:val="19"/>
              </w:rPr>
              <w:t xml:space="preserve">Mensual</w:t>
            </w:r>
          </w:p>
        </w:tc>
      </w:tr>
      <w:tr>
        <w:tc>
          <w:tcPr>
            <w:tcW w:type="dxa" w:w="1800"/>
            <w:tcMar>
              <w:top w:type="dxa" w:w="80"/>
              <w:left w:type="dxa" w:w="100"/>
              <w:bottom w:type="dxa" w:w="80"/>
              <w:right w:type="dxa" w:w="100"/>
            </w:tcMar>
          </w:tcPr>
          <w:p>
            <w:r>
              <w:rPr>
                <w:color w:val="1a1a1a"/>
                <w:sz w:val="19"/>
                <w:szCs w:val="19"/>
              </w:rPr>
              <w:t xml:space="preserve">Ads</w:t>
            </w:r>
          </w:p>
        </w:tc>
        <w:tc>
          <w:tcPr>
            <w:tcW w:type="dxa" w:w="5400"/>
            <w:tcMar>
              <w:top w:type="dxa" w:w="80"/>
              <w:left w:type="dxa" w:w="100"/>
              <w:bottom w:type="dxa" w:w="80"/>
              <w:right w:type="dxa" w:w="100"/>
            </w:tcMar>
          </w:tcPr>
          <w:p>
            <w:r>
              <w:rPr>
                <w:color w:val="1a1a1a"/>
                <w:sz w:val="19"/>
                <w:szCs w:val="19"/>
              </w:rPr>
              <w:t xml:space="preserve">CPL (costo por lead) por ad group, no solo por campaña</w:t>
            </w:r>
          </w:p>
        </w:tc>
        <w:tc>
          <w:tcPr>
            <w:tcW w:type="dxa" w:w="2000"/>
            <w:tcMar>
              <w:top w:type="dxa" w:w="80"/>
              <w:left w:type="dxa" w:w="100"/>
              <w:bottom w:type="dxa" w:w="80"/>
              <w:right w:type="dxa" w:w="100"/>
            </w:tcMar>
          </w:tcPr>
          <w:p>
            <w:r>
              <w:rPr>
                <w:color w:val="1a1a1a"/>
                <w:sz w:val="19"/>
                <w:szCs w:val="19"/>
              </w:rPr>
              <w:t xml:space="preserve">Semanal</w:t>
            </w:r>
          </w:p>
        </w:tc>
      </w:tr>
      <w:tr>
        <w:tc>
          <w:tcPr>
            <w:tcW w:type="dxa" w:w="1800"/>
            <w:tcMar>
              <w:top w:type="dxa" w:w="80"/>
              <w:left w:type="dxa" w:w="100"/>
              <w:bottom w:type="dxa" w:w="80"/>
              <w:right w:type="dxa" w:w="100"/>
            </w:tcMar>
          </w:tcPr>
          <w:p>
            <w:r>
              <w:rPr>
                <w:color w:val="1a1a1a"/>
                <w:sz w:val="19"/>
                <w:szCs w:val="19"/>
              </w:rPr>
              <w:t xml:space="preserve">Ads</w:t>
            </w:r>
          </w:p>
        </w:tc>
        <w:tc>
          <w:tcPr>
            <w:tcW w:type="dxa" w:w="5400"/>
            <w:tcMar>
              <w:top w:type="dxa" w:w="80"/>
              <w:left w:type="dxa" w:w="100"/>
              <w:bottom w:type="dxa" w:w="80"/>
              <w:right w:type="dxa" w:w="100"/>
            </w:tcMar>
          </w:tcPr>
          <w:p>
            <w:r>
              <w:rPr>
                <w:color w:val="1a1a1a"/>
                <w:sz w:val="19"/>
                <w:szCs w:val="19"/>
              </w:rPr>
              <w:t xml:space="preserve">Quality Score promedio por campaña</w:t>
            </w:r>
          </w:p>
        </w:tc>
        <w:tc>
          <w:tcPr>
            <w:tcW w:type="dxa" w:w="2000"/>
            <w:tcMar>
              <w:top w:type="dxa" w:w="80"/>
              <w:left w:type="dxa" w:w="100"/>
              <w:bottom w:type="dxa" w:w="80"/>
              <w:right w:type="dxa" w:w="100"/>
            </w:tcMar>
          </w:tcPr>
          <w:p>
            <w:r>
              <w:rPr>
                <w:color w:val="1a1a1a"/>
                <w:sz w:val="19"/>
                <w:szCs w:val="19"/>
              </w:rPr>
              <w:t xml:space="preserve">Semanal</w:t>
            </w:r>
          </w:p>
        </w:tc>
      </w:tr>
      <w:tr>
        <w:tc>
          <w:tcPr>
            <w:tcW w:type="dxa" w:w="1800"/>
            <w:tcMar>
              <w:top w:type="dxa" w:w="80"/>
              <w:left w:type="dxa" w:w="100"/>
              <w:bottom w:type="dxa" w:w="80"/>
              <w:right w:type="dxa" w:w="100"/>
            </w:tcMar>
          </w:tcPr>
          <w:p>
            <w:r>
              <w:rPr>
                <w:color w:val="1a1a1a"/>
                <w:sz w:val="19"/>
                <w:szCs w:val="19"/>
              </w:rPr>
              <w:t xml:space="preserve">Ads</w:t>
            </w:r>
          </w:p>
        </w:tc>
        <w:tc>
          <w:tcPr>
            <w:tcW w:type="dxa" w:w="5400"/>
            <w:tcMar>
              <w:top w:type="dxa" w:w="80"/>
              <w:left w:type="dxa" w:w="100"/>
              <w:bottom w:type="dxa" w:w="80"/>
              <w:right w:type="dxa" w:w="100"/>
            </w:tcMar>
          </w:tcPr>
          <w:p>
            <w:r>
              <w:rPr>
                <w:color w:val="1a1a1a"/>
                <w:sz w:val="19"/>
                <w:szCs w:val="19"/>
              </w:rPr>
              <w:t xml:space="preserve">Tasa de conversión de leads de Ads → clientes reales (vía CRM)</w:t>
            </w:r>
          </w:p>
        </w:tc>
        <w:tc>
          <w:tcPr>
            <w:tcW w:type="dxa" w:w="2000"/>
            <w:tcMar>
              <w:top w:type="dxa" w:w="80"/>
              <w:left w:type="dxa" w:w="100"/>
              <w:bottom w:type="dxa" w:w="80"/>
              <w:right w:type="dxa" w:w="100"/>
            </w:tcMar>
          </w:tcPr>
          <w:p>
            <w:r>
              <w:rPr>
                <w:color w:val="1a1a1a"/>
                <w:sz w:val="19"/>
                <w:szCs w:val="19"/>
              </w:rPr>
              <w:t xml:space="preserve">Mensual</w:t>
            </w:r>
          </w:p>
        </w:tc>
      </w:tr>
      <w:tr>
        <w:tc>
          <w:tcPr>
            <w:tcW w:type="dxa" w:w="1800"/>
            <w:tcMar>
              <w:top w:type="dxa" w:w="80"/>
              <w:left w:type="dxa" w:w="100"/>
              <w:bottom w:type="dxa" w:w="80"/>
              <w:right w:type="dxa" w:w="100"/>
            </w:tcMar>
          </w:tcPr>
          <w:p>
            <w:r>
              <w:rPr>
                <w:color w:val="1a1a1a"/>
                <w:sz w:val="19"/>
                <w:szCs w:val="19"/>
              </w:rPr>
              <w:t xml:space="preserve">Negocio</w:t>
            </w:r>
          </w:p>
        </w:tc>
        <w:tc>
          <w:tcPr>
            <w:tcW w:type="dxa" w:w="5400"/>
            <w:tcMar>
              <w:top w:type="dxa" w:w="80"/>
              <w:left w:type="dxa" w:w="100"/>
              <w:bottom w:type="dxa" w:w="80"/>
              <w:right w:type="dxa" w:w="100"/>
            </w:tcMar>
          </w:tcPr>
          <w:p>
            <w:r>
              <w:rPr>
                <w:color w:val="1a1a1a"/>
                <w:sz w:val="19"/>
                <w:szCs w:val="19"/>
              </w:rPr>
              <w:t xml:space="preserve">% de tráfico orgánico vs. pagado vs. directo/email</w:t>
            </w:r>
          </w:p>
        </w:tc>
        <w:tc>
          <w:tcPr>
            <w:tcW w:type="dxa" w:w="2000"/>
            <w:tcMar>
              <w:top w:type="dxa" w:w="80"/>
              <w:left w:type="dxa" w:w="100"/>
              <w:bottom w:type="dxa" w:w="80"/>
              <w:right w:type="dxa" w:w="100"/>
            </w:tcMar>
          </w:tcPr>
          <w:p>
            <w:r>
              <w:rPr>
                <w:color w:val="1a1a1a"/>
                <w:sz w:val="19"/>
                <w:szCs w:val="19"/>
              </w:rPr>
              <w:t xml:space="preserve">Mensual</w:t>
            </w:r>
          </w:p>
        </w:tc>
      </w:tr>
      <w:tr>
        <w:tc>
          <w:tcPr>
            <w:tcW w:type="dxa" w:w="1800"/>
            <w:tcMar>
              <w:top w:type="dxa" w:w="80"/>
              <w:left w:type="dxa" w:w="100"/>
              <w:bottom w:type="dxa" w:w="80"/>
              <w:right w:type="dxa" w:w="100"/>
            </w:tcMar>
          </w:tcPr>
          <w:p>
            <w:r>
              <w:rPr>
                <w:color w:val="1a1a1a"/>
                <w:sz w:val="19"/>
                <w:szCs w:val="19"/>
              </w:rPr>
              <w:t xml:space="preserve">Negocio</w:t>
            </w:r>
          </w:p>
        </w:tc>
        <w:tc>
          <w:tcPr>
            <w:tcW w:type="dxa" w:w="5400"/>
            <w:tcMar>
              <w:top w:type="dxa" w:w="80"/>
              <w:left w:type="dxa" w:w="100"/>
              <w:bottom w:type="dxa" w:w="80"/>
              <w:right w:type="dxa" w:w="100"/>
            </w:tcMar>
          </w:tcPr>
          <w:p>
            <w:r>
              <w:rPr>
                <w:color w:val="1a1a1a"/>
                <w:sz w:val="19"/>
                <w:szCs w:val="19"/>
              </w:rPr>
              <w:t xml:space="preserve">Leads por hub (Madrid vs. Santiago) y por país</w:t>
            </w:r>
          </w:p>
        </w:tc>
        <w:tc>
          <w:tcPr>
            <w:tcW w:type="dxa" w:w="2000"/>
            <w:tcMar>
              <w:top w:type="dxa" w:w="80"/>
              <w:left w:type="dxa" w:w="100"/>
              <w:bottom w:type="dxa" w:w="80"/>
              <w:right w:type="dxa" w:w="100"/>
            </w:tcMar>
          </w:tcPr>
          <w:p>
            <w:r>
              <w:rPr>
                <w:color w:val="1a1a1a"/>
                <w:sz w:val="19"/>
                <w:szCs w:val="19"/>
              </w:rPr>
              <w:t xml:space="preserve">Mensual</w:t>
            </w:r>
          </w:p>
        </w:tc>
      </w:tr>
    </w:tbl>
    <w:p>
      <w:r>
        <w:br w:type="page"/>
      </w:r>
    </w:p>
    <w:p>
      <w:pPr>
        <w:pStyle w:val="Heading1"/>
        <w:pBdr>
          <w:bottom w:val="single" w:color="00BFB2" w:sz="8" w:space="4"/>
        </w:pBdr>
        <w:spacing w:after="200" w:before="400"/>
      </w:pPr>
      <w:r>
        <w:t xml:space="preserve">Fuentes consultadas</w:t>
      </w:r>
    </w:p>
    <w:p>
      <w:pPr>
        <w:spacing w:after="160" w:line="276"/>
      </w:pPr>
      <w:r>
        <w:rPr>
          <w:i/>
          <w:iCs/>
          <w:color w:val="6B7280"/>
          <w:sz w:val="22"/>
          <w:szCs w:val="22"/>
        </w:rPr>
        <w:t xml:space="preserve">Búsquedas realizadas en agosto de 2026 para asegurar que los datos de mecánica de subasta, benchmarks de CPC y prácticas de SEO/hreflang reflejan el estado actual (no solo conocimiento de entrenamiento):</w:t>
      </w:r>
    </w:p>
    <w:p>
      <w:pPr>
        <w:spacing w:after="60"/>
      </w:pPr>
      <w:r>
        <w:rPr>
          <w:color w:val="334155"/>
          <w:sz w:val="18"/>
          <w:szCs w:val="18"/>
        </w:rPr>
        <w:t xml:space="preserve">Cómo funciona la subasta de Google Ads — </w:t>
      </w:r>
      <w:hyperlink w:history="1" r:id="rId08n2elinre06oautudney">
        <w:r>
          <w:rPr>
            <w:color w:val="00BFB2"/>
            <w:sz w:val="18"/>
            <w:szCs w:val="18"/>
            <w:u w:val="single"/>
          </w:rPr>
          <w:t xml:space="preserve">https://www.digitalapplied.com/blog/how-google-ads-auction-works-complete-breakdown</w:t>
        </w:r>
      </w:hyperlink>
    </w:p>
    <w:p>
      <w:pPr>
        <w:spacing w:after="60"/>
      </w:pPr>
      <w:r>
        <w:rPr>
          <w:color w:val="334155"/>
          <w:sz w:val="18"/>
          <w:szCs w:val="18"/>
        </w:rPr>
        <w:t xml:space="preserve">Quality Score y Ad Rank 2026 — </w:t>
      </w:r>
      <w:hyperlink w:history="1" r:id="rIdbfgriu0df8c_q0jv1qf53">
        <w:r>
          <w:rPr>
            <w:color w:val="00BFB2"/>
            <w:sz w:val="18"/>
            <w:szCs w:val="18"/>
            <w:u w:val="single"/>
          </w:rPr>
          <w:t xml:space="preserve">https://www.mbadv.agency/google-ads/quality-score-and-ad-rank</w:t>
        </w:r>
      </w:hyperlink>
    </w:p>
    <w:p>
      <w:pPr>
        <w:spacing w:after="60"/>
      </w:pPr>
      <w:r>
        <w:rPr>
          <w:color w:val="334155"/>
          <w:sz w:val="18"/>
          <w:szCs w:val="18"/>
        </w:rPr>
        <w:t xml:space="preserve">Quality Score — qué mueve la aguja en 2026 — </w:t>
      </w:r>
      <w:hyperlink w:history="1" r:id="rIda9oh93uqbal28gbtxdtdg">
        <w:r>
          <w:rPr>
            <w:color w:val="00BFB2"/>
            <w:sz w:val="18"/>
            <w:szCs w:val="18"/>
            <w:u w:val="single"/>
          </w:rPr>
          <w:t xml:space="preserve">https://lionelz.com/en/blog/google-ads-quality-score/</w:t>
        </w:r>
      </w:hyperlink>
    </w:p>
    <w:p>
      <w:pPr>
        <w:spacing w:after="60"/>
      </w:pPr>
      <w:r>
        <w:rPr>
          <w:color w:val="334155"/>
          <w:sz w:val="18"/>
          <w:szCs w:val="18"/>
        </w:rPr>
        <w:t xml:space="preserve">Benchmarks Google Ads 2026 por industria — </w:t>
      </w:r>
      <w:hyperlink w:history="1" r:id="rIdylo7nymvs4f5hw6glzkqt">
        <w:r>
          <w:rPr>
            <w:color w:val="00BFB2"/>
            <w:sz w:val="18"/>
            <w:szCs w:val="18"/>
            <w:u w:val="single"/>
          </w:rPr>
          <w:t xml:space="preserve">https://metricnexus.ai/blog/google-ads-benchmarks-2026</w:t>
        </w:r>
      </w:hyperlink>
    </w:p>
    <w:p>
      <w:pPr>
        <w:spacing w:after="60"/>
      </w:pPr>
      <w:r>
        <w:rPr>
          <w:color w:val="334155"/>
          <w:sz w:val="18"/>
          <w:szCs w:val="18"/>
        </w:rPr>
        <w:t xml:space="preserve">Benchmarks B2B SaaS 2026 — </w:t>
      </w:r>
      <w:hyperlink w:history="1" r:id="rId7crdjekev5wwrupt0gl5n">
        <w:r>
          <w:rPr>
            <w:color w:val="00BFB2"/>
            <w:sz w:val="18"/>
            <w:szCs w:val="18"/>
            <w:u w:val="single"/>
          </w:rPr>
          <w:t xml:space="preserve">https://www.kampaio.com/blog/b2b-saas-google-ads-benchmarks-2026</w:t>
        </w:r>
      </w:hyperlink>
    </w:p>
    <w:p>
      <w:pPr>
        <w:spacing w:after="60"/>
      </w:pPr>
      <w:r>
        <w:rPr>
          <w:color w:val="334155"/>
          <w:sz w:val="18"/>
          <w:szCs w:val="18"/>
        </w:rPr>
        <w:t xml:space="preserve">Tipos de campaña Google Ads 2026 — matriz de decisión — </w:t>
      </w:r>
      <w:hyperlink w:history="1" r:id="rIdc2gguazvfvk2thljiglqe">
        <w:r>
          <w:rPr>
            <w:color w:val="00BFB2"/>
            <w:sz w:val="18"/>
            <w:szCs w:val="18"/>
            <w:u w:val="single"/>
          </w:rPr>
          <w:t xml:space="preserve">https://www.mbadv.agency/google-ads/campaign-types</w:t>
        </w:r>
      </w:hyperlink>
    </w:p>
    <w:p>
      <w:pPr>
        <w:spacing w:after="60"/>
      </w:pPr>
      <w:r>
        <w:rPr>
          <w:color w:val="334155"/>
          <w:sz w:val="18"/>
          <w:szCs w:val="18"/>
        </w:rPr>
        <w:t xml:space="preserve">Google Ads Strategy 2026 — B2B lead generation — </w:t>
      </w:r>
      <w:hyperlink w:history="1" r:id="rIdougl2vlo7ftduq-5ge7oc">
        <w:r>
          <w:rPr>
            <w:color w:val="00BFB2"/>
            <w:sz w:val="18"/>
            <w:szCs w:val="18"/>
            <w:u w:val="single"/>
          </w:rPr>
          <w:t xml:space="preserve">https://www.factors.ai/blog/google-ads-strategy</w:t>
        </w:r>
      </w:hyperlink>
    </w:p>
    <w:p>
      <w:pPr>
        <w:spacing w:after="60"/>
      </w:pPr>
      <w:r>
        <w:rPr>
          <w:color w:val="334155"/>
          <w:sz w:val="18"/>
          <w:szCs w:val="18"/>
        </w:rPr>
        <w:t xml:space="preserve">Checklist técnico de SEO 2026 — </w:t>
      </w:r>
      <w:hyperlink w:history="1" r:id="rIdx-mhckoe5--5f7hgwm-d8">
        <w:r>
          <w:rPr>
            <w:color w:val="00BFB2"/>
            <w:sz w:val="18"/>
            <w:szCs w:val="18"/>
            <w:u w:val="single"/>
          </w:rPr>
          <w:t xml:space="preserve">https://www.debugbear.com/blog/technical-seo-checklist</w:t>
        </w:r>
      </w:hyperlink>
    </w:p>
    <w:p>
      <w:pPr>
        <w:spacing w:after="60"/>
      </w:pPr>
      <w:r>
        <w:rPr>
          <w:color w:val="334155"/>
          <w:sz w:val="18"/>
          <w:szCs w:val="18"/>
        </w:rPr>
        <w:t xml:space="preserve">Contenido útil y E-E-A-T — Google Search Central (oficial) — </w:t>
      </w:r>
      <w:hyperlink w:history="1" r:id="rIdvlvuiye2-v7q6rkup8sbt">
        <w:r>
          <w:rPr>
            <w:color w:val="00BFB2"/>
            <w:sz w:val="18"/>
            <w:szCs w:val="18"/>
            <w:u w:val="single"/>
          </w:rPr>
          <w:t xml:space="preserve">https://developers.google.com/search/docs/fundamentals/creating-helpful-content</w:t>
        </w:r>
      </w:hyperlink>
    </w:p>
    <w:p>
      <w:pPr>
        <w:spacing w:after="60"/>
      </w:pPr>
      <w:r>
        <w:rPr>
          <w:color w:val="334155"/>
          <w:sz w:val="18"/>
          <w:szCs w:val="18"/>
        </w:rPr>
        <w:t xml:space="preserve">Buenas prácticas de hreflang y errores comunes — </w:t>
      </w:r>
      <w:hyperlink w:history="1" r:id="rIdpg5aqkob6t1yfcd92jr3n">
        <w:r>
          <w:rPr>
            <w:color w:val="00BFB2"/>
            <w:sz w:val="18"/>
            <w:szCs w:val="18"/>
            <w:u w:val="single"/>
          </w:rPr>
          <w:t xml:space="preserve">https://seeders.com/blog/how-to-implement-hreflang-tags-if-you-target-multiple-regions/</w:t>
        </w:r>
      </w:hyperlink>
    </w:p>
    <w:p>
      <w:pPr>
        <w:spacing w:after="60"/>
      </w:pPr>
      <w:r>
        <w:rPr>
          <w:color w:val="334155"/>
          <w:sz w:val="18"/>
          <w:szCs w:val="18"/>
        </w:rPr>
        <w:t xml:space="preserve">Guía completa de hreflang para SEO — </w:t>
      </w:r>
      <w:hyperlink w:history="1" r:id="rIdgepynfffp2lwanvoljxmh">
        <w:r>
          <w:rPr>
            <w:color w:val="00BFB2"/>
            <w:sz w:val="18"/>
            <w:szCs w:val="18"/>
            <w:u w:val="single"/>
          </w:rPr>
          <w:t xml:space="preserve">https://www.weglot.com/guides/hreflang-tag</w:t>
        </w:r>
      </w:hyperlink>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5"/>
        <w:szCs w:val="15"/>
      </w:rPr>
      <w:t xml:space="preserve">Página </w:t>
    </w:r>
    <w:r>
      <w:rPr>
        <w:color w:val="9CA3AF"/>
        <w:sz w:val="15"/>
        <w:szCs w:val="15"/>
      </w:rPr>
      <w:fldChar w:fldCharType="begin"/>
      <w:instrText xml:space="preserve">PAGE</w:instrText>
      <w:fldChar w:fldCharType="separate"/>
      <w:fldChar w:fldCharType="end"/>
    </w:r>
    <w:r>
      <w:rPr>
        <w:color w:val="9CA3AF"/>
        <w:sz w:val="15"/>
        <w:szCs w:val="15"/>
      </w:rPr>
      <w:t xml:space="preserve"> de </w:t>
    </w:r>
    <w:r>
      <w:rPr>
        <w:color w:val="9CA3A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5"/>
        <w:szCs w:val="15"/>
      </w:rPr>
      <w:t xml:space="preserve">Macrogen Iberoamérica · Plan Google Ads + SEO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0A1F4F"/>
      <w:sz w:val="32"/>
      <w:szCs w:val="32"/>
    </w:rPr>
  </w:style>
  <w:style w:type="paragraph" w:styleId="Heading2">
    <w:name w:val="Heading 2"/>
    <w:basedOn w:val="Normal"/>
    <w:next w:val="Normal"/>
    <w:qFormat/>
    <w:rPr>
      <w:rFonts w:ascii="Calibri" w:cs="Calibri" w:eastAsia="Calibri" w:hAnsi="Calibri"/>
      <w:b/>
      <w:bCs/>
      <w:color w:val="0A1F4F"/>
      <w:sz w:val="26"/>
      <w:szCs w:val="26"/>
    </w:rPr>
  </w:style>
  <w:style w:type="paragraph" w:styleId="Heading3">
    <w:name w:val="Heading 3"/>
    <w:basedOn w:val="Normal"/>
    <w:next w:val="Normal"/>
    <w:qFormat/>
    <w:rPr>
      <w:rFonts w:ascii="Calibri" w:cs="Calibri" w:eastAsia="Calibri" w:hAnsi="Calibri"/>
      <w:b/>
      <w:bCs/>
      <w:color w:val="00BFB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8n2elinre06oautudney" Type="http://schemas.openxmlformats.org/officeDocument/2006/relationships/hyperlink" Target="https://www.digitalapplied.com/blog/how-google-ads-auction-works-complete-breakdown" TargetMode="External"/><Relationship Id="rIdbfgriu0df8c_q0jv1qf53" Type="http://schemas.openxmlformats.org/officeDocument/2006/relationships/hyperlink" Target="https://www.mbadv.agency/google-ads/quality-score-and-ad-rank" TargetMode="External"/><Relationship Id="rIda9oh93uqbal28gbtxdtdg" Type="http://schemas.openxmlformats.org/officeDocument/2006/relationships/hyperlink" Target="https://lionelz.com/en/blog/google-ads-quality-score/" TargetMode="External"/><Relationship Id="rIdylo7nymvs4f5hw6glzkqt" Type="http://schemas.openxmlformats.org/officeDocument/2006/relationships/hyperlink" Target="https://metricnexus.ai/blog/google-ads-benchmarks-2026" TargetMode="External"/><Relationship Id="rId7crdjekev5wwrupt0gl5n" Type="http://schemas.openxmlformats.org/officeDocument/2006/relationships/hyperlink" Target="https://www.kampaio.com/blog/b2b-saas-google-ads-benchmarks-2026" TargetMode="External"/><Relationship Id="rIdc2gguazvfvk2thljiglqe" Type="http://schemas.openxmlformats.org/officeDocument/2006/relationships/hyperlink" Target="https://www.mbadv.agency/google-ads/campaign-types" TargetMode="External"/><Relationship Id="rIdougl2vlo7ftduq-5ge7oc" Type="http://schemas.openxmlformats.org/officeDocument/2006/relationships/hyperlink" Target="https://www.factors.ai/blog/google-ads-strategy" TargetMode="External"/><Relationship Id="rIdx-mhckoe5--5f7hgwm-d8" Type="http://schemas.openxmlformats.org/officeDocument/2006/relationships/hyperlink" Target="https://www.debugbear.com/blog/technical-seo-checklist" TargetMode="External"/><Relationship Id="rIdvlvuiye2-v7q6rkup8sbt" Type="http://schemas.openxmlformats.org/officeDocument/2006/relationships/hyperlink" Target="https://developers.google.com/search/docs/fundamentals/creating-helpful-content" TargetMode="External"/><Relationship Id="rIdpg5aqkob6t1yfcd92jr3n" Type="http://schemas.openxmlformats.org/officeDocument/2006/relationships/hyperlink" Target="https://seeders.com/blog/how-to-implement-hreflang-tags-if-you-target-multiple-regions/" TargetMode="External"/><Relationship Id="rIdgepynfffp2lwanvoljxmh" Type="http://schemas.openxmlformats.org/officeDocument/2006/relationships/hyperlink" Target="https://www.weglot.com/guides/hreflang-tag"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2026-08-12T12:29:00.500Z</dcterms:created>
  <dcterms:modified xsi:type="dcterms:W3CDTF">2026-08-12T12:29:00.500Z</dcterms:modified>
</cp:coreProperties>
</file>

<file path=docProps/custom.xml><?xml version="1.0" encoding="utf-8"?>
<Properties xmlns="http://schemas.openxmlformats.org/officeDocument/2006/custom-properties" xmlns:vt="http://schemas.openxmlformats.org/officeDocument/2006/docPropsVTypes"/>
</file>