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00BFB2"/>
          <w:sz w:val="22"/>
          <w:szCs w:val="22"/>
        </w:rPr>
        <w:t xml:space="preserve">MACROGEN IBEROAMÉRICA</w:t>
      </w:r>
    </w:p>
    <w:p>
      <w:pPr>
        <w:spacing w:before="100"/>
        <w:jc w:val="center"/>
      </w:pPr>
      <w:r>
        <w:rPr>
          <w:color w:val="6B7280"/>
          <w:sz w:val="18"/>
          <w:szCs w:val="18"/>
        </w:rPr>
        <w:t xml:space="preserve">SPAIN  ·  PORTUGAL  ·  CHILE  ·  PERU</w:t>
      </w:r>
    </w:p>
    <w:p>
      <w:pPr>
        <w:spacing w:after="200" w:before="700"/>
        <w:jc w:val="center"/>
      </w:pPr>
      <w:r>
        <w:rPr>
          <w:b/>
          <w:bCs/>
          <w:color w:val="0A1F4F"/>
          <w:sz w:val="60"/>
          <w:szCs w:val="60"/>
        </w:rPr>
        <w:t xml:space="preserve">Strategic Plan</w:t>
      </w:r>
    </w:p>
    <w:p>
      <w:pPr>
        <w:spacing w:after="500"/>
        <w:jc w:val="center"/>
      </w:pPr>
      <w:r>
        <w:rPr>
          <w:b/>
          <w:bCs/>
          <w:color w:val="00BFB2"/>
          <w:sz w:val="44"/>
          <w:szCs w:val="44"/>
        </w:rPr>
        <w:t xml:space="preserve">Google Ads + SEO</w:t>
      </w:r>
    </w:p>
    <w:p>
      <w:pPr>
        <w:spacing w:after="100"/>
        <w:jc w:val="center"/>
      </w:pPr>
      <w:r>
        <w:rPr>
          <w:i/>
          <w:iCs/>
          <w:color w:val="334155"/>
          <w:sz w:val="22"/>
          <w:szCs w:val="22"/>
        </w:rPr>
        <w:t xml:space="preserve">Why the site isn't getting organic traffic, what we fixed today,</w:t>
      </w:r>
    </w:p>
    <w:p>
      <w:pPr>
        <w:spacing w:after="800"/>
        <w:jc w:val="center"/>
      </w:pPr>
      <w:r>
        <w:rPr>
          <w:i/>
          <w:iCs/>
          <w:color w:val="334155"/>
          <w:sz w:val="22"/>
          <w:szCs w:val="22"/>
        </w:rPr>
        <w:t xml:space="preserve">and the paid + organic acquisition plan for the next 90 days.</w:t>
      </w:r>
    </w:p>
    <w:p>
      <w:pPr>
        <w:spacing w:before="1400"/>
        <w:jc w:val="center"/>
      </w:pPr>
      <w:r>
        <w:rPr>
          <w:b/>
          <w:bCs/>
          <w:color w:val="0A1F4F"/>
          <w:sz w:val="20"/>
          <w:szCs w:val="20"/>
        </w:rPr>
        <w:t xml:space="preserve">Prepared for: VP Marketing, IT and Sales · Macrogen Iberoamérica</w:t>
      </w:r>
    </w:p>
    <w:p>
      <w:pPr>
        <w:spacing w:after="100"/>
        <w:jc w:val="center"/>
      </w:pPr>
      <w:r>
        <w:rPr>
          <w:color w:val="6B7280"/>
          <w:sz w:val="20"/>
          <w:szCs w:val="20"/>
        </w:rPr>
        <w:t xml:space="preserve">August 12, 2026</w:t>
      </w:r>
    </w:p>
    <w:p>
      <w:r>
        <w:br w:type="page"/>
      </w:r>
    </w:p>
    <w:p>
      <w:pPr>
        <w:pStyle w:val="Heading1"/>
        <w:pBdr>
          <w:bottom w:val="single" w:color="00BFB2" w:sz="8" w:space="4"/>
        </w:pBdr>
        <w:spacing w:after="200" w:before="400"/>
      </w:pPr>
      <w:r>
        <w:t xml:space="preserve">Executive summary</w:t>
      </w:r>
    </w:p>
    <w:p>
      <w:pPr>
        <w:spacing w:after="160" w:line="276"/>
      </w:pPr>
      <w:r>
        <w:rPr>
          <w:sz w:val="22"/>
          <w:szCs w:val="22"/>
        </w:rPr>
        <w:t xml:space="preserve">This document answers three questions you raised: how Google Ads works, what the strategic plan is for using it, and how we're improving SEO. It builds on two documents that already existed — the detailed Google Ads + "NGS Spain" landing plan you uploaded, and the May 2026 360° Strategic Audit — and adds what was missing: a technical audit of the site's actual current state, fixes applied directly today, and the framework for how the Google Ads auction works.</w:t>
      </w:r>
    </w:p>
    <w:p>
      <w:pPr>
        <w:pStyle w:val="Heading2"/>
        <w:spacing w:after="140" w:before="300"/>
      </w:pPr>
      <w:r>
        <w:t xml:space="preserve">The diagnosis, in one sentence</w:t>
      </w:r>
    </w:p>
    <w:p>
      <w:pPr>
        <w:spacing w:after="160" w:line="276"/>
      </w:pPr>
      <w:r>
        <w:rPr>
          <w:sz w:val="22"/>
          <w:szCs w:val="22"/>
        </w:rPr>
        <w:t xml:space="preserve">The site has a surprisingly solid technical SEO foundation (schema.org, Open Graph, sitemap, robots.txt already existed), but the regional-signals engine was broken — hreflang declared 4 country variants that were actually the exact same URL, and only 5 of the 39 FAQ questions were marked up for featured snippets. Combined with the fact that Google Search Console verification was never confirmed, this explains a large part of why Google isn't showing the site for the searches that matter.</w:t>
      </w:r>
    </w:p>
    <w:p>
      <w:pPr>
        <w:pStyle w:val="Heading2"/>
        <w:spacing w:after="140" w:before="300"/>
      </w:pPr>
      <w:r>
        <w:t xml:space="preserve">What we fixed today, directly in the code</w:t>
      </w:r>
    </w:p>
    <w:p>
      <w:pPr>
        <w:pStyle w:val="ListParagraph"/>
        <w:numPr>
          <w:ilvl w:val="0"/>
          <w:numId w:val="1"/>
        </w:numPr>
        <w:spacing w:after="90" w:line="264"/>
      </w:pPr>
      <w:r>
        <w:rPr>
          <w:b/>
          <w:bCs/>
          <w:color w:val="0A1F4F"/>
          <w:sz w:val="22"/>
          <w:szCs w:val="22"/>
        </w:rPr>
        <w:t xml:space="preserve">Broken hreflang → fixed. </w:t>
      </w:r>
      <w:r>
        <w:rPr>
          <w:sz w:val="22"/>
          <w:szCs w:val="22"/>
        </w:rPr>
        <w:t xml:space="preserve">All 4 tags (es-ES, es-CL, es-PE, x-default) pointed to the exact same URL — the most commonly cited hreflang mistake, because it tells Google there are 4 regional versions when there is really only one. It now declares a single neutral-Spanish version ("es") + x-default, honest about what actually exists today.</w:t>
      </w:r>
    </w:p>
    <w:p>
      <w:pPr>
        <w:pStyle w:val="ListParagraph"/>
        <w:numPr>
          <w:ilvl w:val="0"/>
          <w:numId w:val="1"/>
        </w:numPr>
        <w:spacing w:after="90" w:line="264"/>
      </w:pPr>
      <w:r>
        <w:rPr>
          <w:b/>
          <w:bCs/>
          <w:color w:val="0A1F4F"/>
          <w:sz w:val="22"/>
          <w:szCs w:val="22"/>
        </w:rPr>
        <w:t xml:space="preserve">Site-wide language mis-declared → fixed on 37 pages. </w:t>
      </w:r>
      <w:r>
        <w:rPr>
          <w:sz w:val="22"/>
          <w:szCs w:val="22"/>
        </w:rPr>
        <w:t xml:space="preserve">The entire site declared lang="es-CL" (Chilean Spanish), even for visitors from Spain — contradicting the May audit's own "neutral, multi-country Spanish" strategy. Changed to lang="es" across all pages.</w:t>
      </w:r>
    </w:p>
    <w:p>
      <w:pPr>
        <w:pStyle w:val="ListParagraph"/>
        <w:numPr>
          <w:ilvl w:val="0"/>
          <w:numId w:val="1"/>
        </w:numPr>
        <w:spacing w:after="90" w:line="264"/>
      </w:pPr>
      <w:r>
        <w:rPr>
          <w:b/>
          <w:bCs/>
          <w:color w:val="0A1F4F"/>
          <w:sz w:val="22"/>
          <w:szCs w:val="22"/>
        </w:rPr>
        <w:t xml:space="preserve">Incomplete, mismatched FAQPage schema → regenerated, from 5 to 39 questions. </w:t>
      </w:r>
      <w:r>
        <w:rPr>
          <w:sz w:val="22"/>
          <w:szCs w:val="22"/>
        </w:rPr>
        <w:t xml:space="preserve">faq.html's structured data covered only 5 of 39 questions — and those 5 didn't even match the visible text on the page. I regenerated it by extracting the 39 real questions and answers from the HTML, giving much more surface area for featured snippets.</w:t>
      </w:r>
    </w:p>
    <w:p>
      <w:pPr>
        <w:pStyle w:val="ListParagraph"/>
        <w:numPr>
          <w:ilvl w:val="0"/>
          <w:numId w:val="1"/>
        </w:numPr>
        <w:spacing w:after="90" w:line="264"/>
      </w:pPr>
      <w:r>
        <w:rPr>
          <w:b/>
          <w:bCs/>
          <w:color w:val="0A1F4F"/>
          <w:sz w:val="22"/>
          <w:szCs w:val="22"/>
        </w:rPr>
        <w:t xml:space="preserve">Internal documents publicly exposed → secured. </w:t>
      </w:r>
      <w:r>
        <w:rPr>
          <w:sz w:val="22"/>
          <w:szCs w:val="22"/>
        </w:rPr>
        <w:t xml:space="preserve">PROJECT_LOG.html and, more seriously, the 360° Strategic Audit itself (Auditoria_Macrogen_Iberoamerica.html) were sitting in the repo root with no protection: published on macrogen-es.com just like any service page, unlinked but reachable by direct URL. Added .vercelignore (excludes them from the deploy) plus a Disallow rule in robots.txt as a second layer.</w:t>
      </w:r>
    </w:p>
    <w:p>
      <w:pPr>
        <w:pBdr>
          <w:left w:val="single" w:color="E0004D" w:sz="18" w:space="8"/>
        </w:pBdr>
        <w:shd w:fill="FDECEF" w:val="clear"/>
        <w:spacing w:after="200" w:before="80"/>
        <w:ind w:left="100"/>
      </w:pPr>
      <w:r>
        <w:rPr>
          <w:b/>
          <w:bCs/>
          <w:color w:val="E0004D"/>
          <w:sz w:val="20"/>
          <w:szCs w:val="20"/>
        </w:rPr>
        <w:t xml:space="preserve">⚠ </w:t>
      </w:r>
      <w:r>
        <w:rPr>
          <w:color w:val="334155"/>
          <w:sz w:val="20"/>
          <w:szCs w:val="20"/>
        </w:rPr>
        <w:t xml:space="preserve">Technical detail for you to resolve: while applying this last fix, a git command hung and left a .git/index.lock file in the Macrogen-es folder that I could not delete due to environment permissions. Delete it manually (0 bytes, safe) before your next commit in GitHub Desktop.</w:t>
      </w:r>
    </w:p>
    <w:p>
      <w:pPr>
        <w:pStyle w:val="Heading2"/>
        <w:spacing w:after="140" w:before="300"/>
      </w:pPr>
      <w:r>
        <w:t xml:space="preserve">What's still the priority — and needs your action</w:t>
      </w:r>
    </w:p>
    <w:p>
      <w:pPr>
        <w:pStyle w:val="ListParagraph"/>
        <w:numPr>
          <w:ilvl w:val="0"/>
          <w:numId w:val="1"/>
        </w:numPr>
        <w:spacing w:after="90" w:line="264"/>
      </w:pPr>
      <w:r>
        <w:rPr>
          <w:b/>
          <w:bCs/>
          <w:color w:val="0A1F4F"/>
          <w:sz w:val="22"/>
          <w:szCs w:val="22"/>
        </w:rPr>
        <w:t xml:space="preserve">Verify Google Search Console + Bing Webmaster Tools. </w:t>
      </w:r>
      <w:r>
        <w:rPr>
          <w:sz w:val="22"/>
          <w:szCs w:val="22"/>
        </w:rPr>
        <w:t xml:space="preserve">I found no verification tag anywhere on the site. Without this it's impossible to see impressions, average position, real CTR, or coverage errors — you cannot precisely diagnose "why isn't traffic arriving" without this data. It's action #1, and only you can do it (requires access to the Google account and/or DNS).</w:t>
      </w:r>
    </w:p>
    <w:p>
      <w:pPr>
        <w:pStyle w:val="ListParagraph"/>
        <w:numPr>
          <w:ilvl w:val="0"/>
          <w:numId w:val="1"/>
        </w:numPr>
        <w:spacing w:after="90" w:line="264"/>
      </w:pPr>
      <w:r>
        <w:rPr>
          <w:b/>
          <w:bCs/>
          <w:color w:val="0A1F4F"/>
          <w:sz w:val="22"/>
          <w:szCs w:val="22"/>
        </w:rPr>
        <w:t xml:space="preserve">Publish the "NGS Spain" landing page (and its Chile/Peru equivalents). </w:t>
      </w:r>
      <w:r>
        <w:rPr>
          <w:sz w:val="22"/>
          <w:szCs w:val="22"/>
        </w:rPr>
        <w:t xml:space="preserve">The document you uploaded already specifies it in detail: wireframe, copy, technical checklist. It's the real prerequisite for multi-country hreflang to make sense again, and for the Google Ads campaigns in that same document to have a relevant landing page — better Quality Score, lower CPC.</w:t>
      </w:r>
    </w:p>
    <w:p>
      <w:r>
        <w:br w:type="page"/>
      </w:r>
    </w:p>
    <w:p>
      <w:pPr>
        <w:pStyle w:val="Heading1"/>
        <w:pBdr>
          <w:bottom w:val="single" w:color="00BFB2" w:sz="8" w:space="4"/>
        </w:pBdr>
        <w:spacing w:after="200" w:before="400"/>
      </w:pPr>
      <w:r>
        <w:t xml:space="preserve">Part 1 — How Google Ads works</w:t>
      </w:r>
    </w:p>
    <w:p>
      <w:pPr>
        <w:spacing w:after="160" w:line="276"/>
      </w:pPr>
      <w:r>
        <w:rPr>
          <w:sz w:val="22"/>
          <w:szCs w:val="22"/>
        </w:rPr>
        <w:t xml:space="preserve">Before committing budget, this is what determines how much you pay and whether your ad even shows. It is not simply "whoever pays the most wins" — it's a system designed to reward relevance.</w:t>
      </w:r>
    </w:p>
    <w:p>
      <w:pPr>
        <w:pStyle w:val="Heading2"/>
        <w:spacing w:after="140" w:before="300"/>
      </w:pPr>
      <w:r>
        <w:t xml:space="preserve">1.1 The auction: what Ad Rank is</w:t>
      </w:r>
    </w:p>
    <w:p>
      <w:pPr>
        <w:spacing w:after="160" w:line="276"/>
      </w:pPr>
      <w:r>
        <w:rPr>
          <w:sz w:val="22"/>
          <w:szCs w:val="22"/>
        </w:rPr>
        <w:t xml:space="preserve">Every time someone searches on Google, if there are advertisers bidding on that keyword, an auction runs and resolves in 100–300 milliseconds. The winner isn't the highest bidder — it's whoever has the best Ad Rank, which combines four factors:</w:t>
      </w:r>
    </w:p>
    <w:p>
      <w:pPr>
        <w:pStyle w:val="ListParagraph"/>
        <w:numPr>
          <w:ilvl w:val="0"/>
          <w:numId w:val="1"/>
        </w:numPr>
        <w:spacing w:after="90" w:line="264"/>
      </w:pPr>
      <w:r>
        <w:rPr>
          <w:sz w:val="22"/>
          <w:szCs w:val="22"/>
        </w:rPr>
        <w:t xml:space="preserve">Your maximum bid (Max CPC) — how much you're willing to pay per click.</w:t>
      </w:r>
    </w:p>
    <w:p>
      <w:pPr>
        <w:pStyle w:val="ListParagraph"/>
        <w:numPr>
          <w:ilvl w:val="0"/>
          <w:numId w:val="1"/>
        </w:numPr>
        <w:spacing w:after="90" w:line="264"/>
      </w:pPr>
      <w:r>
        <w:rPr>
          <w:sz w:val="22"/>
          <w:szCs w:val="22"/>
        </w:rPr>
        <w:t xml:space="preserve">Quality Score — the relevance grade of your ad, keyword, and landing page (see 1.2).</w:t>
      </w:r>
    </w:p>
    <w:p>
      <w:pPr>
        <w:pStyle w:val="ListParagraph"/>
        <w:numPr>
          <w:ilvl w:val="0"/>
          <w:numId w:val="1"/>
        </w:numPr>
        <w:spacing w:after="90" w:line="264"/>
      </w:pPr>
      <w:r>
        <w:rPr>
          <w:sz w:val="22"/>
          <w:szCs w:val="22"/>
        </w:rPr>
        <w:t xml:space="preserve">The expected impact of your extensions — sitelinks, call extension, lead form, etc.</w:t>
      </w:r>
    </w:p>
    <w:p>
      <w:pPr>
        <w:pStyle w:val="ListParagraph"/>
        <w:numPr>
          <w:ilvl w:val="0"/>
          <w:numId w:val="1"/>
        </w:numPr>
        <w:spacing w:after="90" w:line="264"/>
      </w:pPr>
      <w:r>
        <w:rPr>
          <w:sz w:val="22"/>
          <w:szCs w:val="22"/>
        </w:rPr>
        <w:t xml:space="preserve">The context of that specific search — device, location, time of day, session intent.</w:t>
      </w:r>
    </w:p>
    <w:p>
      <w:pPr>
        <w:pBdr>
          <w:left w:val="single" w:color="00BFB2" w:sz="18" w:space="8"/>
        </w:pBdr>
        <w:shd w:fill="EAF6FB" w:val="clear"/>
        <w:spacing w:after="200" w:before="80"/>
        <w:ind w:left="100"/>
      </w:pPr>
      <w:r>
        <w:rPr>
          <w:i/>
          <w:iCs/>
          <w:color w:val="334155"/>
          <w:sz w:val="20"/>
          <w:szCs w:val="20"/>
        </w:rPr>
        <w:t xml:space="preserve">In practice: a competitor with a high Quality Score can pay less per click and rank higher than one who bids double but has a poor landing page or a generic ad.</w:t>
      </w:r>
    </w:p>
    <w:p>
      <w:pPr>
        <w:pStyle w:val="Heading2"/>
        <w:spacing w:after="140" w:before="300"/>
      </w:pPr>
      <w:r>
        <w:t xml:space="preserve">1.2 Quality Score — the three components</w:t>
      </w:r>
    </w:p>
    <w:p>
      <w:pPr>
        <w:spacing w:after="160" w:line="276"/>
      </w:pPr>
      <w:r>
        <w:rPr>
          <w:sz w:val="22"/>
          <w:szCs w:val="22"/>
        </w:rPr>
        <w:t xml:space="preserve">It's a 1-to-10 score per keyword. Google calculates it from:</w:t>
      </w:r>
    </w:p>
    <w:p>
      <w:pPr>
        <w:pStyle w:val="ListParagraph"/>
        <w:numPr>
          <w:ilvl w:val="0"/>
          <w:numId w:val="1"/>
        </w:numPr>
        <w:spacing w:after="90" w:line="264"/>
      </w:pPr>
      <w:r>
        <w:rPr>
          <w:b/>
          <w:bCs/>
          <w:color w:val="0A1F4F"/>
          <w:sz w:val="22"/>
          <w:szCs w:val="22"/>
        </w:rPr>
        <w:t xml:space="preserve">Expected CTR: </w:t>
      </w:r>
      <w:r>
        <w:rPr>
          <w:sz w:val="22"/>
          <w:szCs w:val="22"/>
        </w:rPr>
        <w:t xml:space="preserve">how likely people are to click your ad for that specific keyword, compared to similar advertisers.</w:t>
      </w:r>
    </w:p>
    <w:p>
      <w:pPr>
        <w:pStyle w:val="ListParagraph"/>
        <w:numPr>
          <w:ilvl w:val="0"/>
          <w:numId w:val="1"/>
        </w:numPr>
        <w:spacing w:after="90" w:line="264"/>
      </w:pPr>
      <w:r>
        <w:rPr>
          <w:b/>
          <w:bCs/>
          <w:color w:val="0A1F4F"/>
          <w:sz w:val="22"/>
          <w:szCs w:val="22"/>
        </w:rPr>
        <w:t xml:space="preserve">Ad relevance: </w:t>
      </w:r>
      <w:r>
        <w:rPr>
          <w:sz w:val="22"/>
          <w:szCs w:val="22"/>
        </w:rPr>
        <w:t xml:space="preserve">how well your ad (headline + description) responds exactly to that keyword's intent — not generic, but specific.</w:t>
      </w:r>
    </w:p>
    <w:p>
      <w:pPr>
        <w:pStyle w:val="ListParagraph"/>
        <w:numPr>
          <w:ilvl w:val="0"/>
          <w:numId w:val="1"/>
        </w:numPr>
        <w:spacing w:after="90" w:line="264"/>
      </w:pPr>
      <w:r>
        <w:rPr>
          <w:b/>
          <w:bCs/>
          <w:color w:val="0A1F4F"/>
          <w:sz w:val="22"/>
          <w:szCs w:val="22"/>
        </w:rPr>
        <w:t xml:space="preserve">Landing page experience: </w:t>
      </w:r>
      <w:r>
        <w:rPr>
          <w:sz w:val="22"/>
          <w:szCs w:val="22"/>
        </w:rPr>
        <w:t xml:space="preserve">load speed, how relevant the content is to what the ad promised, and how easy it is to complete the action (request a quote, get in touch).</w:t>
      </w:r>
    </w:p>
    <w:p>
      <w:pPr>
        <w:pBdr>
          <w:left w:val="single" w:color="00BFB2" w:sz="18" w:space="8"/>
        </w:pBdr>
        <w:shd w:fill="EAF6FB" w:val="clear"/>
        <w:spacing w:after="200" w:before="80"/>
        <w:ind w:left="100"/>
      </w:pPr>
      <w:r>
        <w:rPr>
          <w:i/>
          <w:iCs/>
          <w:color w:val="334155"/>
          <w:sz w:val="20"/>
          <w:szCs w:val="20"/>
        </w:rPr>
        <w:t xml:space="preserve">Google clarifies that the visible Quality Score number is a diagnostic and isn't used literally in the auction — but the three components that form it (expected CTR, relevance, landing page) are a real part of the Ad Rank calculation. The number tells you where you stand even if it isn't the exact variable being multiplied.</w:t>
      </w:r>
    </w:p>
    <w:p>
      <w:pPr>
        <w:pStyle w:val="Heading2"/>
        <w:spacing w:after="140" w:before="300"/>
      </w:pPr>
      <w:r>
        <w:t xml:space="preserve">1.3 What you actually pay</w:t>
      </w:r>
    </w:p>
    <w:p>
      <w:pPr>
        <w:spacing w:after="160" w:line="276"/>
      </w:pPr>
      <w:r>
        <w:rPr>
          <w:sz w:val="22"/>
          <w:szCs w:val="22"/>
        </w:rPr>
        <w:t xml:space="preserve">Google uses a "second-price" model: you don't pay your maximum bid, you pay just enough to beat the advertiser immediately below you in the ranking. The approximate formula is:</w:t>
      </w:r>
    </w:p>
    <w:p>
      <w:pPr>
        <w:shd w:fill="F4F6FB" w:val="clear"/>
        <w:spacing w:after="200" w:before="100"/>
        <w:jc w:val="center"/>
      </w:pPr>
      <w:r>
        <w:rPr>
          <w:b/>
          <w:bCs/>
          <w:color w:val="0A1F4F"/>
          <w:sz w:val="21"/>
          <w:szCs w:val="21"/>
        </w:rPr>
        <w:t xml:space="preserve">Actual CPC  =  (Ad Rank of the competitor below you ÷ your Quality Score)  +  $0.01</w:t>
      </w:r>
    </w:p>
    <w:p>
      <w:pPr>
        <w:spacing w:after="160" w:line="276"/>
      </w:pPr>
      <w:r>
        <w:rPr>
          <w:sz w:val="22"/>
          <w:szCs w:val="22"/>
        </w:rPr>
        <w:t xml:space="preserve">The practical effect: every point of Quality Score is a compounding CPC discount at the same position. At Quality Score 8, the discount is around 37% versus the baseline (QS 5); at QS 4, you pay roughly 25% more. That's why the Part 2 plan prioritizes having the correct landing page before turning on spend — it's not a cosmetic detail, it's what determines cost per click.</w:t>
      </w:r>
    </w:p>
    <w:p>
      <w:pPr>
        <w:pStyle w:val="Heading2"/>
        <w:spacing w:after="140" w:before="300"/>
      </w:pPr>
      <w:r>
        <w:t xml:space="preserve">1.4 Campaign types — which to use, and which to avoid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600"/>
      </w:tblGrid>
      <w:tr>
        <w:trPr>
          <w:tblHeader/>
        </w:trPr>
        <w:tc>
          <w:tcPr>
            <w:tcW w:type="dxa" w:w="2600"/>
            <w:shd w:fill="0A1F4F" w:val="clear"/>
            <w:tcMar>
              <w:top w:type="dxa" w:w="80"/>
              <w:left w:type="dxa" w:w="100"/>
              <w:bottom w:type="dxa" w:w="80"/>
              <w:right w:type="dxa" w:w="100"/>
            </w:tcMar>
          </w:tcPr>
          <w:p>
            <w:r>
              <w:rPr>
                <w:b/>
                <w:bCs/>
                <w:color w:val="FFFFFF"/>
                <w:sz w:val="19"/>
                <w:szCs w:val="19"/>
              </w:rPr>
              <w:t xml:space="preserve">Campaign type</w:t>
            </w:r>
          </w:p>
        </w:tc>
        <w:tc>
          <w:tcPr>
            <w:tcW w:type="dxa" w:w="3600"/>
            <w:shd w:fill="0A1F4F" w:val="clear"/>
            <w:tcMar>
              <w:top w:type="dxa" w:w="80"/>
              <w:left w:type="dxa" w:w="100"/>
              <w:bottom w:type="dxa" w:w="80"/>
              <w:right w:type="dxa" w:w="100"/>
            </w:tcMar>
          </w:tcPr>
          <w:p>
            <w:r>
              <w:rPr>
                <w:b/>
                <w:bCs/>
                <w:color w:val="FFFFFF"/>
                <w:sz w:val="19"/>
                <w:szCs w:val="19"/>
              </w:rPr>
              <w:t xml:space="preserve">What it does</w:t>
            </w:r>
          </w:p>
        </w:tc>
        <w:tc>
          <w:tcPr>
            <w:tcW w:type="dxa" w:w="3600"/>
            <w:shd w:fill="0A1F4F" w:val="clear"/>
            <w:tcMar>
              <w:top w:type="dxa" w:w="80"/>
              <w:left w:type="dxa" w:w="100"/>
              <w:bottom w:type="dxa" w:w="80"/>
              <w:right w:type="dxa" w:w="100"/>
            </w:tcMar>
          </w:tcPr>
          <w:p>
            <w:r>
              <w:rPr>
                <w:b/>
                <w:bCs/>
                <w:color w:val="FFFFFF"/>
                <w:sz w:val="19"/>
                <w:szCs w:val="19"/>
              </w:rPr>
              <w:t xml:space="preserve">Recommendation for Macrogen</w:t>
            </w:r>
          </w:p>
        </w:tc>
      </w:tr>
      <w:tr>
        <w:tc>
          <w:tcPr>
            <w:tcW w:type="dxa" w:w="2600"/>
            <w:tcMar>
              <w:top w:type="dxa" w:w="80"/>
              <w:left w:type="dxa" w:w="100"/>
              <w:bottom w:type="dxa" w:w="80"/>
              <w:right w:type="dxa" w:w="100"/>
            </w:tcMar>
          </w:tcPr>
          <w:p>
            <w:r>
              <w:rPr>
                <w:color w:val="1a1a1a"/>
                <w:sz w:val="19"/>
                <w:szCs w:val="19"/>
              </w:rPr>
              <w:t xml:space="preserve">Search</w:t>
            </w:r>
          </w:p>
        </w:tc>
        <w:tc>
          <w:tcPr>
            <w:tcW w:type="dxa" w:w="3600"/>
            <w:tcMar>
              <w:top w:type="dxa" w:w="80"/>
              <w:left w:type="dxa" w:w="100"/>
              <w:bottom w:type="dxa" w:w="80"/>
              <w:right w:type="dxa" w:w="100"/>
            </w:tcMar>
          </w:tcPr>
          <w:p>
            <w:r>
              <w:rPr>
                <w:color w:val="1a1a1a"/>
                <w:sz w:val="19"/>
                <w:szCs w:val="19"/>
              </w:rPr>
              <w:t xml:space="preserve">Text ads on keywords people are actively typing.</w:t>
            </w:r>
          </w:p>
        </w:tc>
        <w:tc>
          <w:tcPr>
            <w:tcW w:type="dxa" w:w="3600"/>
            <w:tcMar>
              <w:top w:type="dxa" w:w="80"/>
              <w:left w:type="dxa" w:w="100"/>
              <w:bottom w:type="dxa" w:w="80"/>
              <w:right w:type="dxa" w:w="100"/>
            </w:tcMar>
          </w:tcPr>
          <w:p>
            <w:r>
              <w:rPr>
                <w:color w:val="1a1a1a"/>
                <w:sz w:val="19"/>
                <w:szCs w:val="19"/>
              </w:rPr>
              <w:t xml:space="preserve">Main engine. Full control of keywords, negatives, and landing page per ad group — see Part 2.</w:t>
            </w:r>
          </w:p>
        </w:tc>
      </w:tr>
      <w:tr>
        <w:tc>
          <w:tcPr>
            <w:tcW w:type="dxa" w:w="2600"/>
            <w:tcMar>
              <w:top w:type="dxa" w:w="80"/>
              <w:left w:type="dxa" w:w="100"/>
              <w:bottom w:type="dxa" w:w="80"/>
              <w:right w:type="dxa" w:w="100"/>
            </w:tcMar>
          </w:tcPr>
          <w:p>
            <w:r>
              <w:rPr>
                <w:color w:val="1a1a1a"/>
                <w:sz w:val="19"/>
                <w:szCs w:val="19"/>
              </w:rPr>
              <w:t xml:space="preserve">Performance Max</w:t>
            </w:r>
          </w:p>
        </w:tc>
        <w:tc>
          <w:tcPr>
            <w:tcW w:type="dxa" w:w="3600"/>
            <w:tcMar>
              <w:top w:type="dxa" w:w="80"/>
              <w:left w:type="dxa" w:w="100"/>
              <w:bottom w:type="dxa" w:w="80"/>
              <w:right w:type="dxa" w:w="100"/>
            </w:tcMar>
          </w:tcPr>
          <w:p>
            <w:r>
              <w:rPr>
                <w:color w:val="1a1a1a"/>
                <w:sz w:val="19"/>
                <w:szCs w:val="19"/>
              </w:rPr>
              <w:t xml:space="preserve">A single AI-driven campaign that distributes the ad across all of Google's network (Search, Display, YouTube, Gmail, Maps), optimizing to one goal.</w:t>
            </w:r>
          </w:p>
        </w:tc>
        <w:tc>
          <w:tcPr>
            <w:tcW w:type="dxa" w:w="3600"/>
            <w:tcMar>
              <w:top w:type="dxa" w:w="80"/>
              <w:left w:type="dxa" w:w="100"/>
              <w:bottom w:type="dxa" w:w="80"/>
              <w:right w:type="dxa" w:w="100"/>
            </w:tcMar>
          </w:tcPr>
          <w:p>
            <w:r>
              <w:rPr>
                <w:color w:val="1a1a1a"/>
                <w:sz w:val="19"/>
                <w:szCs w:val="19"/>
              </w:rPr>
              <w:t xml:space="preserve">A complement, not a replacement. Needs 30–50 conversions/month to learn well; turn it on only in month 2–3, with the same conversion goal (quote form), and never before Search is stable.</w:t>
            </w:r>
          </w:p>
        </w:tc>
      </w:tr>
      <w:tr>
        <w:tc>
          <w:tcPr>
            <w:tcW w:type="dxa" w:w="2600"/>
            <w:tcMar>
              <w:top w:type="dxa" w:w="80"/>
              <w:left w:type="dxa" w:w="100"/>
              <w:bottom w:type="dxa" w:w="80"/>
              <w:right w:type="dxa" w:w="100"/>
            </w:tcMar>
          </w:tcPr>
          <w:p>
            <w:r>
              <w:rPr>
                <w:color w:val="1a1a1a"/>
                <w:sz w:val="19"/>
                <w:szCs w:val="19"/>
              </w:rPr>
              <w:t xml:space="preserve">Display / Demand Gen</w:t>
            </w:r>
          </w:p>
        </w:tc>
        <w:tc>
          <w:tcPr>
            <w:tcW w:type="dxa" w:w="3600"/>
            <w:tcMar>
              <w:top w:type="dxa" w:w="80"/>
              <w:left w:type="dxa" w:w="100"/>
              <w:bottom w:type="dxa" w:w="80"/>
              <w:right w:type="dxa" w:w="100"/>
            </w:tcMar>
          </w:tcPr>
          <w:p>
            <w:r>
              <w:rPr>
                <w:color w:val="1a1a1a"/>
                <w:sz w:val="19"/>
                <w:szCs w:val="19"/>
              </w:rPr>
              <w:t xml:space="preserve">Banner and visual ads across Google's network of sites.</w:t>
            </w:r>
          </w:p>
        </w:tc>
        <w:tc>
          <w:tcPr>
            <w:tcW w:type="dxa" w:w="3600"/>
            <w:tcMar>
              <w:top w:type="dxa" w:w="80"/>
              <w:left w:type="dxa" w:w="100"/>
              <w:bottom w:type="dxa" w:w="80"/>
              <w:right w:type="dxa" w:w="100"/>
            </w:tcMar>
          </w:tcPr>
          <w:p>
            <w:r>
              <w:rPr>
                <w:color w:val="1a1a1a"/>
                <w:sz w:val="19"/>
                <w:szCs w:val="19"/>
              </w:rPr>
              <w:t xml:space="preserve">Remarketing only (people who already visited the site), not as an initial acquisition channel — CTR and purchase intent are low for technical B2B. Note: standalone Display is being phased out in favor of Demand Gen in 2026.</w:t>
            </w:r>
          </w:p>
        </w:tc>
      </w:tr>
    </w:tbl>
    <w:p>
      <w:pPr>
        <w:pBdr>
          <w:left w:val="single" w:color="00BFB2" w:sz="18" w:space="8"/>
        </w:pBdr>
        <w:shd w:fill="EAF6FB" w:val="clear"/>
        <w:spacing w:after="200" w:before="80"/>
        <w:ind w:left="100"/>
      </w:pPr>
      <w:r>
        <w:rPr>
          <w:i/>
          <w:iCs/>
          <w:color w:val="334155"/>
          <w:sz w:val="20"/>
          <w:szCs w:val="20"/>
        </w:rPr>
        <w:t xml:space="preserve">Reference data point (2026): Search campaigns beat Performance Max on cost per qualified lead by 25–45% in B2B/services businesses — the difference is volume (PMax) vs. intent quality (Search). For Macrogen, with long sales cycles and high ticket sizes, quality beats volume.</w:t>
      </w:r>
    </w:p>
    <w:p>
      <w:pPr>
        <w:pStyle w:val="Heading2"/>
        <w:spacing w:after="140" w:before="300"/>
      </w:pPr>
      <w:r>
        <w:t xml:space="preserve">1.5 Bid strategy progression</w:t>
      </w:r>
    </w:p>
    <w:p>
      <w:pPr>
        <w:pStyle w:val="ListParagraph"/>
        <w:numPr>
          <w:ilvl w:val="0"/>
          <w:numId w:val="1"/>
        </w:numPr>
        <w:spacing w:after="90" w:line="264"/>
      </w:pPr>
      <w:r>
        <w:rPr>
          <w:b/>
          <w:bCs/>
          <w:color w:val="0A1F4F"/>
          <w:sz w:val="22"/>
          <w:szCs w:val="22"/>
        </w:rPr>
        <w:t xml:space="preserve">Weeks 1–3: "Maximize Clicks" with a CPC cap. </w:t>
      </w:r>
      <w:r>
        <w:rPr>
          <w:sz w:val="22"/>
          <w:szCs w:val="22"/>
        </w:rPr>
        <w:t xml:space="preserve">Without enough conversion data yet, you let the system gather controlled traffic volume and learn which searches convert.</w:t>
      </w:r>
    </w:p>
    <w:p>
      <w:pPr>
        <w:pStyle w:val="ListParagraph"/>
        <w:numPr>
          <w:ilvl w:val="0"/>
          <w:numId w:val="1"/>
        </w:numPr>
        <w:spacing w:after="90" w:line="264"/>
      </w:pPr>
      <w:r>
        <w:rPr>
          <w:b/>
          <w:bCs/>
          <w:color w:val="0A1F4F"/>
          <w:sz w:val="22"/>
          <w:szCs w:val="22"/>
        </w:rPr>
        <w:t xml:space="preserve">Once the ad group has ≥15–20 recorded conversions: migrate to "Maximize Conversions" or tCPA (target cost per acquisition). </w:t>
      </w:r>
      <w:r>
        <w:rPr>
          <w:sz w:val="22"/>
          <w:szCs w:val="22"/>
        </w:rPr>
        <w:t xml:space="preserve">Only then does the automated bidding algorithm have enough signal to optimize reliably — migrating earlier is like asking an autopilot to learn from a blank map.</w:t>
      </w:r>
    </w:p>
    <w:p>
      <w:pPr>
        <w:pStyle w:val="Heading2"/>
        <w:spacing w:after="140" w:before="300"/>
      </w:pPr>
      <w:r>
        <w:t xml:space="preserve">1.6 Reference budget (market benchmarks, 2026)</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3600"/>
      </w:tblGrid>
      <w:tr>
        <w:trPr>
          <w:tblHeader/>
        </w:trPr>
        <w:tc>
          <w:tcPr>
            <w:tcW w:type="dxa" w:w="3400"/>
            <w:shd w:fill="0A1F4F" w:val="clear"/>
            <w:tcMar>
              <w:top w:type="dxa" w:w="80"/>
              <w:left w:type="dxa" w:w="100"/>
              <w:bottom w:type="dxa" w:w="80"/>
              <w:right w:type="dxa" w:w="100"/>
            </w:tcMar>
          </w:tcPr>
          <w:p>
            <w:r>
              <w:rPr>
                <w:b/>
                <w:bCs/>
                <w:color w:val="FFFFFF"/>
                <w:sz w:val="19"/>
                <w:szCs w:val="19"/>
              </w:rPr>
              <w:t xml:space="preserve">Segment</w:t>
            </w:r>
          </w:p>
        </w:tc>
        <w:tc>
          <w:tcPr>
            <w:tcW w:type="dxa" w:w="2800"/>
            <w:shd w:fill="0A1F4F" w:val="clear"/>
            <w:tcMar>
              <w:top w:type="dxa" w:w="80"/>
              <w:left w:type="dxa" w:w="100"/>
              <w:bottom w:type="dxa" w:w="80"/>
              <w:right w:type="dxa" w:w="100"/>
            </w:tcMar>
          </w:tcPr>
          <w:p>
            <w:r>
              <w:rPr>
                <w:b/>
                <w:bCs/>
                <w:color w:val="FFFFFF"/>
                <w:sz w:val="19"/>
                <w:szCs w:val="19"/>
              </w:rPr>
              <w:t xml:space="preserve">Average CPC (Search)</w:t>
            </w:r>
          </w:p>
        </w:tc>
        <w:tc>
          <w:tcPr>
            <w:tcW w:type="dxa" w:w="3600"/>
            <w:shd w:fill="0A1F4F" w:val="clear"/>
            <w:tcMar>
              <w:top w:type="dxa" w:w="80"/>
              <w:left w:type="dxa" w:w="100"/>
              <w:bottom w:type="dxa" w:w="80"/>
              <w:right w:type="dxa" w:w="100"/>
            </w:tcMar>
          </w:tcPr>
          <w:p>
            <w:r>
              <w:rPr>
                <w:b/>
                <w:bCs/>
                <w:color w:val="FFFFFF"/>
                <w:sz w:val="19"/>
                <w:szCs w:val="19"/>
              </w:rPr>
              <w:t xml:space="preserve">Context</w:t>
            </w:r>
          </w:p>
        </w:tc>
      </w:tr>
      <w:tr>
        <w:tc>
          <w:tcPr>
            <w:tcW w:type="dxa" w:w="3400"/>
            <w:tcMar>
              <w:top w:type="dxa" w:w="80"/>
              <w:left w:type="dxa" w:w="100"/>
              <w:bottom w:type="dxa" w:w="80"/>
              <w:right w:type="dxa" w:w="100"/>
            </w:tcMar>
          </w:tcPr>
          <w:p>
            <w:r>
              <w:rPr>
                <w:color w:val="1a1a1a"/>
                <w:sz w:val="19"/>
                <w:szCs w:val="19"/>
              </w:rPr>
              <w:t xml:space="preserve">Cross-industry average</w:t>
            </w:r>
          </w:p>
        </w:tc>
        <w:tc>
          <w:tcPr>
            <w:tcW w:type="dxa" w:w="2800"/>
            <w:tcMar>
              <w:top w:type="dxa" w:w="80"/>
              <w:left w:type="dxa" w:w="100"/>
              <w:bottom w:type="dxa" w:w="80"/>
              <w:right w:type="dxa" w:w="100"/>
            </w:tcMar>
          </w:tcPr>
          <w:p>
            <w:r>
              <w:rPr>
                <w:color w:val="1a1a1a"/>
                <w:sz w:val="19"/>
                <w:szCs w:val="19"/>
              </w:rPr>
              <w:t xml:space="preserve">~USD 2.96</w:t>
            </w:r>
          </w:p>
        </w:tc>
        <w:tc>
          <w:tcPr>
            <w:tcW w:type="dxa" w:w="3600"/>
            <w:tcMar>
              <w:top w:type="dxa" w:w="80"/>
              <w:left w:type="dxa" w:w="100"/>
              <w:bottom w:type="dxa" w:w="80"/>
              <w:right w:type="dxa" w:w="100"/>
            </w:tcMar>
          </w:tcPr>
          <w:p>
            <w:r>
              <w:rPr>
                <w:color w:val="1a1a1a"/>
                <w:sz w:val="19"/>
                <w:szCs w:val="19"/>
              </w:rPr>
              <w:t xml:space="preserve">Q1 2026, Search.</w:t>
            </w:r>
          </w:p>
        </w:tc>
      </w:tr>
      <w:tr>
        <w:tc>
          <w:tcPr>
            <w:tcW w:type="dxa" w:w="3400"/>
            <w:tcMar>
              <w:top w:type="dxa" w:w="80"/>
              <w:left w:type="dxa" w:w="100"/>
              <w:bottom w:type="dxa" w:w="80"/>
              <w:right w:type="dxa" w:w="100"/>
            </w:tcMar>
          </w:tcPr>
          <w:p>
            <w:r>
              <w:rPr>
                <w:color w:val="1a1a1a"/>
                <w:sz w:val="19"/>
                <w:szCs w:val="19"/>
              </w:rPr>
              <w:t xml:space="preserve">B2B (general average)</w:t>
            </w:r>
          </w:p>
        </w:tc>
        <w:tc>
          <w:tcPr>
            <w:tcW w:type="dxa" w:w="2800"/>
            <w:tcMar>
              <w:top w:type="dxa" w:w="80"/>
              <w:left w:type="dxa" w:w="100"/>
              <w:bottom w:type="dxa" w:w="80"/>
              <w:right w:type="dxa" w:w="100"/>
            </w:tcMar>
          </w:tcPr>
          <w:p>
            <w:r>
              <w:rPr>
                <w:color w:val="1a1a1a"/>
                <w:sz w:val="19"/>
                <w:szCs w:val="19"/>
              </w:rPr>
              <w:t xml:space="preserve">~USD 3.33</w:t>
            </w:r>
          </w:p>
        </w:tc>
        <w:tc>
          <w:tcPr>
            <w:tcW w:type="dxa" w:w="3600"/>
            <w:tcMar>
              <w:top w:type="dxa" w:w="80"/>
              <w:left w:type="dxa" w:w="100"/>
              <w:bottom w:type="dxa" w:w="80"/>
              <w:right w:type="dxa" w:w="100"/>
            </w:tcMar>
          </w:tcPr>
          <w:p>
            <w:r>
              <w:rPr>
                <w:color w:val="1a1a1a"/>
                <w:sz w:val="19"/>
                <w:szCs w:val="19"/>
              </w:rPr>
              <w:t xml:space="preserve">+12% year over year — more competition moving into digital.</w:t>
            </w:r>
          </w:p>
        </w:tc>
      </w:tr>
      <w:tr>
        <w:tc>
          <w:tcPr>
            <w:tcW w:type="dxa" w:w="3400"/>
            <w:tcMar>
              <w:top w:type="dxa" w:w="80"/>
              <w:left w:type="dxa" w:w="100"/>
              <w:bottom w:type="dxa" w:w="80"/>
              <w:right w:type="dxa" w:w="100"/>
            </w:tcMar>
          </w:tcPr>
          <w:p>
            <w:r>
              <w:rPr>
                <w:color w:val="1a1a1a"/>
                <w:sz w:val="19"/>
                <w:szCs w:val="19"/>
              </w:rPr>
              <w:t xml:space="preserve">B2B SaaS / technical software</w:t>
            </w:r>
          </w:p>
        </w:tc>
        <w:tc>
          <w:tcPr>
            <w:tcW w:type="dxa" w:w="2800"/>
            <w:tcMar>
              <w:top w:type="dxa" w:w="80"/>
              <w:left w:type="dxa" w:w="100"/>
              <w:bottom w:type="dxa" w:w="80"/>
              <w:right w:type="dxa" w:w="100"/>
            </w:tcMar>
          </w:tcPr>
          <w:p>
            <w:r>
              <w:rPr>
                <w:color w:val="1a1a1a"/>
                <w:sz w:val="19"/>
                <w:szCs w:val="19"/>
              </w:rPr>
              <w:t xml:space="preserve">~USD 5.34</w:t>
            </w:r>
          </w:p>
        </w:tc>
        <w:tc>
          <w:tcPr>
            <w:tcW w:type="dxa" w:w="3600"/>
            <w:tcMar>
              <w:top w:type="dxa" w:w="80"/>
              <w:left w:type="dxa" w:w="100"/>
              <w:bottom w:type="dxa" w:w="80"/>
              <w:right w:type="dxa" w:w="100"/>
            </w:tcMar>
          </w:tcPr>
          <w:p>
            <w:r>
              <w:rPr>
                <w:color w:val="1a1a1a"/>
                <w:sz w:val="19"/>
                <w:szCs w:val="19"/>
              </w:rPr>
              <w:t xml:space="preserve">+29% year over year. The closest reference to "specialized technical service" we could find with public data.</w:t>
            </w:r>
          </w:p>
        </w:tc>
      </w:tr>
    </w:tbl>
    <w:p>
      <w:pPr>
        <w:pBdr>
          <w:left w:val="single" w:color="00BFB2" w:sz="18" w:space="8"/>
        </w:pBdr>
        <w:shd w:fill="EAF6FB" w:val="clear"/>
        <w:spacing w:after="200" w:before="80"/>
        <w:ind w:left="100"/>
      </w:pPr>
      <w:r>
        <w:rPr>
          <w:i/>
          <w:iCs/>
          <w:color w:val="334155"/>
          <w:sz w:val="20"/>
          <w:szCs w:val="20"/>
        </w:rPr>
        <w:t xml:space="preserve">There are no public benchmarks specific to "genomic sequencing services" — it's too specific a niche. The most reasonable reference is B2B SaaS (~USD 5) as a ceiling and general B2B (~USD 3.3) as a floor, adjusting down for Sanger/CES (lower competition, more transactional intent) and up for WGS/NGS (more technical, more competitive terms). The first 30 days of the actual campaign will tell you more than any external benchmark — which is why the plan starts with a learning budget, not a scaling one.</w:t>
      </w:r>
    </w:p>
    <w:p>
      <w:r>
        <w:br w:type="page"/>
      </w:r>
    </w:p>
    <w:p>
      <w:pPr>
        <w:pStyle w:val="Heading1"/>
        <w:pBdr>
          <w:bottom w:val="single" w:color="00BFB2" w:sz="8" w:space="4"/>
        </w:pBdr>
        <w:spacing w:after="200" w:before="400"/>
      </w:pPr>
      <w:r>
        <w:t xml:space="preserve">Part 2 — Google Ads strategic plan</w:t>
      </w:r>
    </w:p>
    <w:p>
      <w:pPr>
        <w:spacing w:after="160" w:line="276"/>
      </w:pPr>
      <w:r>
        <w:rPr>
          <w:sz w:val="22"/>
          <w:szCs w:val="22"/>
        </w:rPr>
        <w:t xml:space="preserve">The document you uploaded ("macrogen-plan-ads-landing-ngs-espana.pdf") already develops the account architecture, ad groups per sub-service, keywords with match type, and the full wireframe for the "NGS Spain" landing page in detail. I won't repeat it line by line — I use it as the base and add the launch sequence, the reference budget, and how it connects to the rest of the site.</w:t>
      </w:r>
    </w:p>
    <w:p>
      <w:pPr>
        <w:pStyle w:val="Heading2"/>
        <w:spacing w:after="140" w:before="300"/>
      </w:pPr>
      <w:r>
        <w:t xml:space="preserve">2.1 Account architecture (summary of what's already defined)</w:t>
      </w:r>
    </w:p>
    <w:p>
      <w:pPr>
        <w:spacing w:after="160" w:line="276"/>
      </w:pPr>
      <w:r>
        <w:rPr>
          <w:sz w:val="22"/>
          <w:szCs w:val="22"/>
        </w:rPr>
        <w:t xml:space="preserve">Recommended structure: 1 campaign per service line × country, with ad groups specific to each sub-intent. This gives independent budget and bid control per market — if you mix countries into a single campaign, the automated bidding algorithm tends to favor whichever country has more signal (usually Spain) and neglects Chile/Peru.</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400"/>
      </w:tblGrid>
      <w:tr>
        <w:trPr>
          <w:tblHeader/>
        </w:trPr>
        <w:tc>
          <w:tcPr>
            <w:tcW w:type="dxa" w:w="2600"/>
            <w:shd w:fill="0A1F4F" w:val="clear"/>
            <w:tcMar>
              <w:top w:type="dxa" w:w="80"/>
              <w:left w:type="dxa" w:w="100"/>
              <w:bottom w:type="dxa" w:w="80"/>
              <w:right w:type="dxa" w:w="100"/>
            </w:tcMar>
          </w:tcPr>
          <w:p>
            <w:r>
              <w:rPr>
                <w:b/>
                <w:bCs/>
                <w:color w:val="FFFFFF"/>
                <w:sz w:val="19"/>
                <w:szCs w:val="19"/>
              </w:rPr>
              <w:t xml:space="preserve">Campaign</w:t>
            </w:r>
          </w:p>
        </w:tc>
        <w:tc>
          <w:tcPr>
            <w:tcW w:type="dxa" w:w="4200"/>
            <w:shd w:fill="0A1F4F" w:val="clear"/>
            <w:tcMar>
              <w:top w:type="dxa" w:w="80"/>
              <w:left w:type="dxa" w:w="100"/>
              <w:bottom w:type="dxa" w:w="80"/>
              <w:right w:type="dxa" w:w="100"/>
            </w:tcMar>
          </w:tcPr>
          <w:p>
            <w:r>
              <w:rPr>
                <w:b/>
                <w:bCs/>
                <w:color w:val="FFFFFF"/>
                <w:sz w:val="19"/>
                <w:szCs w:val="19"/>
              </w:rPr>
              <w:t xml:space="preserve">Ad groups</w:t>
            </w:r>
          </w:p>
        </w:tc>
        <w:tc>
          <w:tcPr>
            <w:tcW w:type="dxa" w:w="2400"/>
            <w:shd w:fill="0A1F4F" w:val="clear"/>
            <w:tcMar>
              <w:top w:type="dxa" w:w="80"/>
              <w:left w:type="dxa" w:w="100"/>
              <w:bottom w:type="dxa" w:w="80"/>
              <w:right w:type="dxa" w:w="100"/>
            </w:tcMar>
          </w:tcPr>
          <w:p>
            <w:r>
              <w:rPr>
                <w:b/>
                <w:bCs/>
                <w:color w:val="FFFFFF"/>
                <w:sz w:val="19"/>
                <w:szCs w:val="19"/>
              </w:rPr>
              <w:t xml:space="preserve">Landing destination</w:t>
            </w:r>
          </w:p>
        </w:tc>
      </w:tr>
      <w:tr>
        <w:tc>
          <w:tcPr>
            <w:tcW w:type="dxa" w:w="2600"/>
            <w:tcMar>
              <w:top w:type="dxa" w:w="80"/>
              <w:left w:type="dxa" w:w="100"/>
              <w:bottom w:type="dxa" w:w="80"/>
              <w:right w:type="dxa" w:w="100"/>
            </w:tcMar>
          </w:tcPr>
          <w:p>
            <w:r>
              <w:rPr>
                <w:color w:val="1a1a1a"/>
                <w:sz w:val="19"/>
                <w:szCs w:val="19"/>
              </w:rPr>
              <w:t xml:space="preserve">NGS/WGS — Spain</w:t>
            </w:r>
          </w:p>
        </w:tc>
        <w:tc>
          <w:tcPr>
            <w:tcW w:type="dxa" w:w="4200"/>
            <w:tcMar>
              <w:top w:type="dxa" w:w="80"/>
              <w:left w:type="dxa" w:w="100"/>
              <w:bottom w:type="dxa" w:w="80"/>
              <w:right w:type="dxa" w:w="100"/>
            </w:tcMar>
          </w:tcPr>
          <w:p>
            <w:r>
              <w:rPr>
                <w:color w:val="1a1a1a"/>
                <w:sz w:val="19"/>
                <w:szCs w:val="19"/>
              </w:rPr>
              <w:t xml:space="preserve">Whole Genome Sequencing · Generic NGS sequencing · Exome/WES</w:t>
            </w:r>
          </w:p>
        </w:tc>
        <w:tc>
          <w:tcPr>
            <w:tcW w:type="dxa" w:w="2400"/>
            <w:tcMar>
              <w:top w:type="dxa" w:w="80"/>
              <w:left w:type="dxa" w:w="100"/>
              <w:bottom w:type="dxa" w:w="80"/>
              <w:right w:type="dxa" w:w="100"/>
            </w:tcMar>
          </w:tcPr>
          <w:p>
            <w:r>
              <w:rPr>
                <w:color w:val="1a1a1a"/>
                <w:sz w:val="19"/>
                <w:szCs w:val="19"/>
              </w:rPr>
              <w:t xml:space="preserve">"NGS Spain" landing (new, see 2.2 of the uploaded PDF)</w:t>
            </w:r>
          </w:p>
        </w:tc>
      </w:tr>
      <w:tr>
        <w:tc>
          <w:tcPr>
            <w:tcW w:type="dxa" w:w="2600"/>
            <w:tcMar>
              <w:top w:type="dxa" w:w="80"/>
              <w:left w:type="dxa" w:w="100"/>
              <w:bottom w:type="dxa" w:w="80"/>
              <w:right w:type="dxa" w:w="100"/>
            </w:tcMar>
          </w:tcPr>
          <w:p>
            <w:r>
              <w:rPr>
                <w:color w:val="1a1a1a"/>
                <w:sz w:val="19"/>
                <w:szCs w:val="19"/>
              </w:rPr>
              <w:t xml:space="preserve">Metagenomics — Spain</w:t>
            </w:r>
          </w:p>
        </w:tc>
        <w:tc>
          <w:tcPr>
            <w:tcW w:type="dxa" w:w="4200"/>
            <w:tcMar>
              <w:top w:type="dxa" w:w="80"/>
              <w:left w:type="dxa" w:w="100"/>
              <w:bottom w:type="dxa" w:w="80"/>
              <w:right w:type="dxa" w:w="100"/>
            </w:tcMar>
          </w:tcPr>
          <w:p>
            <w:r>
              <w:rPr>
                <w:color w:val="1a1a1a"/>
                <w:sz w:val="19"/>
                <w:szCs w:val="19"/>
              </w:rPr>
              <w:t xml:space="preserve">16S rRNA / Microbiome · Shotgun metagenomics</w:t>
            </w:r>
          </w:p>
        </w:tc>
        <w:tc>
          <w:tcPr>
            <w:tcW w:type="dxa" w:w="2400"/>
            <w:tcMar>
              <w:top w:type="dxa" w:w="80"/>
              <w:left w:type="dxa" w:w="100"/>
              <w:bottom w:type="dxa" w:w="80"/>
              <w:right w:type="dxa" w:w="100"/>
            </w:tcMar>
          </w:tcPr>
          <w:p>
            <w:r>
              <w:rPr>
                <w:color w:val="1a1a1a"/>
                <w:sz w:val="19"/>
                <w:szCs w:val="19"/>
              </w:rPr>
              <w:t xml:space="preserve">servicios/metagenoma.html</w:t>
            </w:r>
          </w:p>
        </w:tc>
      </w:tr>
      <w:tr>
        <w:tc>
          <w:tcPr>
            <w:tcW w:type="dxa" w:w="2600"/>
            <w:tcMar>
              <w:top w:type="dxa" w:w="80"/>
              <w:left w:type="dxa" w:w="100"/>
              <w:bottom w:type="dxa" w:w="80"/>
              <w:right w:type="dxa" w:w="100"/>
            </w:tcMar>
          </w:tcPr>
          <w:p>
            <w:r>
              <w:rPr>
                <w:color w:val="1a1a1a"/>
                <w:sz w:val="19"/>
                <w:szCs w:val="19"/>
              </w:rPr>
              <w:t xml:space="preserve">Sanger — Spain</w:t>
            </w:r>
          </w:p>
        </w:tc>
        <w:tc>
          <w:tcPr>
            <w:tcW w:type="dxa" w:w="4200"/>
            <w:tcMar>
              <w:top w:type="dxa" w:w="80"/>
              <w:left w:type="dxa" w:w="100"/>
              <w:bottom w:type="dxa" w:w="80"/>
              <w:right w:type="dxa" w:w="100"/>
            </w:tcMar>
          </w:tcPr>
          <w:p>
            <w:r>
              <w:rPr>
                <w:color w:val="1a1a1a"/>
                <w:sz w:val="19"/>
                <w:szCs w:val="19"/>
              </w:rPr>
              <w:t xml:space="preserve">Sanger sequencing service</w:t>
            </w:r>
          </w:p>
        </w:tc>
        <w:tc>
          <w:tcPr>
            <w:tcW w:type="dxa" w:w="2400"/>
            <w:tcMar>
              <w:top w:type="dxa" w:w="80"/>
              <w:left w:type="dxa" w:w="100"/>
              <w:bottom w:type="dxa" w:w="80"/>
              <w:right w:type="dxa" w:w="100"/>
            </w:tcMar>
          </w:tcPr>
          <w:p>
            <w:r>
              <w:rPr>
                <w:color w:val="1a1a1a"/>
                <w:sz w:val="19"/>
                <w:szCs w:val="19"/>
              </w:rPr>
              <w:t xml:space="preserve">servicios/sanger.html</w:t>
            </w:r>
          </w:p>
        </w:tc>
      </w:tr>
      <w:tr>
        <w:tc>
          <w:tcPr>
            <w:tcW w:type="dxa" w:w="2600"/>
            <w:tcMar>
              <w:top w:type="dxa" w:w="80"/>
              <w:left w:type="dxa" w:w="100"/>
              <w:bottom w:type="dxa" w:w="80"/>
              <w:right w:type="dxa" w:w="100"/>
            </w:tcMar>
          </w:tcPr>
          <w:p>
            <w:r>
              <w:rPr>
                <w:color w:val="1a1a1a"/>
                <w:sz w:val="19"/>
                <w:szCs w:val="19"/>
              </w:rPr>
              <w:t xml:space="preserve">NGS/WGS — Chile</w:t>
            </w:r>
          </w:p>
        </w:tc>
        <w:tc>
          <w:tcPr>
            <w:tcW w:type="dxa" w:w="4200"/>
            <w:tcMar>
              <w:top w:type="dxa" w:w="80"/>
              <w:left w:type="dxa" w:w="100"/>
              <w:bottom w:type="dxa" w:w="80"/>
              <w:right w:type="dxa" w:w="100"/>
            </w:tcMar>
          </w:tcPr>
          <w:p>
            <w:r>
              <w:rPr>
                <w:color w:val="1a1a1a"/>
                <w:sz w:val="19"/>
                <w:szCs w:val="19"/>
              </w:rPr>
              <w:t xml:space="preserve">Same structure, Chile geo-targeting</w:t>
            </w:r>
          </w:p>
        </w:tc>
        <w:tc>
          <w:tcPr>
            <w:tcW w:type="dxa" w:w="2400"/>
            <w:tcMar>
              <w:top w:type="dxa" w:w="80"/>
              <w:left w:type="dxa" w:w="100"/>
              <w:bottom w:type="dxa" w:w="80"/>
              <w:right w:type="dxa" w:w="100"/>
            </w:tcMar>
          </w:tcPr>
          <w:p>
            <w:r>
              <w:rPr>
                <w:color w:val="1a1a1a"/>
                <w:sz w:val="19"/>
                <w:szCs w:val="19"/>
              </w:rPr>
              <w:t xml:space="preserve">Localized CL landing (pending creation)</w:t>
            </w:r>
          </w:p>
        </w:tc>
      </w:tr>
      <w:tr>
        <w:tc>
          <w:tcPr>
            <w:tcW w:type="dxa" w:w="2600"/>
            <w:tcMar>
              <w:top w:type="dxa" w:w="80"/>
              <w:left w:type="dxa" w:w="100"/>
              <w:bottom w:type="dxa" w:w="80"/>
              <w:right w:type="dxa" w:w="100"/>
            </w:tcMar>
          </w:tcPr>
          <w:p>
            <w:r>
              <w:rPr>
                <w:color w:val="1a1a1a"/>
                <w:sz w:val="19"/>
                <w:szCs w:val="19"/>
              </w:rPr>
              <w:t xml:space="preserve">NGS/WGS — Peru</w:t>
            </w:r>
          </w:p>
        </w:tc>
        <w:tc>
          <w:tcPr>
            <w:tcW w:type="dxa" w:w="4200"/>
            <w:tcMar>
              <w:top w:type="dxa" w:w="80"/>
              <w:left w:type="dxa" w:w="100"/>
              <w:bottom w:type="dxa" w:w="80"/>
              <w:right w:type="dxa" w:w="100"/>
            </w:tcMar>
          </w:tcPr>
          <w:p>
            <w:r>
              <w:rPr>
                <w:color w:val="1a1a1a"/>
                <w:sz w:val="19"/>
                <w:szCs w:val="19"/>
              </w:rPr>
              <w:t xml:space="preserve">Same structure, Peru geo-targeting</w:t>
            </w:r>
          </w:p>
        </w:tc>
        <w:tc>
          <w:tcPr>
            <w:tcW w:type="dxa" w:w="2400"/>
            <w:tcMar>
              <w:top w:type="dxa" w:w="80"/>
              <w:left w:type="dxa" w:w="100"/>
              <w:bottom w:type="dxa" w:w="80"/>
              <w:right w:type="dxa" w:w="100"/>
            </w:tcMar>
          </w:tcPr>
          <w:p>
            <w:r>
              <w:rPr>
                <w:color w:val="1a1a1a"/>
                <w:sz w:val="19"/>
                <w:szCs w:val="19"/>
              </w:rPr>
              <w:t xml:space="preserve">Localized PE landing (pending creation)</w:t>
            </w:r>
          </w:p>
        </w:tc>
      </w:tr>
    </w:tbl>
    <w:p>
      <w:pPr>
        <w:pStyle w:val="Heading2"/>
        <w:spacing w:after="140" w:before="300"/>
      </w:pPr>
      <w:r>
        <w:t xml:space="preserve">2.2 Account-level negative keywords (critical)</w:t>
      </w:r>
    </w:p>
    <w:p>
      <w:pPr>
        <w:spacing w:after="160" w:line="276"/>
      </w:pPr>
      <w:r>
        <w:rPr>
          <w:sz w:val="22"/>
          <w:szCs w:val="22"/>
        </w:rPr>
        <w:t xml:space="preserve">Without this, the scientific B2B budget leaks into consumer searches that have nothing to do with the target client (labs, institutes, biotech):</w:t>
      </w:r>
    </w:p>
    <w:p>
      <w:pPr>
        <w:spacing w:after="160" w:line="276"/>
      </w:pPr>
      <w:r>
        <w:rPr>
          <w:color w:val="8b98b8"/>
          <w:sz w:val="22"/>
          <w:szCs w:val="22"/>
        </w:rPr>
        <w:t xml:space="preserve">-free, -course, -master's, -what is, -meaning, -wikipedia, -jobs, -employment, -paternity DNA test, -ancestry DNA test, -23andme, -myheritage</w:t>
      </w:r>
    </w:p>
    <w:p>
      <w:pPr>
        <w:pStyle w:val="Heading2"/>
        <w:spacing w:after="140" w:before="300"/>
      </w:pPr>
      <w:r>
        <w:t xml:space="preserve">2.3 Recommended launch sequence</w:t>
      </w:r>
    </w:p>
    <w:p>
      <w:pPr>
        <w:pStyle w:val="ListParagraph"/>
        <w:numPr>
          <w:ilvl w:val="0"/>
          <w:numId w:val="1"/>
        </w:numPr>
        <w:spacing w:after="90" w:line="264"/>
      </w:pPr>
      <w:r>
        <w:rPr>
          <w:b/>
          <w:bCs/>
          <w:color w:val="0A1F4F"/>
          <w:sz w:val="22"/>
          <w:szCs w:val="22"/>
        </w:rPr>
        <w:t xml:space="preserve">Week 1–2 — Sanger first. </w:t>
      </w:r>
      <w:r>
        <w:rPr>
          <w:sz w:val="22"/>
          <w:szCs w:val="22"/>
        </w:rPr>
        <w:t xml:space="preserve">Lower CPC, more consistent search volume (routine use in small labs/universities). It serves as a low-cost recurring-lead "cushion" while the more expensive but higher-ticket NGS campaigns mature. It also produces the first real conversion data to calibrate Quality Score for the whole account.</w:t>
      </w:r>
    </w:p>
    <w:p>
      <w:pPr>
        <w:pStyle w:val="ListParagraph"/>
        <w:numPr>
          <w:ilvl w:val="0"/>
          <w:numId w:val="1"/>
        </w:numPr>
        <w:spacing w:after="90" w:line="264"/>
      </w:pPr>
      <w:r>
        <w:rPr>
          <w:b/>
          <w:bCs/>
          <w:color w:val="0A1F4F"/>
          <w:sz w:val="22"/>
          <w:szCs w:val="22"/>
        </w:rPr>
        <w:t xml:space="preserve">Week 3–4 — NGS/WGS Spain, only after the "NGS Spain" landing page is published. </w:t>
      </w:r>
      <w:r>
        <w:rPr>
          <w:sz w:val="22"/>
          <w:szCs w:val="22"/>
        </w:rPr>
        <w:t xml:space="preserve">Launching Ads pointing to servicios/wgs.html (the current generic page) instead of the dedicated landing page would mean burning budget on a less relevant ad↔landing relationship — worse Quality Score, higher CPC, from day one.</w:t>
      </w:r>
    </w:p>
    <w:p>
      <w:pPr>
        <w:pStyle w:val="ListParagraph"/>
        <w:numPr>
          <w:ilvl w:val="0"/>
          <w:numId w:val="1"/>
        </w:numPr>
        <w:spacing w:after="90" w:line="264"/>
      </w:pPr>
      <w:r>
        <w:rPr>
          <w:b/>
          <w:bCs/>
          <w:color w:val="0A1F4F"/>
          <w:sz w:val="22"/>
          <w:szCs w:val="22"/>
        </w:rPr>
        <w:t xml:space="preserve">Month 2 — Metagenomics Spain + expansion to Chile/Peru. </w:t>
      </w:r>
      <w:r>
        <w:rPr>
          <w:sz w:val="22"/>
          <w:szCs w:val="22"/>
        </w:rPr>
        <w:t xml:space="preserve">Once Sanger and NGS Spain have accumulated ≥15–20 conversions and the team has seen the real cost-per-lead pattern.</w:t>
      </w:r>
    </w:p>
    <w:p>
      <w:pPr>
        <w:pStyle w:val="ListParagraph"/>
        <w:numPr>
          <w:ilvl w:val="0"/>
          <w:numId w:val="1"/>
        </w:numPr>
        <w:spacing w:after="90" w:line="264"/>
      </w:pPr>
      <w:r>
        <w:rPr>
          <w:b/>
          <w:bCs/>
          <w:color w:val="0A1F4F"/>
          <w:sz w:val="22"/>
          <w:szCs w:val="22"/>
        </w:rPr>
        <w:t xml:space="preserve">Month 3 — Performance Max as a complement (not before). </w:t>
      </w:r>
      <w:r>
        <w:rPr>
          <w:sz w:val="22"/>
          <w:szCs w:val="22"/>
        </w:rPr>
        <w:t xml:space="preserve">With the conversion pixel mature and enough volume for the algorithm to learn.</w:t>
      </w:r>
    </w:p>
    <w:p>
      <w:pPr>
        <w:pStyle w:val="Heading2"/>
        <w:spacing w:after="140" w:before="300"/>
      </w:pPr>
      <w:r>
        <w:t xml:space="preserve">2.4 Measurement — the non-negotiables</w:t>
      </w:r>
    </w:p>
    <w:p>
      <w:pPr>
        <w:pStyle w:val="ListParagraph"/>
        <w:numPr>
          <w:ilvl w:val="0"/>
          <w:numId w:val="1"/>
        </w:numPr>
        <w:spacing w:after="90" w:line="264"/>
      </w:pPr>
      <w:r>
        <w:rPr>
          <w:sz w:val="22"/>
          <w:szCs w:val="22"/>
        </w:rPr>
        <w:t xml:space="preserve">Primary conversion: submission of the "Request a quote" form — track it separately from "general contact" as a distinct conversion in GA4 and Google Ads.</w:t>
      </w:r>
    </w:p>
    <w:p>
      <w:pPr>
        <w:pStyle w:val="ListParagraph"/>
        <w:numPr>
          <w:ilvl w:val="0"/>
          <w:numId w:val="1"/>
        </w:numPr>
        <w:spacing w:after="90" w:line="264"/>
      </w:pPr>
      <w:r>
        <w:rPr>
          <w:sz w:val="22"/>
          <w:szCs w:val="22"/>
        </w:rPr>
        <w:t xml:space="preserve">Secondary conversion (micro-conversion): download of the technical lead magnet (the NGS platform selection guide mentioned in the uploaded PDF).</w:t>
      </w:r>
    </w:p>
    <w:p>
      <w:pPr>
        <w:pStyle w:val="ListParagraph"/>
        <w:numPr>
          <w:ilvl w:val="0"/>
          <w:numId w:val="1"/>
        </w:numPr>
        <w:spacing w:after="90" w:line="264"/>
      </w:pPr>
      <w:r>
        <w:rPr>
          <w:sz w:val="22"/>
          <w:szCs w:val="22"/>
        </w:rPr>
        <w:t xml:space="preserve">Offline conversion import from the CRM when an Ads lead becomes an actual customer — so automated bidding optimizes toward real value, not just submitted forms.</w:t>
      </w:r>
    </w:p>
    <w:p>
      <w:pPr>
        <w:pStyle w:val="ListParagraph"/>
        <w:numPr>
          <w:ilvl w:val="0"/>
          <w:numId w:val="1"/>
        </w:numPr>
        <w:spacing w:after="90" w:line="264"/>
      </w:pPr>
      <w:r>
        <w:rPr>
          <w:sz w:val="22"/>
          <w:szCs w:val="22"/>
        </w:rPr>
        <w:t xml:space="preserve">Weekly CPL (cost per lead) report by ad group, not just by campaign — that's where you see which sub-service has the best cost/lead-quality ratio.</w:t>
      </w:r>
    </w:p>
    <w:p>
      <w:r>
        <w:br w:type="page"/>
      </w:r>
    </w:p>
    <w:p>
      <w:pPr>
        <w:pStyle w:val="Heading1"/>
        <w:pBdr>
          <w:bottom w:val="single" w:color="00BFB2" w:sz="8" w:space="4"/>
        </w:pBdr>
        <w:spacing w:after="200" w:before="400"/>
      </w:pPr>
      <w:r>
        <w:t xml:space="preserve">Part 3 — What is SEO and how it works</w:t>
      </w:r>
    </w:p>
    <w:p>
      <w:pPr>
        <w:spacing w:after="160" w:line="276"/>
      </w:pPr>
      <w:r>
        <w:rPr>
          <w:sz w:val="22"/>
          <w:szCs w:val="22"/>
        </w:rPr>
        <w:t xml:space="preserve">SEO (Search Engine Optimization) is the practice of shaping a website so that search engines like Google can find it, understand what it is about, and choose to show it — for free — when someone searches for something related to it. It sits opposite paid search (Google Ads, Parts 1–2 of this document): SEO does not cost per click, but it is not free either — it costs time, content, and technical correctness, and results take months, not days.</w:t>
      </w:r>
    </w:p>
    <w:p>
      <w:pPr>
        <w:pStyle w:val="Heading3"/>
        <w:spacing w:after="100" w:before="220"/>
      </w:pPr>
      <w:r>
        <w:t xml:space="preserve">How a search engine actually decides what to show</w:t>
      </w:r>
    </w:p>
    <w:p>
      <w:pPr>
        <w:spacing w:after="160" w:line="276"/>
      </w:pPr>
      <w:r>
        <w:rPr>
          <w:sz w:val="22"/>
          <w:szCs w:val="22"/>
        </w:rPr>
        <w:t xml:space="preserve">Google's system does three separate jobs, in this order:</w:t>
      </w:r>
    </w:p>
    <w:p>
      <w:pPr>
        <w:pStyle w:val="ListParagraph"/>
        <w:numPr>
          <w:ilvl w:val="0"/>
          <w:numId w:val="1"/>
        </w:numPr>
        <w:spacing w:after="90" w:line="264"/>
      </w:pPr>
      <w:r>
        <w:rPr>
          <w:b/>
          <w:bCs/>
          <w:color w:val="0A1F4F"/>
          <w:sz w:val="22"/>
          <w:szCs w:val="22"/>
        </w:rPr>
        <w:t xml:space="preserve">Crawling: </w:t>
      </w:r>
      <w:r>
        <w:rPr>
          <w:sz w:val="22"/>
          <w:szCs w:val="22"/>
        </w:rPr>
        <w:t xml:space="preserve">Google's bots follow links from page to page across the internet, discovering which pages exist. A page that is not linked from anywhere and is not in a sitemap may never be found.</w:t>
      </w:r>
    </w:p>
    <w:p>
      <w:pPr>
        <w:pStyle w:val="ListParagraph"/>
        <w:numPr>
          <w:ilvl w:val="0"/>
          <w:numId w:val="1"/>
        </w:numPr>
        <w:spacing w:after="90" w:line="264"/>
      </w:pPr>
      <w:r>
        <w:rPr>
          <w:b/>
          <w:bCs/>
          <w:color w:val="0A1F4F"/>
          <w:sz w:val="22"/>
          <w:szCs w:val="22"/>
        </w:rPr>
        <w:t xml:space="preserve">Indexing: </w:t>
      </w:r>
      <w:r>
        <w:rPr>
          <w:sz w:val="22"/>
          <w:szCs w:val="22"/>
        </w:rPr>
        <w:t xml:space="preserve">Once found, Google reads the page's content, code, and structured data (schema.org) and decides what the page is about, then stores that understanding in its index. A page can be crawled but not indexed if Google decides it is low-value, duplicate, or blocked (by robots.txt or noindex).</w:t>
      </w:r>
    </w:p>
    <w:p>
      <w:pPr>
        <w:pStyle w:val="ListParagraph"/>
        <w:numPr>
          <w:ilvl w:val="0"/>
          <w:numId w:val="1"/>
        </w:numPr>
        <w:spacing w:after="90" w:line="264"/>
      </w:pPr>
      <w:r>
        <w:rPr>
          <w:b/>
          <w:bCs/>
          <w:color w:val="0A1F4F"/>
          <w:sz w:val="22"/>
          <w:szCs w:val="22"/>
        </w:rPr>
        <w:t xml:space="preserve">Ranking: </w:t>
      </w:r>
      <w:r>
        <w:rPr>
          <w:sz w:val="22"/>
          <w:szCs w:val="22"/>
        </w:rPr>
        <w:t xml:space="preserve">When someone searches, Google scores every indexed page that might be relevant against hundreds of signals, and orders the results. This is the part everyone calls "SEO," but it only works if crawling and indexing already succeeded.</w:t>
      </w:r>
    </w:p>
    <w:p>
      <w:pPr>
        <w:pBdr>
          <w:left w:val="single" w:color="00BFB2" w:sz="18" w:space="8"/>
        </w:pBdr>
        <w:shd w:fill="EAF6FB" w:val="clear"/>
        <w:spacing w:after="200" w:before="80"/>
        <w:ind w:left="100"/>
      </w:pPr>
      <w:r>
        <w:rPr>
          <w:i/>
          <w:iCs/>
          <w:color w:val="334155"/>
          <w:sz w:val="20"/>
          <w:szCs w:val="20"/>
        </w:rPr>
        <w:t xml:space="preserve">This is exactly why the broken hreflang and the incomplete FAQ schema mattered (see Part 4): both are signals used at the indexing/ranking stage. A page can be perfectly written and still rank poorly if these technical signals are wrong or contradictory.</w:t>
      </w:r>
    </w:p>
    <w:p>
      <w:pPr>
        <w:pStyle w:val="Heading3"/>
        <w:spacing w:after="100" w:before="220"/>
      </w:pPr>
      <w:r>
        <w:t xml:space="preserve">The three pillars that determine ranking</w:t>
      </w:r>
    </w:p>
    <w:p>
      <w:pPr>
        <w:pStyle w:val="ListParagraph"/>
        <w:numPr>
          <w:ilvl w:val="0"/>
          <w:numId w:val="1"/>
        </w:numPr>
        <w:spacing w:after="90" w:line="264"/>
      </w:pPr>
      <w:r>
        <w:rPr>
          <w:b/>
          <w:bCs/>
          <w:color w:val="0A1F4F"/>
          <w:sz w:val="22"/>
          <w:szCs w:val="22"/>
        </w:rPr>
        <w:t xml:space="preserve">Technical SEO: </w:t>
      </w:r>
      <w:r>
        <w:rPr>
          <w:sz w:val="22"/>
          <w:szCs w:val="22"/>
        </w:rPr>
        <w:t xml:space="preserve">Can Google physically crawl and index the site without errors? Site speed, mobile-friendliness, correct canonical tags, valid structured data, a working sitemap/robots.txt, no broken hreflang. This is the foundation — without it, nothing else matters.</w:t>
      </w:r>
    </w:p>
    <w:p>
      <w:pPr>
        <w:pStyle w:val="ListParagraph"/>
        <w:numPr>
          <w:ilvl w:val="0"/>
          <w:numId w:val="1"/>
        </w:numPr>
        <w:spacing w:after="90" w:line="264"/>
      </w:pPr>
      <w:r>
        <w:rPr>
          <w:b/>
          <w:bCs/>
          <w:color w:val="0A1F4F"/>
          <w:sz w:val="22"/>
          <w:szCs w:val="22"/>
        </w:rPr>
        <w:t xml:space="preserve">On-page SEO (content relevance): </w:t>
      </w:r>
      <w:r>
        <w:rPr>
          <w:sz w:val="22"/>
          <w:szCs w:val="22"/>
        </w:rPr>
        <w:t xml:space="preserve">Does the page actually answer what the searcher typed? Keyword usage in titles/headings, content depth, matching search intent (informational vs. transactional), internal linking between related pages.</w:t>
      </w:r>
    </w:p>
    <w:p>
      <w:pPr>
        <w:pStyle w:val="ListParagraph"/>
        <w:numPr>
          <w:ilvl w:val="0"/>
          <w:numId w:val="1"/>
        </w:numPr>
        <w:spacing w:after="90" w:line="264"/>
      </w:pPr>
      <w:r>
        <w:rPr>
          <w:b/>
          <w:bCs/>
          <w:color w:val="0A1F4F"/>
          <w:sz w:val="22"/>
          <w:szCs w:val="22"/>
        </w:rPr>
        <w:t xml:space="preserve">Off-page SEO (authority): </w:t>
      </w:r>
      <w:r>
        <w:rPr>
          <w:sz w:val="22"/>
          <w:szCs w:val="22"/>
        </w:rPr>
        <w:t xml:space="preserve">Do other credible sites link to this one? Backlinks, brand mentions, reviews, and social signals tell Google "other people trust this source" — one of the hardest signals to fake, and one of the strongest ranking factors.</w:t>
      </w:r>
    </w:p>
    <w:p>
      <w:pPr>
        <w:pStyle w:val="Heading3"/>
        <w:spacing w:after="100" w:before="220"/>
      </w:pPr>
      <w:r>
        <w:t xml:space="preserve">Why it is slow, and why it compounds</w:t>
      </w:r>
    </w:p>
    <w:p>
      <w:pPr>
        <w:spacing w:after="160" w:line="276"/>
      </w:pPr>
      <w:r>
        <w:rPr>
          <w:sz w:val="22"/>
          <w:szCs w:val="22"/>
        </w:rPr>
        <w:t xml:space="preserve">Unlike Google Ads, where traffic starts the moment you pay, SEO has no on/off switch — Google needs to re-crawl, re-evaluate, and build trust in a domain over weeks or months before rankings move meaningfully. The upside: once a page ranks, it keeps generating free traffic every day with no per-click cost, which is why this document treats Ads as the fast lane and SEO as the compounding asset underneath it.</w:t>
      </w:r>
    </w:p>
    <w:p>
      <w:r>
        <w:br w:type="page"/>
      </w:r>
    </w:p>
    <w:p>
      <w:pPr>
        <w:pStyle w:val="Heading1"/>
        <w:pBdr>
          <w:bottom w:val="single" w:color="00BFB2" w:sz="8" w:space="4"/>
        </w:pBdr>
        <w:spacing w:after="200" w:before="400"/>
      </w:pPr>
      <w:r>
        <w:t xml:space="preserve">Part 4 — SEO audit: the site's real state today</w:t>
      </w:r>
    </w:p>
    <w:p>
      <w:pPr>
        <w:spacing w:after="160" w:line="276"/>
      </w:pPr>
      <w:r>
        <w:rPr>
          <w:sz w:val="22"/>
          <w:szCs w:val="22"/>
        </w:rPr>
        <w:t xml:space="preserve">The May 2026 360° Strategic Audit (section 2.1) found a long list of technical elements marked "MISSING." I re-reviewed the site's code exactly as published today, element by element. The good news: far more was already fixed than the May audit would suggest. This table shows today's real status, not May's.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2400"/>
        <w:gridCol w:w="3400"/>
      </w:tblGrid>
      <w:tr>
        <w:trPr>
          <w:tblHeader/>
        </w:trPr>
        <w:tc>
          <w:tcPr>
            <w:tcW w:type="dxa" w:w="2400"/>
            <w:shd w:fill="0A1F4F" w:val="clear"/>
            <w:tcMar>
              <w:top w:type="dxa" w:w="80"/>
              <w:left w:type="dxa" w:w="100"/>
              <w:bottom w:type="dxa" w:w="80"/>
              <w:right w:type="dxa" w:w="100"/>
            </w:tcMar>
          </w:tcPr>
          <w:p>
            <w:r>
              <w:rPr>
                <w:b/>
                <w:bCs/>
                <w:color w:val="FFFFFF"/>
                <w:sz w:val="19"/>
                <w:szCs w:val="19"/>
              </w:rPr>
              <w:t xml:space="preserve">Element</w:t>
            </w:r>
          </w:p>
        </w:tc>
        <w:tc>
          <w:tcPr>
            <w:tcW w:type="dxa" w:w="1700"/>
            <w:shd w:fill="0A1F4F" w:val="clear"/>
            <w:tcMar>
              <w:top w:type="dxa" w:w="80"/>
              <w:left w:type="dxa" w:w="100"/>
              <w:bottom w:type="dxa" w:w="80"/>
              <w:right w:type="dxa" w:w="100"/>
            </w:tcMar>
          </w:tcPr>
          <w:p>
            <w:r>
              <w:rPr>
                <w:b/>
                <w:bCs/>
                <w:color w:val="FFFFFF"/>
                <w:sz w:val="19"/>
                <w:szCs w:val="19"/>
              </w:rPr>
              <w:t xml:space="preserve">May 2026</w:t>
            </w:r>
          </w:p>
        </w:tc>
        <w:tc>
          <w:tcPr>
            <w:tcW w:type="dxa" w:w="2400"/>
            <w:shd w:fill="0A1F4F" w:val="clear"/>
            <w:tcMar>
              <w:top w:type="dxa" w:w="80"/>
              <w:left w:type="dxa" w:w="100"/>
              <w:bottom w:type="dxa" w:w="80"/>
              <w:right w:type="dxa" w:w="100"/>
            </w:tcMar>
          </w:tcPr>
          <w:p>
            <w:r>
              <w:rPr>
                <w:b/>
                <w:bCs/>
                <w:color w:val="FFFFFF"/>
                <w:sz w:val="19"/>
                <w:szCs w:val="19"/>
              </w:rPr>
              <w:t xml:space="preserve">Today</w:t>
            </w:r>
          </w:p>
        </w:tc>
        <w:tc>
          <w:tcPr>
            <w:tcW w:type="dxa" w:w="3400"/>
            <w:shd w:fill="0A1F4F" w:val="clear"/>
            <w:tcMar>
              <w:top w:type="dxa" w:w="80"/>
              <w:left w:type="dxa" w:w="100"/>
              <w:bottom w:type="dxa" w:w="80"/>
              <w:right w:type="dxa" w:w="100"/>
            </w:tcMar>
          </w:tcPr>
          <w:p>
            <w:r>
              <w:rPr>
                <w:b/>
                <w:bCs/>
                <w:color w:val="FFFFFF"/>
                <w:sz w:val="19"/>
                <w:szCs w:val="19"/>
              </w:rPr>
              <w:t xml:space="preserve">Detail</w:t>
            </w:r>
          </w:p>
        </w:tc>
      </w:tr>
      <w:tr>
        <w:tc>
          <w:tcPr>
            <w:tcW w:type="dxa" w:w="2400"/>
            <w:tcMar>
              <w:top w:type="dxa" w:w="80"/>
              <w:left w:type="dxa" w:w="100"/>
              <w:bottom w:type="dxa" w:w="80"/>
              <w:right w:type="dxa" w:w="100"/>
            </w:tcMar>
          </w:tcPr>
          <w:p>
            <w:r>
              <w:rPr>
                <w:color w:val="1a1a1a"/>
                <w:sz w:val="19"/>
                <w:szCs w:val="19"/>
              </w:rPr>
              <w:t xml:space="preserve">Title tags</w:t>
            </w:r>
          </w:p>
        </w:tc>
        <w:tc>
          <w:tcPr>
            <w:tcW w:type="dxa" w:w="1700"/>
            <w:tcMar>
              <w:top w:type="dxa" w:w="80"/>
              <w:left w:type="dxa" w:w="100"/>
              <w:bottom w:type="dxa" w:w="80"/>
              <w:right w:type="dxa" w:w="100"/>
            </w:tcMar>
          </w:tcPr>
          <w:p>
            <w:r>
              <w:rPr>
                <w:color w:val="1a1a1a"/>
                <w:sz w:val="19"/>
                <w:szCs w:val="19"/>
              </w:rPr>
              <w:t xml:space="preserve">OK</w:t>
            </w:r>
          </w:p>
        </w:tc>
        <w:tc>
          <w:tcPr>
            <w:tcW w:type="dxa" w:w="2400"/>
            <w:tcMar>
              <w:top w:type="dxa" w:w="80"/>
              <w:left w:type="dxa" w:w="100"/>
              <w:bottom w:type="dxa" w:w="80"/>
              <w:right w:type="dxa" w:w="100"/>
            </w:tcMar>
          </w:tcPr>
          <w:p>
            <w:r>
              <w:rPr>
                <w:color w:val="1a1a1a"/>
                <w:sz w:val="19"/>
                <w:szCs w:val="19"/>
              </w:rPr>
              <w:t xml:space="preserve">OK</w:t>
            </w:r>
          </w:p>
        </w:tc>
        <w:tc>
          <w:tcPr>
            <w:tcW w:type="dxa" w:w="3400"/>
            <w:tcMar>
              <w:top w:type="dxa" w:w="80"/>
              <w:left w:type="dxa" w:w="100"/>
              <w:bottom w:type="dxa" w:w="80"/>
              <w:right w:type="dxa" w:w="100"/>
            </w:tcMar>
          </w:tcPr>
          <w:p>
            <w:r>
              <w:rPr>
                <w:color w:val="1a1a1a"/>
                <w:sz w:val="19"/>
                <w:szCs w:val="19"/>
              </w:rPr>
              <w:t xml:space="preserve">Well structured, keyword + brand.</w:t>
            </w:r>
          </w:p>
        </w:tc>
      </w:tr>
      <w:tr>
        <w:tc>
          <w:tcPr>
            <w:tcW w:type="dxa" w:w="2400"/>
            <w:tcMar>
              <w:top w:type="dxa" w:w="80"/>
              <w:left w:type="dxa" w:w="100"/>
              <w:bottom w:type="dxa" w:w="80"/>
              <w:right w:type="dxa" w:w="100"/>
            </w:tcMar>
          </w:tcPr>
          <w:p>
            <w:r>
              <w:rPr>
                <w:color w:val="1a1a1a"/>
                <w:sz w:val="19"/>
                <w:szCs w:val="19"/>
              </w:rPr>
              <w:t xml:space="preserve">Meta descriptions</w:t>
            </w:r>
          </w:p>
        </w:tc>
        <w:tc>
          <w:tcPr>
            <w:tcW w:type="dxa" w:w="1700"/>
            <w:tcMar>
              <w:top w:type="dxa" w:w="80"/>
              <w:left w:type="dxa" w:w="100"/>
              <w:bottom w:type="dxa" w:w="80"/>
              <w:right w:type="dxa" w:w="100"/>
            </w:tcMar>
          </w:tcPr>
          <w:p>
            <w:r>
              <w:rPr>
                <w:color w:val="1a1a1a"/>
                <w:sz w:val="19"/>
                <w:szCs w:val="19"/>
              </w:rPr>
              <w:t xml:space="preserve">OK</w:t>
            </w:r>
          </w:p>
        </w:tc>
        <w:tc>
          <w:tcPr>
            <w:tcW w:type="dxa" w:w="2400"/>
            <w:tcMar>
              <w:top w:type="dxa" w:w="80"/>
              <w:left w:type="dxa" w:w="100"/>
              <w:bottom w:type="dxa" w:w="80"/>
              <w:right w:type="dxa" w:w="100"/>
            </w:tcMar>
          </w:tcPr>
          <w:p>
            <w:r>
              <w:rPr>
                <w:color w:val="1a1a1a"/>
                <w:sz w:val="19"/>
                <w:szCs w:val="19"/>
              </w:rPr>
              <w:t xml:space="preserve">OK</w:t>
            </w:r>
          </w:p>
        </w:tc>
        <w:tc>
          <w:tcPr>
            <w:tcW w:type="dxa" w:w="3400"/>
            <w:tcMar>
              <w:top w:type="dxa" w:w="80"/>
              <w:left w:type="dxa" w:w="100"/>
              <w:bottom w:type="dxa" w:w="80"/>
              <w:right w:type="dxa" w:w="100"/>
            </w:tcMar>
          </w:tcPr>
          <w:p>
            <w:r>
              <w:rPr>
                <w:color w:val="1a1a1a"/>
                <w:sz w:val="19"/>
                <w:szCs w:val="19"/>
              </w:rPr>
              <w:t xml:space="preserve">Present, correct length.</w:t>
            </w:r>
          </w:p>
        </w:tc>
      </w:tr>
      <w:tr>
        <w:tc>
          <w:tcPr>
            <w:tcW w:type="dxa" w:w="2400"/>
            <w:tcMar>
              <w:top w:type="dxa" w:w="80"/>
              <w:left w:type="dxa" w:w="100"/>
              <w:bottom w:type="dxa" w:w="80"/>
              <w:right w:type="dxa" w:w="100"/>
            </w:tcMar>
          </w:tcPr>
          <w:p>
            <w:r>
              <w:rPr>
                <w:color w:val="1a1a1a"/>
                <w:sz w:val="19"/>
                <w:szCs w:val="19"/>
              </w:rPr>
              <w:t xml:space="preserve">Open Graph (og:image, og:title)</w:t>
            </w:r>
          </w:p>
        </w:tc>
        <w:tc>
          <w:tcPr>
            <w:tcW w:type="dxa" w:w="1700"/>
            <w:tcMar>
              <w:top w:type="dxa" w:w="80"/>
              <w:left w:type="dxa" w:w="100"/>
              <w:bottom w:type="dxa" w:w="80"/>
              <w:right w:type="dxa" w:w="100"/>
            </w:tcMar>
          </w:tcPr>
          <w:p>
            <w:r>
              <w:rPr>
                <w:color w:val="1a1a1a"/>
                <w:sz w:val="19"/>
                <w:szCs w:val="19"/>
              </w:rPr>
              <w:t xml:space="preserve">MISSING</w:t>
            </w:r>
          </w:p>
        </w:tc>
        <w:tc>
          <w:tcPr>
            <w:tcW w:type="dxa" w:w="2400"/>
            <w:tcMar>
              <w:top w:type="dxa" w:w="80"/>
              <w:left w:type="dxa" w:w="100"/>
              <w:bottom w:type="dxa" w:w="80"/>
              <w:right w:type="dxa" w:w="100"/>
            </w:tcMar>
          </w:tcPr>
          <w:p>
            <w:r>
              <w:rPr>
                <w:b/>
                <w:bCs/>
                <w:color w:val="3D6B00"/>
                <w:sz w:val="19"/>
                <w:szCs w:val="19"/>
              </w:rPr>
              <w:t xml:space="preserve">OK</w:t>
            </w:r>
          </w:p>
        </w:tc>
        <w:tc>
          <w:tcPr>
            <w:tcW w:type="dxa" w:w="3400"/>
            <w:tcMar>
              <w:top w:type="dxa" w:w="80"/>
              <w:left w:type="dxa" w:w="100"/>
              <w:bottom w:type="dxa" w:w="80"/>
              <w:right w:type="dxa" w:w="100"/>
            </w:tcMar>
          </w:tcPr>
          <w:p>
            <w:r>
              <w:rPr>
                <w:color w:val="1a1a1a"/>
                <w:sz w:val="19"/>
                <w:szCs w:val="19"/>
              </w:rPr>
              <w:t xml:space="preserve">Implemented on every page reviewed.</w:t>
            </w:r>
          </w:p>
        </w:tc>
      </w:tr>
      <w:tr>
        <w:tc>
          <w:tcPr>
            <w:tcW w:type="dxa" w:w="2400"/>
            <w:tcMar>
              <w:top w:type="dxa" w:w="80"/>
              <w:left w:type="dxa" w:w="100"/>
              <w:bottom w:type="dxa" w:w="80"/>
              <w:right w:type="dxa" w:w="100"/>
            </w:tcMar>
          </w:tcPr>
          <w:p>
            <w:r>
              <w:rPr>
                <w:color w:val="1a1a1a"/>
                <w:sz w:val="19"/>
                <w:szCs w:val="19"/>
              </w:rPr>
              <w:t xml:space="preserve">Twitter Card tags</w:t>
            </w:r>
          </w:p>
        </w:tc>
        <w:tc>
          <w:tcPr>
            <w:tcW w:type="dxa" w:w="1700"/>
            <w:tcMar>
              <w:top w:type="dxa" w:w="80"/>
              <w:left w:type="dxa" w:w="100"/>
              <w:bottom w:type="dxa" w:w="80"/>
              <w:right w:type="dxa" w:w="100"/>
            </w:tcMar>
          </w:tcPr>
          <w:p>
            <w:r>
              <w:rPr>
                <w:color w:val="1a1a1a"/>
                <w:sz w:val="19"/>
                <w:szCs w:val="19"/>
              </w:rPr>
              <w:t xml:space="preserve">MISSING</w:t>
            </w:r>
          </w:p>
        </w:tc>
        <w:tc>
          <w:tcPr>
            <w:tcW w:type="dxa" w:w="2400"/>
            <w:tcMar>
              <w:top w:type="dxa" w:w="80"/>
              <w:left w:type="dxa" w:w="100"/>
              <w:bottom w:type="dxa" w:w="80"/>
              <w:right w:type="dxa" w:w="100"/>
            </w:tcMar>
          </w:tcPr>
          <w:p>
            <w:r>
              <w:rPr>
                <w:b/>
                <w:bCs/>
                <w:color w:val="3D6B00"/>
                <w:sz w:val="19"/>
                <w:szCs w:val="19"/>
              </w:rPr>
              <w:t xml:space="preserve">OK</w:t>
            </w:r>
          </w:p>
        </w:tc>
        <w:tc>
          <w:tcPr>
            <w:tcW w:type="dxa" w:w="3400"/>
            <w:tcMar>
              <w:top w:type="dxa" w:w="80"/>
              <w:left w:type="dxa" w:w="100"/>
              <w:bottom w:type="dxa" w:w="80"/>
              <w:right w:type="dxa" w:w="100"/>
            </w:tcMar>
          </w:tcPr>
          <w:p>
            <w:r>
              <w:rPr>
                <w:color w:val="1a1a1a"/>
                <w:sz w:val="19"/>
                <w:szCs w:val="19"/>
              </w:rPr>
              <w:t xml:space="preserve">Implemented.</w:t>
            </w:r>
          </w:p>
        </w:tc>
      </w:tr>
      <w:tr>
        <w:tc>
          <w:tcPr>
            <w:tcW w:type="dxa" w:w="2400"/>
            <w:tcMar>
              <w:top w:type="dxa" w:w="80"/>
              <w:left w:type="dxa" w:w="100"/>
              <w:bottom w:type="dxa" w:w="80"/>
              <w:right w:type="dxa" w:w="100"/>
            </w:tcMar>
          </w:tcPr>
          <w:p>
            <w:r>
              <w:rPr>
                <w:color w:val="1a1a1a"/>
                <w:sz w:val="19"/>
                <w:szCs w:val="19"/>
              </w:rPr>
              <w:t xml:space="preserve">Canonical URLs</w:t>
            </w:r>
          </w:p>
        </w:tc>
        <w:tc>
          <w:tcPr>
            <w:tcW w:type="dxa" w:w="1700"/>
            <w:tcMar>
              <w:top w:type="dxa" w:w="80"/>
              <w:left w:type="dxa" w:w="100"/>
              <w:bottom w:type="dxa" w:w="80"/>
              <w:right w:type="dxa" w:w="100"/>
            </w:tcMar>
          </w:tcPr>
          <w:p>
            <w:r>
              <w:rPr>
                <w:color w:val="1a1a1a"/>
                <w:sz w:val="19"/>
                <w:szCs w:val="19"/>
              </w:rPr>
              <w:t xml:space="preserve">MISSING</w:t>
            </w:r>
          </w:p>
        </w:tc>
        <w:tc>
          <w:tcPr>
            <w:tcW w:type="dxa" w:w="2400"/>
            <w:tcMar>
              <w:top w:type="dxa" w:w="80"/>
              <w:left w:type="dxa" w:w="100"/>
              <w:bottom w:type="dxa" w:w="80"/>
              <w:right w:type="dxa" w:w="100"/>
            </w:tcMar>
          </w:tcPr>
          <w:p>
            <w:r>
              <w:rPr>
                <w:b/>
                <w:bCs/>
                <w:color w:val="3D6B00"/>
                <w:sz w:val="19"/>
                <w:szCs w:val="19"/>
              </w:rPr>
              <w:t xml:space="preserve">OK</w:t>
            </w:r>
          </w:p>
        </w:tc>
        <w:tc>
          <w:tcPr>
            <w:tcW w:type="dxa" w:w="3400"/>
            <w:tcMar>
              <w:top w:type="dxa" w:w="80"/>
              <w:left w:type="dxa" w:w="100"/>
              <w:bottom w:type="dxa" w:w="80"/>
              <w:right w:type="dxa" w:w="100"/>
            </w:tcMar>
          </w:tcPr>
          <w:p>
            <w:r>
              <w:rPr>
                <w:color w:val="1a1a1a"/>
                <w:sz w:val="19"/>
                <w:szCs w:val="19"/>
              </w:rPr>
              <w:t xml:space="preserve">Self-referencing on every page reviewed.</w:t>
            </w:r>
          </w:p>
        </w:tc>
      </w:tr>
      <w:tr>
        <w:tc>
          <w:tcPr>
            <w:tcW w:type="dxa" w:w="2400"/>
            <w:tcMar>
              <w:top w:type="dxa" w:w="80"/>
              <w:left w:type="dxa" w:w="100"/>
              <w:bottom w:type="dxa" w:w="80"/>
              <w:right w:type="dxa" w:w="100"/>
            </w:tcMar>
          </w:tcPr>
          <w:p>
            <w:r>
              <w:rPr>
                <w:color w:val="1a1a1a"/>
                <w:sz w:val="19"/>
                <w:szCs w:val="19"/>
              </w:rPr>
              <w:t xml:space="preserve">Schema.org Organization</w:t>
            </w:r>
          </w:p>
        </w:tc>
        <w:tc>
          <w:tcPr>
            <w:tcW w:type="dxa" w:w="1700"/>
            <w:tcMar>
              <w:top w:type="dxa" w:w="80"/>
              <w:left w:type="dxa" w:w="100"/>
              <w:bottom w:type="dxa" w:w="80"/>
              <w:right w:type="dxa" w:w="100"/>
            </w:tcMar>
          </w:tcPr>
          <w:p>
            <w:r>
              <w:rPr>
                <w:color w:val="1a1a1a"/>
                <w:sz w:val="19"/>
                <w:szCs w:val="19"/>
              </w:rPr>
              <w:t xml:space="preserve">MISSING</w:t>
            </w:r>
          </w:p>
        </w:tc>
        <w:tc>
          <w:tcPr>
            <w:tcW w:type="dxa" w:w="2400"/>
            <w:tcMar>
              <w:top w:type="dxa" w:w="80"/>
              <w:left w:type="dxa" w:w="100"/>
              <w:bottom w:type="dxa" w:w="80"/>
              <w:right w:type="dxa" w:w="100"/>
            </w:tcMar>
          </w:tcPr>
          <w:p>
            <w:r>
              <w:rPr>
                <w:b/>
                <w:bCs/>
                <w:color w:val="3D6B00"/>
                <w:sz w:val="19"/>
                <w:szCs w:val="19"/>
              </w:rPr>
              <w:t xml:space="preserve">OK</w:t>
            </w:r>
          </w:p>
        </w:tc>
        <w:tc>
          <w:tcPr>
            <w:tcW w:type="dxa" w:w="3400"/>
            <w:tcMar>
              <w:top w:type="dxa" w:w="80"/>
              <w:left w:type="dxa" w:w="100"/>
              <w:bottom w:type="dxa" w:w="80"/>
              <w:right w:type="dxa" w:w="100"/>
            </w:tcMar>
          </w:tcPr>
          <w:p>
            <w:r>
              <w:rPr>
                <w:color w:val="1a1a1a"/>
                <w:sz w:val="19"/>
                <w:szCs w:val="19"/>
              </w:rPr>
              <w:t xml:space="preserve">Implemented with @graph, includes parentOrganization (Macrogen Inc.).</w:t>
            </w:r>
          </w:p>
        </w:tc>
      </w:tr>
      <w:tr>
        <w:tc>
          <w:tcPr>
            <w:tcW w:type="dxa" w:w="2400"/>
            <w:tcMar>
              <w:top w:type="dxa" w:w="80"/>
              <w:left w:type="dxa" w:w="100"/>
              <w:bottom w:type="dxa" w:w="80"/>
              <w:right w:type="dxa" w:w="100"/>
            </w:tcMar>
          </w:tcPr>
          <w:p>
            <w:r>
              <w:rPr>
                <w:color w:val="1a1a1a"/>
                <w:sz w:val="19"/>
                <w:szCs w:val="19"/>
              </w:rPr>
              <w:t xml:space="preserve">Schema.org LocalBusiness × 2</w:t>
            </w:r>
          </w:p>
        </w:tc>
        <w:tc>
          <w:tcPr>
            <w:tcW w:type="dxa" w:w="1700"/>
            <w:tcMar>
              <w:top w:type="dxa" w:w="80"/>
              <w:left w:type="dxa" w:w="100"/>
              <w:bottom w:type="dxa" w:w="80"/>
              <w:right w:type="dxa" w:w="100"/>
            </w:tcMar>
          </w:tcPr>
          <w:p>
            <w:r>
              <w:rPr>
                <w:color w:val="1a1a1a"/>
                <w:sz w:val="19"/>
                <w:szCs w:val="19"/>
              </w:rPr>
              <w:t xml:space="preserve">MISSING</w:t>
            </w:r>
          </w:p>
        </w:tc>
        <w:tc>
          <w:tcPr>
            <w:tcW w:type="dxa" w:w="2400"/>
            <w:tcMar>
              <w:top w:type="dxa" w:w="80"/>
              <w:left w:type="dxa" w:w="100"/>
              <w:bottom w:type="dxa" w:w="80"/>
              <w:right w:type="dxa" w:w="100"/>
            </w:tcMar>
          </w:tcPr>
          <w:p>
            <w:r>
              <w:rPr>
                <w:b/>
                <w:bCs/>
                <w:color w:val="3D6B00"/>
                <w:sz w:val="19"/>
                <w:szCs w:val="19"/>
              </w:rPr>
              <w:t xml:space="preserve">OK</w:t>
            </w:r>
          </w:p>
        </w:tc>
        <w:tc>
          <w:tcPr>
            <w:tcW w:type="dxa" w:w="3400"/>
            <w:tcMar>
              <w:top w:type="dxa" w:w="80"/>
              <w:left w:type="dxa" w:w="100"/>
              <w:bottom w:type="dxa" w:w="80"/>
              <w:right w:type="dxa" w:w="100"/>
            </w:tcMar>
          </w:tcPr>
          <w:p>
            <w:r>
              <w:rPr>
                <w:color w:val="1a1a1a"/>
                <w:sz w:val="19"/>
                <w:szCs w:val="19"/>
              </w:rPr>
              <w:t xml:space="preserve">Madrid and Santiago as independent MedicalBusiness entries.</w:t>
            </w:r>
          </w:p>
        </w:tc>
      </w:tr>
      <w:tr>
        <w:tc>
          <w:tcPr>
            <w:tcW w:type="dxa" w:w="2400"/>
            <w:tcMar>
              <w:top w:type="dxa" w:w="80"/>
              <w:left w:type="dxa" w:w="100"/>
              <w:bottom w:type="dxa" w:w="80"/>
              <w:right w:type="dxa" w:w="100"/>
            </w:tcMar>
          </w:tcPr>
          <w:p>
            <w:r>
              <w:rPr>
                <w:color w:val="1a1a1a"/>
                <w:sz w:val="19"/>
                <w:szCs w:val="19"/>
              </w:rPr>
              <w:t xml:space="preserve">Schema.org BreadcrumbList</w:t>
            </w:r>
          </w:p>
        </w:tc>
        <w:tc>
          <w:tcPr>
            <w:tcW w:type="dxa" w:w="1700"/>
            <w:tcMar>
              <w:top w:type="dxa" w:w="80"/>
              <w:left w:type="dxa" w:w="100"/>
              <w:bottom w:type="dxa" w:w="80"/>
              <w:right w:type="dxa" w:w="100"/>
            </w:tcMar>
          </w:tcPr>
          <w:p>
            <w:r>
              <w:rPr>
                <w:color w:val="1a1a1a"/>
                <w:sz w:val="19"/>
                <w:szCs w:val="19"/>
              </w:rPr>
              <w:t xml:space="preserve">MISSING</w:t>
            </w:r>
          </w:p>
        </w:tc>
        <w:tc>
          <w:tcPr>
            <w:tcW w:type="dxa" w:w="2400"/>
            <w:tcMar>
              <w:top w:type="dxa" w:w="80"/>
              <w:left w:type="dxa" w:w="100"/>
              <w:bottom w:type="dxa" w:w="80"/>
              <w:right w:type="dxa" w:w="100"/>
            </w:tcMar>
          </w:tcPr>
          <w:p>
            <w:r>
              <w:rPr>
                <w:b/>
                <w:bCs/>
                <w:color w:val="3D6B00"/>
                <w:sz w:val="19"/>
                <w:szCs w:val="19"/>
              </w:rPr>
              <w:t xml:space="preserve">OK</w:t>
            </w:r>
          </w:p>
        </w:tc>
        <w:tc>
          <w:tcPr>
            <w:tcW w:type="dxa" w:w="3400"/>
            <w:tcMar>
              <w:top w:type="dxa" w:w="80"/>
              <w:left w:type="dxa" w:w="100"/>
              <w:bottom w:type="dxa" w:w="80"/>
              <w:right w:type="dxa" w:w="100"/>
            </w:tcMar>
          </w:tcPr>
          <w:p>
            <w:r>
              <w:rPr>
                <w:color w:val="1a1a1a"/>
                <w:sz w:val="19"/>
                <w:szCs w:val="19"/>
              </w:rPr>
              <w:t xml:space="preserve">Present on all 10 service pages.</w:t>
            </w:r>
          </w:p>
        </w:tc>
      </w:tr>
      <w:tr>
        <w:tc>
          <w:tcPr>
            <w:tcW w:type="dxa" w:w="2400"/>
            <w:tcMar>
              <w:top w:type="dxa" w:w="80"/>
              <w:left w:type="dxa" w:w="100"/>
              <w:bottom w:type="dxa" w:w="80"/>
              <w:right w:type="dxa" w:w="100"/>
            </w:tcMar>
          </w:tcPr>
          <w:p>
            <w:r>
              <w:rPr>
                <w:color w:val="1a1a1a"/>
                <w:sz w:val="19"/>
                <w:szCs w:val="19"/>
              </w:rPr>
              <w:t xml:space="preserve">sitemap.xml</w:t>
            </w:r>
          </w:p>
        </w:tc>
        <w:tc>
          <w:tcPr>
            <w:tcW w:type="dxa" w:w="1700"/>
            <w:tcMar>
              <w:top w:type="dxa" w:w="80"/>
              <w:left w:type="dxa" w:w="100"/>
              <w:bottom w:type="dxa" w:w="80"/>
              <w:right w:type="dxa" w:w="100"/>
            </w:tcMar>
          </w:tcPr>
          <w:p>
            <w:r>
              <w:rPr>
                <w:color w:val="1a1a1a"/>
                <w:sz w:val="19"/>
                <w:szCs w:val="19"/>
              </w:rPr>
              <w:t xml:space="preserve">MISSING</w:t>
            </w:r>
          </w:p>
        </w:tc>
        <w:tc>
          <w:tcPr>
            <w:tcW w:type="dxa" w:w="2400"/>
            <w:tcMar>
              <w:top w:type="dxa" w:w="80"/>
              <w:left w:type="dxa" w:w="100"/>
              <w:bottom w:type="dxa" w:w="80"/>
              <w:right w:type="dxa" w:w="100"/>
            </w:tcMar>
          </w:tcPr>
          <w:p>
            <w:r>
              <w:rPr>
                <w:b/>
                <w:bCs/>
                <w:color w:val="3D6B00"/>
                <w:sz w:val="19"/>
                <w:szCs w:val="19"/>
              </w:rPr>
              <w:t xml:space="preserve">OK</w:t>
            </w:r>
          </w:p>
        </w:tc>
        <w:tc>
          <w:tcPr>
            <w:tcW w:type="dxa" w:w="3400"/>
            <w:tcMar>
              <w:top w:type="dxa" w:w="80"/>
              <w:left w:type="dxa" w:w="100"/>
              <w:bottom w:type="dxa" w:w="80"/>
              <w:right w:type="dxa" w:w="100"/>
            </w:tcMar>
          </w:tcPr>
          <w:p>
            <w:r>
              <w:rPr>
                <w:color w:val="1a1a1a"/>
                <w:sz w:val="19"/>
                <w:szCs w:val="19"/>
              </w:rPr>
              <w:t xml:space="preserve">45 URLs indexed.</w:t>
            </w:r>
          </w:p>
        </w:tc>
      </w:tr>
      <w:tr>
        <w:tc>
          <w:tcPr>
            <w:tcW w:type="dxa" w:w="2400"/>
            <w:tcMar>
              <w:top w:type="dxa" w:w="80"/>
              <w:left w:type="dxa" w:w="100"/>
              <w:bottom w:type="dxa" w:w="80"/>
              <w:right w:type="dxa" w:w="100"/>
            </w:tcMar>
          </w:tcPr>
          <w:p>
            <w:r>
              <w:rPr>
                <w:color w:val="1a1a1a"/>
                <w:sz w:val="19"/>
                <w:szCs w:val="19"/>
              </w:rPr>
              <w:t xml:space="preserve">robots.txt</w:t>
            </w:r>
          </w:p>
        </w:tc>
        <w:tc>
          <w:tcPr>
            <w:tcW w:type="dxa" w:w="1700"/>
            <w:tcMar>
              <w:top w:type="dxa" w:w="80"/>
              <w:left w:type="dxa" w:w="100"/>
              <w:bottom w:type="dxa" w:w="80"/>
              <w:right w:type="dxa" w:w="100"/>
            </w:tcMar>
          </w:tcPr>
          <w:p>
            <w:r>
              <w:rPr>
                <w:color w:val="1a1a1a"/>
                <w:sz w:val="19"/>
                <w:szCs w:val="19"/>
              </w:rPr>
              <w:t xml:space="preserve">MISSING</w:t>
            </w:r>
          </w:p>
        </w:tc>
        <w:tc>
          <w:tcPr>
            <w:tcW w:type="dxa" w:w="2400"/>
            <w:tcMar>
              <w:top w:type="dxa" w:w="80"/>
              <w:left w:type="dxa" w:w="100"/>
              <w:bottom w:type="dxa" w:w="80"/>
              <w:right w:type="dxa" w:w="100"/>
            </w:tcMar>
          </w:tcPr>
          <w:p>
            <w:r>
              <w:rPr>
                <w:b/>
                <w:bCs/>
                <w:color w:val="3D6B00"/>
                <w:sz w:val="19"/>
                <w:szCs w:val="19"/>
              </w:rPr>
              <w:t xml:space="preserve">OK</w:t>
            </w:r>
          </w:p>
        </w:tc>
        <w:tc>
          <w:tcPr>
            <w:tcW w:type="dxa" w:w="3400"/>
            <w:tcMar>
              <w:top w:type="dxa" w:w="80"/>
              <w:left w:type="dxa" w:w="100"/>
              <w:bottom w:type="dxa" w:w="80"/>
              <w:right w:type="dxa" w:w="100"/>
            </w:tcMar>
          </w:tcPr>
          <w:p>
            <w:r>
              <w:rPr>
                <w:color w:val="1a1a1a"/>
                <w:sz w:val="19"/>
                <w:szCs w:val="19"/>
              </w:rPr>
              <w:t xml:space="preserve">Present, references the sitemap.</w:t>
            </w:r>
          </w:p>
        </w:tc>
      </w:tr>
      <w:tr>
        <w:tc>
          <w:tcPr>
            <w:tcW w:type="dxa" w:w="2400"/>
            <w:tcMar>
              <w:top w:type="dxa" w:w="80"/>
              <w:left w:type="dxa" w:w="100"/>
              <w:bottom w:type="dxa" w:w="80"/>
              <w:right w:type="dxa" w:w="100"/>
            </w:tcMar>
          </w:tcPr>
          <w:p>
            <w:r>
              <w:rPr>
                <w:color w:val="1a1a1a"/>
                <w:sz w:val="19"/>
                <w:szCs w:val="19"/>
              </w:rPr>
              <w:t xml:space="preserve">Hreflang (es-ES, es-CL, es-PE)</w:t>
            </w:r>
          </w:p>
        </w:tc>
        <w:tc>
          <w:tcPr>
            <w:tcW w:type="dxa" w:w="1700"/>
            <w:tcMar>
              <w:top w:type="dxa" w:w="80"/>
              <w:left w:type="dxa" w:w="100"/>
              <w:bottom w:type="dxa" w:w="80"/>
              <w:right w:type="dxa" w:w="100"/>
            </w:tcMar>
          </w:tcPr>
          <w:p>
            <w:r>
              <w:rPr>
                <w:color w:val="1a1a1a"/>
                <w:sz w:val="19"/>
                <w:szCs w:val="19"/>
              </w:rPr>
              <w:t xml:space="preserve">MISSING</w:t>
            </w:r>
          </w:p>
        </w:tc>
        <w:tc>
          <w:tcPr>
            <w:tcW w:type="dxa" w:w="2400"/>
            <w:tcMar>
              <w:top w:type="dxa" w:w="80"/>
              <w:left w:type="dxa" w:w="100"/>
              <w:bottom w:type="dxa" w:w="80"/>
              <w:right w:type="dxa" w:w="100"/>
            </w:tcMar>
          </w:tcPr>
          <w:p>
            <w:r>
              <w:rPr>
                <w:b/>
                <w:bCs/>
                <w:color w:val="00BFB2"/>
                <w:sz w:val="19"/>
                <w:szCs w:val="19"/>
              </w:rPr>
              <w:t xml:space="preserve">BROKEN → FIXED TODAY</w:t>
            </w:r>
          </w:p>
        </w:tc>
        <w:tc>
          <w:tcPr>
            <w:tcW w:type="dxa" w:w="3400"/>
            <w:tcMar>
              <w:top w:type="dxa" w:w="80"/>
              <w:left w:type="dxa" w:w="100"/>
              <w:bottom w:type="dxa" w:w="80"/>
              <w:right w:type="dxa" w:w="100"/>
            </w:tcMar>
          </w:tcPr>
          <w:p>
            <w:r>
              <w:rPr>
                <w:color w:val="1a1a1a"/>
                <w:sz w:val="19"/>
                <w:szCs w:val="19"/>
              </w:rPr>
              <w:t xml:space="preserve">All 4 variants pointed to the same URL. Simplified to "es" + x-default.</w:t>
            </w:r>
          </w:p>
        </w:tc>
      </w:tr>
      <w:tr>
        <w:tc>
          <w:tcPr>
            <w:tcW w:type="dxa" w:w="2400"/>
            <w:tcMar>
              <w:top w:type="dxa" w:w="80"/>
              <w:left w:type="dxa" w:w="100"/>
              <w:bottom w:type="dxa" w:w="80"/>
              <w:right w:type="dxa" w:w="100"/>
            </w:tcMar>
          </w:tcPr>
          <w:p>
            <w:r>
              <w:rPr>
                <w:color w:val="1a1a1a"/>
                <w:sz w:val="19"/>
                <w:szCs w:val="19"/>
              </w:rPr>
              <w:t xml:space="preserve">HTML lang= attribute</w:t>
            </w:r>
          </w:p>
        </w:tc>
        <w:tc>
          <w:tcPr>
            <w:tcW w:type="dxa" w:w="1700"/>
            <w:tcMar>
              <w:top w:type="dxa" w:w="80"/>
              <w:left w:type="dxa" w:w="100"/>
              <w:bottom w:type="dxa" w:w="80"/>
              <w:right w:type="dxa" w:w="100"/>
            </w:tcMar>
          </w:tcPr>
          <w:p>
            <w:r>
              <w:rPr>
                <w:color w:val="1a1a1a"/>
                <w:sz w:val="19"/>
                <w:szCs w:val="19"/>
              </w:rPr>
              <w:t xml:space="preserve">(not evaluated)</w:t>
            </w:r>
          </w:p>
        </w:tc>
        <w:tc>
          <w:tcPr>
            <w:tcW w:type="dxa" w:w="2400"/>
            <w:tcMar>
              <w:top w:type="dxa" w:w="80"/>
              <w:left w:type="dxa" w:w="100"/>
              <w:bottom w:type="dxa" w:w="80"/>
              <w:right w:type="dxa" w:w="100"/>
            </w:tcMar>
          </w:tcPr>
          <w:p>
            <w:r>
              <w:rPr>
                <w:b/>
                <w:bCs/>
                <w:color w:val="00BFB2"/>
                <w:sz w:val="19"/>
                <w:szCs w:val="19"/>
              </w:rPr>
              <w:t xml:space="preserve">FIXED TODAY</w:t>
            </w:r>
          </w:p>
        </w:tc>
        <w:tc>
          <w:tcPr>
            <w:tcW w:type="dxa" w:w="3400"/>
            <w:tcMar>
              <w:top w:type="dxa" w:w="80"/>
              <w:left w:type="dxa" w:w="100"/>
              <w:bottom w:type="dxa" w:w="80"/>
              <w:right w:type="dxa" w:w="100"/>
            </w:tcMar>
          </w:tcPr>
          <w:p>
            <w:r>
              <w:rPr>
                <w:color w:val="1a1a1a"/>
                <w:sz w:val="19"/>
                <w:szCs w:val="19"/>
              </w:rPr>
              <w:t xml:space="preserve">37 pages declared es-CL for all audiences. Changed to es (neutral).</w:t>
            </w:r>
          </w:p>
        </w:tc>
      </w:tr>
      <w:tr>
        <w:tc>
          <w:tcPr>
            <w:tcW w:type="dxa" w:w="2400"/>
            <w:tcMar>
              <w:top w:type="dxa" w:w="80"/>
              <w:left w:type="dxa" w:w="100"/>
              <w:bottom w:type="dxa" w:w="80"/>
              <w:right w:type="dxa" w:w="100"/>
            </w:tcMar>
          </w:tcPr>
          <w:p>
            <w:r>
              <w:rPr>
                <w:color w:val="1a1a1a"/>
                <w:sz w:val="19"/>
                <w:szCs w:val="19"/>
              </w:rPr>
              <w:t xml:space="preserve">Schema.org FAQPage</w:t>
            </w:r>
          </w:p>
        </w:tc>
        <w:tc>
          <w:tcPr>
            <w:tcW w:type="dxa" w:w="1700"/>
            <w:tcMar>
              <w:top w:type="dxa" w:w="80"/>
              <w:left w:type="dxa" w:w="100"/>
              <w:bottom w:type="dxa" w:w="80"/>
              <w:right w:type="dxa" w:w="100"/>
            </w:tcMar>
          </w:tcPr>
          <w:p>
            <w:r>
              <w:rPr>
                <w:color w:val="1a1a1a"/>
                <w:sz w:val="19"/>
                <w:szCs w:val="19"/>
              </w:rPr>
              <w:t xml:space="preserve">MISSING</w:t>
            </w:r>
          </w:p>
        </w:tc>
        <w:tc>
          <w:tcPr>
            <w:tcW w:type="dxa" w:w="2400"/>
            <w:tcMar>
              <w:top w:type="dxa" w:w="80"/>
              <w:left w:type="dxa" w:w="100"/>
              <w:bottom w:type="dxa" w:w="80"/>
              <w:right w:type="dxa" w:w="100"/>
            </w:tcMar>
          </w:tcPr>
          <w:p>
            <w:r>
              <w:rPr>
                <w:b/>
                <w:bCs/>
                <w:color w:val="00BFB2"/>
                <w:sz w:val="19"/>
                <w:szCs w:val="19"/>
              </w:rPr>
              <w:t xml:space="preserve">5/39 → 39/39 TODAY</w:t>
            </w:r>
          </w:p>
        </w:tc>
        <w:tc>
          <w:tcPr>
            <w:tcW w:type="dxa" w:w="3400"/>
            <w:tcMar>
              <w:top w:type="dxa" w:w="80"/>
              <w:left w:type="dxa" w:w="100"/>
              <w:bottom w:type="dxa" w:w="80"/>
              <w:right w:type="dxa" w:w="100"/>
            </w:tcMar>
          </w:tcPr>
          <w:p>
            <w:r>
              <w:rPr>
                <w:color w:val="1a1a1a"/>
                <w:sz w:val="19"/>
                <w:szCs w:val="19"/>
              </w:rPr>
              <w:t xml:space="preserve">Regenerated from faq.html's real visible content.</w:t>
            </w:r>
          </w:p>
        </w:tc>
      </w:tr>
      <w:tr>
        <w:tc>
          <w:tcPr>
            <w:tcW w:type="dxa" w:w="2400"/>
            <w:tcMar>
              <w:top w:type="dxa" w:w="80"/>
              <w:left w:type="dxa" w:w="100"/>
              <w:bottom w:type="dxa" w:w="80"/>
              <w:right w:type="dxa" w:w="100"/>
            </w:tcMar>
          </w:tcPr>
          <w:p>
            <w:r>
              <w:rPr>
                <w:color w:val="1a1a1a"/>
                <w:sz w:val="19"/>
                <w:szCs w:val="19"/>
              </w:rPr>
              <w:t xml:space="preserve">Internal documents protected</w:t>
            </w:r>
          </w:p>
        </w:tc>
        <w:tc>
          <w:tcPr>
            <w:tcW w:type="dxa" w:w="1700"/>
            <w:tcMar>
              <w:top w:type="dxa" w:w="80"/>
              <w:left w:type="dxa" w:w="100"/>
              <w:bottom w:type="dxa" w:w="80"/>
              <w:right w:type="dxa" w:w="100"/>
            </w:tcMar>
          </w:tcPr>
          <w:p>
            <w:r>
              <w:rPr>
                <w:color w:val="1a1a1a"/>
                <w:sz w:val="19"/>
                <w:szCs w:val="19"/>
              </w:rPr>
              <w:t xml:space="preserve">(not evaluated)</w:t>
            </w:r>
          </w:p>
        </w:tc>
        <w:tc>
          <w:tcPr>
            <w:tcW w:type="dxa" w:w="2400"/>
            <w:tcMar>
              <w:top w:type="dxa" w:w="80"/>
              <w:left w:type="dxa" w:w="100"/>
              <w:bottom w:type="dxa" w:w="80"/>
              <w:right w:type="dxa" w:w="100"/>
            </w:tcMar>
          </w:tcPr>
          <w:p>
            <w:r>
              <w:rPr>
                <w:b/>
                <w:bCs/>
                <w:color w:val="00BFB2"/>
                <w:sz w:val="19"/>
                <w:szCs w:val="19"/>
              </w:rPr>
              <w:t xml:space="preserve">FIXED TODAY</w:t>
            </w:r>
          </w:p>
        </w:tc>
        <w:tc>
          <w:tcPr>
            <w:tcW w:type="dxa" w:w="3400"/>
            <w:tcMar>
              <w:top w:type="dxa" w:w="80"/>
              <w:left w:type="dxa" w:w="100"/>
              <w:bottom w:type="dxa" w:w="80"/>
              <w:right w:type="dxa" w:w="100"/>
            </w:tcMar>
          </w:tcPr>
          <w:p>
            <w:r>
              <w:rPr>
                <w:color w:val="1a1a1a"/>
                <w:sz w:val="19"/>
                <w:szCs w:val="19"/>
              </w:rPr>
              <w:t xml:space="preserve">PROJECT_LOG.html and the audit itself were public with no protection.</w:t>
            </w:r>
          </w:p>
        </w:tc>
      </w:tr>
      <w:tr>
        <w:tc>
          <w:tcPr>
            <w:tcW w:type="dxa" w:w="2400"/>
            <w:tcMar>
              <w:top w:type="dxa" w:w="80"/>
              <w:left w:type="dxa" w:w="100"/>
              <w:bottom w:type="dxa" w:w="80"/>
              <w:right w:type="dxa" w:w="100"/>
            </w:tcMar>
          </w:tcPr>
          <w:p>
            <w:r>
              <w:rPr>
                <w:color w:val="1a1a1a"/>
                <w:sz w:val="19"/>
                <w:szCs w:val="19"/>
              </w:rPr>
              <w:t xml:space="preserve">Google Search Console verified</w:t>
            </w:r>
          </w:p>
        </w:tc>
        <w:tc>
          <w:tcPr>
            <w:tcW w:type="dxa" w:w="1700"/>
            <w:tcMar>
              <w:top w:type="dxa" w:w="80"/>
              <w:left w:type="dxa" w:w="100"/>
              <w:bottom w:type="dxa" w:w="80"/>
              <w:right w:type="dxa" w:w="100"/>
            </w:tcMar>
          </w:tcPr>
          <w:p>
            <w:r>
              <w:rPr>
                <w:color w:val="1a1a1a"/>
                <w:sz w:val="19"/>
                <w:szCs w:val="19"/>
              </w:rPr>
              <w:t xml:space="preserve">MISSING</w:t>
            </w:r>
          </w:p>
        </w:tc>
        <w:tc>
          <w:tcPr>
            <w:tcW w:type="dxa" w:w="2400"/>
            <w:tcMar>
              <w:top w:type="dxa" w:w="80"/>
              <w:left w:type="dxa" w:w="100"/>
              <w:bottom w:type="dxa" w:w="80"/>
              <w:right w:type="dxa" w:w="100"/>
            </w:tcMar>
          </w:tcPr>
          <w:p>
            <w:r>
              <w:rPr>
                <w:b/>
                <w:bCs/>
                <w:color w:val="E0004D"/>
                <w:sz w:val="19"/>
                <w:szCs w:val="19"/>
              </w:rPr>
              <w:t xml:space="preserve">Still not verified</w:t>
            </w:r>
          </w:p>
        </w:tc>
        <w:tc>
          <w:tcPr>
            <w:tcW w:type="dxa" w:w="3400"/>
            <w:tcMar>
              <w:top w:type="dxa" w:w="80"/>
              <w:left w:type="dxa" w:w="100"/>
              <w:bottom w:type="dxa" w:w="80"/>
              <w:right w:type="dxa" w:w="100"/>
            </w:tcMar>
          </w:tcPr>
          <w:p>
            <w:r>
              <w:rPr>
                <w:color w:val="1a1a1a"/>
                <w:sz w:val="19"/>
                <w:szCs w:val="19"/>
              </w:rPr>
              <w:t xml:space="preserve">No verification tag found. Your action — see Part 5.</w:t>
            </w:r>
          </w:p>
        </w:tc>
      </w:tr>
      <w:tr>
        <w:tc>
          <w:tcPr>
            <w:tcW w:type="dxa" w:w="2400"/>
            <w:tcMar>
              <w:top w:type="dxa" w:w="80"/>
              <w:left w:type="dxa" w:w="100"/>
              <w:bottom w:type="dxa" w:w="80"/>
              <w:right w:type="dxa" w:w="100"/>
            </w:tcMar>
          </w:tcPr>
          <w:p>
            <w:r>
              <w:rPr>
                <w:color w:val="1a1a1a"/>
                <w:sz w:val="19"/>
                <w:szCs w:val="19"/>
              </w:rPr>
              <w:t xml:space="preserve">Bing Webmaster / Yandex</w:t>
            </w:r>
          </w:p>
        </w:tc>
        <w:tc>
          <w:tcPr>
            <w:tcW w:type="dxa" w:w="1700"/>
            <w:tcMar>
              <w:top w:type="dxa" w:w="80"/>
              <w:left w:type="dxa" w:w="100"/>
              <w:bottom w:type="dxa" w:w="80"/>
              <w:right w:type="dxa" w:w="100"/>
            </w:tcMar>
          </w:tcPr>
          <w:p>
            <w:r>
              <w:rPr>
                <w:color w:val="1a1a1a"/>
                <w:sz w:val="19"/>
                <w:szCs w:val="19"/>
              </w:rPr>
              <w:t xml:space="preserve">MISSING</w:t>
            </w:r>
          </w:p>
        </w:tc>
        <w:tc>
          <w:tcPr>
            <w:tcW w:type="dxa" w:w="2400"/>
            <w:tcMar>
              <w:top w:type="dxa" w:w="80"/>
              <w:left w:type="dxa" w:w="100"/>
              <w:bottom w:type="dxa" w:w="80"/>
              <w:right w:type="dxa" w:w="100"/>
            </w:tcMar>
          </w:tcPr>
          <w:p>
            <w:r>
              <w:rPr>
                <w:b/>
                <w:bCs/>
                <w:color w:val="E0004D"/>
                <w:sz w:val="19"/>
                <w:szCs w:val="19"/>
              </w:rPr>
              <w:t xml:space="preserve">Still pending</w:t>
            </w:r>
          </w:p>
        </w:tc>
        <w:tc>
          <w:tcPr>
            <w:tcW w:type="dxa" w:w="3400"/>
            <w:tcMar>
              <w:top w:type="dxa" w:w="80"/>
              <w:left w:type="dxa" w:w="100"/>
              <w:bottom w:type="dxa" w:w="80"/>
              <w:right w:type="dxa" w:w="100"/>
            </w:tcMar>
          </w:tcPr>
          <w:p>
            <w:r>
              <w:rPr>
                <w:color w:val="1a1a1a"/>
                <w:sz w:val="19"/>
                <w:szCs w:val="19"/>
              </w:rPr>
              <w:t xml:space="preserve">Not evaluated as urgent versus GSC, but still open.</w:t>
            </w:r>
          </w:p>
        </w:tc>
      </w:tr>
      <w:tr>
        <w:tc>
          <w:tcPr>
            <w:tcW w:type="dxa" w:w="2400"/>
            <w:tcMar>
              <w:top w:type="dxa" w:w="80"/>
              <w:left w:type="dxa" w:w="100"/>
              <w:bottom w:type="dxa" w:w="80"/>
              <w:right w:type="dxa" w:w="100"/>
            </w:tcMar>
          </w:tcPr>
          <w:p>
            <w:r>
              <w:rPr>
                <w:color w:val="1a1a1a"/>
                <w:sz w:val="19"/>
                <w:szCs w:val="19"/>
              </w:rPr>
              <w:t xml:space="preserve">Descriptive image alt text</w:t>
            </w:r>
          </w:p>
        </w:tc>
        <w:tc>
          <w:tcPr>
            <w:tcW w:type="dxa" w:w="1700"/>
            <w:tcMar>
              <w:top w:type="dxa" w:w="80"/>
              <w:left w:type="dxa" w:w="100"/>
              <w:bottom w:type="dxa" w:w="80"/>
              <w:right w:type="dxa" w:w="100"/>
            </w:tcMar>
          </w:tcPr>
          <w:p>
            <w:r>
              <w:rPr>
                <w:color w:val="1a1a1a"/>
                <w:sz w:val="19"/>
                <w:szCs w:val="19"/>
              </w:rPr>
              <w:t xml:space="preserve">PARTIAL</w:t>
            </w:r>
          </w:p>
        </w:tc>
        <w:tc>
          <w:tcPr>
            <w:tcW w:type="dxa" w:w="2400"/>
            <w:tcMar>
              <w:top w:type="dxa" w:w="80"/>
              <w:left w:type="dxa" w:w="100"/>
              <w:bottom w:type="dxa" w:w="80"/>
              <w:right w:type="dxa" w:w="100"/>
            </w:tcMar>
          </w:tcPr>
          <w:p>
            <w:r>
              <w:rPr>
                <w:color w:val="1a1a1a"/>
                <w:sz w:val="19"/>
                <w:szCs w:val="19"/>
              </w:rPr>
              <w:t xml:space="preserve">PARTIAL</w:t>
            </w:r>
          </w:p>
        </w:tc>
        <w:tc>
          <w:tcPr>
            <w:tcW w:type="dxa" w:w="3400"/>
            <w:tcMar>
              <w:top w:type="dxa" w:w="80"/>
              <w:left w:type="dxa" w:w="100"/>
              <w:bottom w:type="dxa" w:w="80"/>
              <w:right w:type="dxa" w:w="100"/>
            </w:tcMar>
          </w:tcPr>
          <w:p>
            <w:r>
              <w:rPr>
                <w:color w:val="1a1a1a"/>
                <w:sz w:val="19"/>
                <w:szCs w:val="19"/>
              </w:rPr>
              <w:t xml:space="preserve">Good on the homepage; the remaining ~50 pages weren't audited one by one.</w:t>
            </w:r>
          </w:p>
        </w:tc>
      </w:tr>
      <w:tr>
        <w:tc>
          <w:tcPr>
            <w:tcW w:type="dxa" w:w="2400"/>
            <w:tcMar>
              <w:top w:type="dxa" w:w="80"/>
              <w:left w:type="dxa" w:w="100"/>
              <w:bottom w:type="dxa" w:w="80"/>
              <w:right w:type="dxa" w:w="100"/>
            </w:tcMar>
          </w:tcPr>
          <w:p>
            <w:r>
              <w:rPr>
                <w:color w:val="1a1a1a"/>
                <w:sz w:val="19"/>
                <w:szCs w:val="19"/>
              </w:rPr>
              <w:t xml:space="preserve">Schema.org Service (per service page)</w:t>
            </w:r>
          </w:p>
        </w:tc>
        <w:tc>
          <w:tcPr>
            <w:tcW w:type="dxa" w:w="1700"/>
            <w:tcMar>
              <w:top w:type="dxa" w:w="80"/>
              <w:left w:type="dxa" w:w="100"/>
              <w:bottom w:type="dxa" w:w="80"/>
              <w:right w:type="dxa" w:w="100"/>
            </w:tcMar>
          </w:tcPr>
          <w:p>
            <w:r>
              <w:rPr>
                <w:color w:val="1a1a1a"/>
                <w:sz w:val="19"/>
                <w:szCs w:val="19"/>
              </w:rPr>
              <w:t xml:space="preserve">(not evaluated)</w:t>
            </w:r>
          </w:p>
        </w:tc>
        <w:tc>
          <w:tcPr>
            <w:tcW w:type="dxa" w:w="2400"/>
            <w:tcMar>
              <w:top w:type="dxa" w:w="80"/>
              <w:left w:type="dxa" w:w="100"/>
              <w:bottom w:type="dxa" w:w="80"/>
              <w:right w:type="dxa" w:w="100"/>
            </w:tcMar>
          </w:tcPr>
          <w:p>
            <w:r>
              <w:rPr>
                <w:b/>
                <w:bCs/>
                <w:color w:val="E0004D"/>
                <w:sz w:val="19"/>
                <w:szCs w:val="19"/>
              </w:rPr>
              <w:t xml:space="preserve">Missing</w:t>
            </w:r>
          </w:p>
        </w:tc>
        <w:tc>
          <w:tcPr>
            <w:tcW w:type="dxa" w:w="3400"/>
            <w:tcMar>
              <w:top w:type="dxa" w:w="80"/>
              <w:left w:type="dxa" w:w="100"/>
              <w:bottom w:type="dxa" w:w="80"/>
              <w:right w:type="dxa" w:w="100"/>
            </w:tcMar>
          </w:tcPr>
          <w:p>
            <w:r>
              <w:rPr>
                <w:color w:val="1a1a1a"/>
                <w:sz w:val="19"/>
                <w:szCs w:val="19"/>
              </w:rPr>
              <w:t xml:space="preserve">None of the 10 service pages have Service schema — a concrete opportunity, see Part 5.</w:t>
            </w:r>
          </w:p>
        </w:tc>
      </w:tr>
      <w:tr>
        <w:tc>
          <w:tcPr>
            <w:tcW w:type="dxa" w:w="2400"/>
            <w:tcMar>
              <w:top w:type="dxa" w:w="80"/>
              <w:left w:type="dxa" w:w="100"/>
              <w:bottom w:type="dxa" w:w="80"/>
              <w:right w:type="dxa" w:w="100"/>
            </w:tcMar>
          </w:tcPr>
          <w:p>
            <w:r>
              <w:rPr>
                <w:color w:val="1a1a1a"/>
                <w:sz w:val="19"/>
                <w:szCs w:val="19"/>
              </w:rPr>
              <w:t xml:space="preserve">Headings H1-H6</w:t>
            </w:r>
          </w:p>
        </w:tc>
        <w:tc>
          <w:tcPr>
            <w:tcW w:type="dxa" w:w="1700"/>
            <w:tcMar>
              <w:top w:type="dxa" w:w="80"/>
              <w:left w:type="dxa" w:w="100"/>
              <w:bottom w:type="dxa" w:w="80"/>
              <w:right w:type="dxa" w:w="100"/>
            </w:tcMar>
          </w:tcPr>
          <w:p>
            <w:r>
              <w:rPr>
                <w:color w:val="1a1a1a"/>
                <w:sz w:val="19"/>
                <w:szCs w:val="19"/>
              </w:rPr>
              <w:t xml:space="preserve">OK</w:t>
            </w:r>
          </w:p>
        </w:tc>
        <w:tc>
          <w:tcPr>
            <w:tcW w:type="dxa" w:w="2400"/>
            <w:tcMar>
              <w:top w:type="dxa" w:w="80"/>
              <w:left w:type="dxa" w:w="100"/>
              <w:bottom w:type="dxa" w:w="80"/>
              <w:right w:type="dxa" w:w="100"/>
            </w:tcMar>
          </w:tcPr>
          <w:p>
            <w:r>
              <w:rPr>
                <w:color w:val="1a1a1a"/>
                <w:sz w:val="19"/>
                <w:szCs w:val="19"/>
              </w:rPr>
              <w:t xml:space="preserve">OK</w:t>
            </w:r>
          </w:p>
        </w:tc>
        <w:tc>
          <w:tcPr>
            <w:tcW w:type="dxa" w:w="3400"/>
            <w:tcMar>
              <w:top w:type="dxa" w:w="80"/>
              <w:left w:type="dxa" w:w="100"/>
              <w:bottom w:type="dxa" w:w="80"/>
              <w:right w:type="dxa" w:w="100"/>
            </w:tcMar>
          </w:tcPr>
          <w:p>
            <w:r>
              <w:rPr>
                <w:color w:val="1a1a1a"/>
                <w:sz w:val="19"/>
                <w:szCs w:val="19"/>
              </w:rPr>
              <w:t xml:space="preserve">One unique H1 per page, no skipped levels.</w:t>
            </w:r>
          </w:p>
        </w:tc>
      </w:tr>
    </w:tbl>
    <w:p>
      <w:pPr>
        <w:pStyle w:val="Heading2"/>
        <w:spacing w:after="140" w:before="300"/>
      </w:pPr>
      <w:r>
        <w:t xml:space="preserve">3.1 Security finding: exposed internal documents</w:t>
      </w:r>
    </w:p>
    <w:p>
      <w:pPr>
        <w:pBdr>
          <w:left w:val="single" w:color="E0004D" w:sz="18" w:space="8"/>
        </w:pBdr>
        <w:shd w:fill="FDECEF" w:val="clear"/>
        <w:spacing w:after="200" w:before="80"/>
        <w:ind w:left="100"/>
      </w:pPr>
      <w:r>
        <w:rPr>
          <w:b/>
          <w:bCs/>
          <w:color w:val="E0004D"/>
          <w:sz w:val="20"/>
          <w:szCs w:val="20"/>
        </w:rPr>
        <w:t xml:space="preserve">⚠ </w:t>
      </w:r>
      <w:r>
        <w:rPr>
          <w:color w:val="334155"/>
          <w:sz w:val="20"/>
          <w:szCs w:val="20"/>
        </w:rPr>
        <w:t xml:space="preserve">We found PROJECT_LOG.html and Auditoria_Macrogen_Iberoamerica.html — the strategic audit itself, including competitive analysis, critical conversion findings, and internal KPIs — published at the root of the repository with no protection. Because the site deploys straight to Vercel from Git with no build step, any file in the repo is served exactly as-is at its literal URL (e.g. macrogen-es.com/PROJECT_LOG.html), whether or not it's linked from any menu.</w:t>
      </w:r>
    </w:p>
    <w:p>
      <w:pPr>
        <w:spacing w:after="160" w:line="276"/>
      </w:pPr>
      <w:r>
        <w:rPr>
          <w:sz w:val="22"/>
          <w:szCs w:val="22"/>
        </w:rPr>
        <w:t xml:space="preserve">This isn't just an SEO problem (low-quality content Google could index if something ever links to it) — it's a confidentiality problem: internal competitive analysis, project notes, and campaign drafts were reachable by anyone who guessed or found the URL.</w:t>
      </w:r>
    </w:p>
    <w:p>
      <w:pPr>
        <w:pBdr>
          <w:left w:val="single" w:color="84BD00" w:sz="18" w:space="8"/>
        </w:pBdr>
        <w:shd w:fill="E9F7EF" w:val="clear"/>
        <w:spacing w:after="200" w:before="80"/>
        <w:ind w:left="100"/>
      </w:pPr>
      <w:r>
        <w:rPr>
          <w:b/>
          <w:bCs/>
          <w:color w:val="3D6B00"/>
          <w:sz w:val="20"/>
          <w:szCs w:val="20"/>
        </w:rPr>
        <w:t xml:space="preserve">✓ FIXED TODAY — </w:t>
      </w:r>
      <w:r>
        <w:rPr>
          <w:color w:val="334155"/>
          <w:sz w:val="20"/>
          <w:szCs w:val="20"/>
        </w:rPr>
        <w:t xml:space="preserve">I added .vercelignore (excludes these files plus the outputs/, emails/, and reports_EN/ folders from the deploy) and Disallow rules in robots.txt as a second layer of protection. This takes effect on the next deploy — it isn't retroactive on versions already cached by search engines, so it's worth checking Google for "site:macrogen-es.com PROJECT_LOG" in 1–2 weeks to confirm nothing stayed indexed.</w:t>
      </w:r>
    </w:p>
    <w:p>
      <w:r>
        <w:br w:type="page"/>
      </w:r>
    </w:p>
    <w:p>
      <w:pPr>
        <w:pStyle w:val="Heading1"/>
        <w:pBdr>
          <w:bottom w:val="single" w:color="00BFB2" w:sz="8" w:space="4"/>
        </w:pBdr>
        <w:spacing w:after="200" w:before="400"/>
      </w:pPr>
      <w:r>
        <w:t xml:space="preserve">Part 5 — What's next, prioritized</w:t>
      </w:r>
    </w:p>
    <w:p>
      <w:pPr>
        <w:pStyle w:val="Heading2"/>
        <w:spacing w:after="140" w:before="300"/>
      </w:pPr>
      <w:r>
        <w:t xml:space="preserve">P0 — This week, blocks everything else</w:t>
      </w:r>
    </w:p>
    <w:p>
      <w:pPr>
        <w:pStyle w:val="ListParagraph"/>
        <w:numPr>
          <w:ilvl w:val="0"/>
          <w:numId w:val="1"/>
        </w:numPr>
        <w:spacing w:after="90" w:line="264"/>
      </w:pPr>
      <w:r>
        <w:rPr>
          <w:b/>
          <w:bCs/>
          <w:color w:val="0A1F4F"/>
          <w:sz w:val="22"/>
          <w:szCs w:val="22"/>
        </w:rPr>
        <w:t xml:space="preserve">1. Verify Google Search Console (all properties: domain + www). </w:t>
      </w:r>
      <w:r>
        <w:rPr>
          <w:sz w:val="22"/>
          <w:szCs w:val="22"/>
        </w:rPr>
        <w:t xml:space="preserve">Without this there's no way to see impressions, average position, or what coverage errors Google is seeing. It's free and takes 10 minutes — the highest-impact, lowest-effort step on the whole list.</w:t>
      </w:r>
    </w:p>
    <w:p>
      <w:pPr>
        <w:pStyle w:val="ListParagraph"/>
        <w:numPr>
          <w:ilvl w:val="0"/>
          <w:numId w:val="1"/>
        </w:numPr>
        <w:spacing w:after="90" w:line="264"/>
      </w:pPr>
      <w:r>
        <w:rPr>
          <w:b/>
          <w:bCs/>
          <w:color w:val="0A1F4F"/>
          <w:sz w:val="22"/>
          <w:szCs w:val="22"/>
        </w:rPr>
        <w:t xml:space="preserve">2. Verify Bing Webmaster Tools. </w:t>
      </w:r>
      <w:r>
        <w:rPr>
          <w:sz w:val="22"/>
          <w:szCs w:val="22"/>
        </w:rPr>
        <w:t xml:space="preserve">Bing has ~8% market share in Spain and isn't ignorable — plus ChatGPT and other browsing-enabled AIs use Bing's index, not Google's.</w:t>
      </w:r>
    </w:p>
    <w:p>
      <w:pPr>
        <w:pStyle w:val="ListParagraph"/>
        <w:numPr>
          <w:ilvl w:val="0"/>
          <w:numId w:val="1"/>
        </w:numPr>
        <w:spacing w:after="90" w:line="264"/>
      </w:pPr>
      <w:r>
        <w:rPr>
          <w:b/>
          <w:bCs/>
          <w:color w:val="0A1F4F"/>
          <w:sz w:val="22"/>
          <w:szCs w:val="22"/>
        </w:rPr>
        <w:t xml:space="preserve">3. Manually delete .git/index.lock </w:t>
      </w:r>
      <w:r>
        <w:rPr>
          <w:sz w:val="22"/>
          <w:szCs w:val="22"/>
        </w:rPr>
        <w:t xml:space="preserve">in the Macrogen-es folder before your next commit (see Executive summary).</w:t>
      </w:r>
    </w:p>
    <w:p>
      <w:pPr>
        <w:pStyle w:val="Heading2"/>
        <w:spacing w:after="140" w:before="300"/>
      </w:pPr>
      <w:r>
        <w:t xml:space="preserve">P1 — Next 2–4 weeks</w:t>
      </w:r>
    </w:p>
    <w:p>
      <w:pPr>
        <w:pStyle w:val="ListParagraph"/>
        <w:numPr>
          <w:ilvl w:val="0"/>
          <w:numId w:val="1"/>
        </w:numPr>
        <w:spacing w:after="90" w:line="264"/>
      </w:pPr>
      <w:r>
        <w:rPr>
          <w:b/>
          <w:bCs/>
          <w:color w:val="0A1F4F"/>
          <w:sz w:val="22"/>
          <w:szCs w:val="22"/>
        </w:rPr>
        <w:t xml:space="preserve">Publish the "NGS Spain" landing page </w:t>
      </w:r>
      <w:r>
        <w:rPr>
          <w:sz w:val="22"/>
          <w:szCs w:val="22"/>
        </w:rPr>
        <w:t xml:space="preserve">following the wireframe and checklist already defined in the document you uploaded. It's the unlock for both real hreflang and the Ads campaigns in Part 2.</w:t>
      </w:r>
    </w:p>
    <w:p>
      <w:pPr>
        <w:pStyle w:val="ListParagraph"/>
        <w:numPr>
          <w:ilvl w:val="0"/>
          <w:numId w:val="1"/>
        </w:numPr>
        <w:spacing w:after="90" w:line="264"/>
      </w:pPr>
      <w:r>
        <w:rPr>
          <w:b/>
          <w:bCs/>
          <w:color w:val="0A1F4F"/>
          <w:sz w:val="22"/>
          <w:szCs w:val="22"/>
        </w:rPr>
        <w:t xml:space="preserve">Add Schema.org Service to the 10 service pages </w:t>
      </w:r>
      <w:r>
        <w:rPr>
          <w:sz w:val="22"/>
          <w:szCs w:val="22"/>
        </w:rPr>
        <w:t xml:space="preserve">(servicios/wgs.html, sanger.html, etc.) — each with name, description, provider (linking to the existing Organization @id), and areaServed. It's mechanical and low-risk, but needs to be done page by page carefully to avoid inventing data — can be done in the next session.</w:t>
      </w:r>
    </w:p>
    <w:p>
      <w:pPr>
        <w:pStyle w:val="ListParagraph"/>
        <w:numPr>
          <w:ilvl w:val="0"/>
          <w:numId w:val="1"/>
        </w:numPr>
        <w:spacing w:after="90" w:line="264"/>
      </w:pPr>
      <w:r>
        <w:rPr>
          <w:b/>
          <w:bCs/>
          <w:color w:val="0A1F4F"/>
          <w:sz w:val="22"/>
          <w:szCs w:val="22"/>
        </w:rPr>
        <w:t xml:space="preserve">Google Business Profile for Madrid and Santiago. </w:t>
      </w:r>
      <w:r>
        <w:rPr>
          <w:sz w:val="22"/>
          <w:szCs w:val="22"/>
        </w:rPr>
        <w:t xml:space="preserve">Captures local search intent ("NGS lab near me") and is free.</w:t>
      </w:r>
    </w:p>
    <w:p>
      <w:pPr>
        <w:pStyle w:val="Heading2"/>
        <w:spacing w:after="140" w:before="300"/>
      </w:pPr>
      <w:r>
        <w:t xml:space="preserve">P2 — 60–90 days</w:t>
      </w:r>
    </w:p>
    <w:p>
      <w:pPr>
        <w:pStyle w:val="ListParagraph"/>
        <w:numPr>
          <w:ilvl w:val="0"/>
          <w:numId w:val="1"/>
        </w:numPr>
        <w:spacing w:after="90" w:line="264"/>
      </w:pPr>
      <w:r>
        <w:rPr>
          <w:b/>
          <w:bCs/>
          <w:color w:val="0A1F4F"/>
          <w:sz w:val="22"/>
          <w:szCs w:val="22"/>
        </w:rPr>
        <w:t xml:space="preserve">Content calendar (12 posts, already defined in the May audit). </w:t>
      </w:r>
      <w:r>
        <w:rPr>
          <w:sz w:val="22"/>
          <w:szCs w:val="22"/>
        </w:rPr>
        <w:t xml:space="preserve">Still valid — detailed below in 4.2.</w:t>
      </w:r>
    </w:p>
    <w:p>
      <w:pPr>
        <w:pStyle w:val="ListParagraph"/>
        <w:numPr>
          <w:ilvl w:val="0"/>
          <w:numId w:val="1"/>
        </w:numPr>
        <w:spacing w:after="90" w:line="264"/>
      </w:pPr>
      <w:r>
        <w:rPr>
          <w:b/>
          <w:bCs/>
          <w:color w:val="0A1F4F"/>
          <w:sz w:val="22"/>
          <w:szCs w:val="22"/>
        </w:rPr>
        <w:t xml:space="preserve">Corporate LinkedIn @MacrogenIberoamerica. </w:t>
      </w:r>
      <w:r>
        <w:rPr>
          <w:sz w:val="22"/>
          <w:szCs w:val="22"/>
        </w:rPr>
        <w:t xml:space="preserve">Nonexistent today per the May audit; 2 posts/week. The "NGS Oligo" video we already prepared (August) is a good first piece of native content.</w:t>
      </w:r>
    </w:p>
    <w:p>
      <w:pPr>
        <w:pStyle w:val="ListParagraph"/>
        <w:numPr>
          <w:ilvl w:val="0"/>
          <w:numId w:val="1"/>
        </w:numPr>
        <w:spacing w:after="90" w:line="264"/>
      </w:pPr>
      <w:r>
        <w:rPr>
          <w:b/>
          <w:bCs/>
          <w:color w:val="0A1F4F"/>
          <w:sz w:val="22"/>
          <w:szCs w:val="22"/>
        </w:rPr>
        <w:t xml:space="preserve">Consider cleaning up sitemap.xml </w:t>
      </w:r>
      <w:r>
        <w:rPr>
          <w:sz w:val="22"/>
          <w:szCs w:val="22"/>
        </w:rPr>
        <w:t xml:space="preserve">so it only lists indexable HTML pages, not downloadable PDFs/XLSX or sample interactive reports — not a serious error, but it better concentrates crawl budget on the pages you actually want ranking.</w:t>
      </w:r>
    </w:p>
    <w:p>
      <w:pPr>
        <w:pStyle w:val="Heading2"/>
        <w:spacing w:after="140" w:before="300"/>
      </w:pPr>
      <w:r>
        <w:t xml:space="preserve">4.1 Keyword strategy (valid since the May audit — still not ranking)</w:t>
      </w:r>
    </w:p>
    <w:p>
      <w:pPr>
        <w:spacing w:after="160" w:line="276"/>
      </w:pPr>
      <w:r>
        <w:rPr>
          <w:sz w:val="22"/>
          <w:szCs w:val="22"/>
        </w:rPr>
        <w:t xml:space="preserve">These are the highest commercial-intent keywords identified in May. None ranked at the time; worth checking in Search Console (once verified) whether any have started moving.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400"/>
        <w:gridCol w:w="3200"/>
      </w:tblGrid>
      <w:tr>
        <w:trPr>
          <w:tblHeader/>
        </w:trPr>
        <w:tc>
          <w:tcPr>
            <w:tcW w:type="dxa" w:w="3400"/>
            <w:shd w:fill="0A1F4F" w:val="clear"/>
            <w:tcMar>
              <w:top w:type="dxa" w:w="80"/>
              <w:left w:type="dxa" w:w="100"/>
              <w:bottom w:type="dxa" w:w="80"/>
              <w:right w:type="dxa" w:w="100"/>
            </w:tcMar>
          </w:tcPr>
          <w:p>
            <w:r>
              <w:rPr>
                <w:b/>
                <w:bCs/>
                <w:color w:val="FFFFFF"/>
                <w:sz w:val="19"/>
                <w:szCs w:val="19"/>
              </w:rPr>
              <w:t xml:space="preserve">Keyword</w:t>
            </w:r>
          </w:p>
        </w:tc>
        <w:tc>
          <w:tcPr>
            <w:tcW w:type="dxa" w:w="1400"/>
            <w:shd w:fill="0A1F4F" w:val="clear"/>
            <w:tcMar>
              <w:top w:type="dxa" w:w="80"/>
              <w:left w:type="dxa" w:w="100"/>
              <w:bottom w:type="dxa" w:w="80"/>
              <w:right w:type="dxa" w:w="100"/>
            </w:tcMar>
          </w:tcPr>
          <w:p>
            <w:r>
              <w:rPr>
                <w:b/>
                <w:bCs/>
                <w:color w:val="FFFFFF"/>
                <w:sz w:val="19"/>
                <w:szCs w:val="19"/>
              </w:rPr>
              <w:t xml:space="preserve">Vol/month</w:t>
            </w:r>
          </w:p>
        </w:tc>
        <w:tc>
          <w:tcPr>
            <w:tcW w:type="dxa" w:w="1400"/>
            <w:shd w:fill="0A1F4F" w:val="clear"/>
            <w:tcMar>
              <w:top w:type="dxa" w:w="80"/>
              <w:left w:type="dxa" w:w="100"/>
              <w:bottom w:type="dxa" w:w="80"/>
              <w:right w:type="dxa" w:w="100"/>
            </w:tcMar>
          </w:tcPr>
          <w:p>
            <w:r>
              <w:rPr>
                <w:b/>
                <w:bCs/>
                <w:color w:val="FFFFFF"/>
                <w:sz w:val="19"/>
                <w:szCs w:val="19"/>
              </w:rPr>
              <w:t xml:space="preserve">Difficulty</w:t>
            </w:r>
          </w:p>
        </w:tc>
        <w:tc>
          <w:tcPr>
            <w:tcW w:type="dxa" w:w="3200"/>
            <w:shd w:fill="0A1F4F" w:val="clear"/>
            <w:tcMar>
              <w:top w:type="dxa" w:w="80"/>
              <w:left w:type="dxa" w:w="100"/>
              <w:bottom w:type="dxa" w:w="80"/>
              <w:right w:type="dxa" w:w="100"/>
            </w:tcMar>
          </w:tcPr>
          <w:p>
            <w:r>
              <w:rPr>
                <w:b/>
                <w:bCs/>
                <w:color w:val="FFFFFF"/>
                <w:sz w:val="19"/>
                <w:szCs w:val="19"/>
              </w:rPr>
              <w:t xml:space="preserve">Target page</w:t>
            </w:r>
          </w:p>
        </w:tc>
      </w:tr>
      <w:tr>
        <w:tc>
          <w:tcPr>
            <w:tcW w:type="dxa" w:w="3400"/>
            <w:tcMar>
              <w:top w:type="dxa" w:w="80"/>
              <w:left w:type="dxa" w:w="100"/>
              <w:bottom w:type="dxa" w:w="80"/>
              <w:right w:type="dxa" w:w="100"/>
            </w:tcMar>
          </w:tcPr>
          <w:p>
            <w:r>
              <w:rPr>
                <w:color w:val="1a1a1a"/>
                <w:sz w:val="19"/>
                <w:szCs w:val="19"/>
              </w:rPr>
              <w:t xml:space="preserve">NGS sequencing price</w:t>
            </w:r>
          </w:p>
        </w:tc>
        <w:tc>
          <w:tcPr>
            <w:tcW w:type="dxa" w:w="1400"/>
            <w:tcMar>
              <w:top w:type="dxa" w:w="80"/>
              <w:left w:type="dxa" w:w="100"/>
              <w:bottom w:type="dxa" w:w="80"/>
              <w:right w:type="dxa" w:w="100"/>
            </w:tcMar>
          </w:tcPr>
          <w:p>
            <w:r>
              <w:rPr>
                <w:color w:val="1a1a1a"/>
                <w:sz w:val="19"/>
                <w:szCs w:val="19"/>
              </w:rPr>
              <w:t xml:space="preserve">~720</w:t>
            </w:r>
          </w:p>
        </w:tc>
        <w:tc>
          <w:tcPr>
            <w:tcW w:type="dxa" w:w="1400"/>
            <w:tcMar>
              <w:top w:type="dxa" w:w="80"/>
              <w:left w:type="dxa" w:w="100"/>
              <w:bottom w:type="dxa" w:w="80"/>
              <w:right w:type="dxa" w:w="100"/>
            </w:tcMar>
          </w:tcPr>
          <w:p>
            <w:r>
              <w:rPr>
                <w:color w:val="1a1a1a"/>
                <w:sz w:val="19"/>
                <w:szCs w:val="19"/>
              </w:rPr>
              <w:t xml:space="preserve">Medium</w:t>
            </w:r>
          </w:p>
        </w:tc>
        <w:tc>
          <w:tcPr>
            <w:tcW w:type="dxa" w:w="3200"/>
            <w:tcMar>
              <w:top w:type="dxa" w:w="80"/>
              <w:left w:type="dxa" w:w="100"/>
              <w:bottom w:type="dxa" w:w="80"/>
              <w:right w:type="dxa" w:w="100"/>
            </w:tcMar>
          </w:tcPr>
          <w:p>
            <w:r>
              <w:rPr>
                <w:color w:val="1a1a1a"/>
                <w:sz w:val="19"/>
                <w:szCs w:val="19"/>
              </w:rPr>
              <w:t xml:space="preserve">contacto.html</w:t>
            </w:r>
          </w:p>
        </w:tc>
      </w:tr>
      <w:tr>
        <w:tc>
          <w:tcPr>
            <w:tcW w:type="dxa" w:w="3400"/>
            <w:tcMar>
              <w:top w:type="dxa" w:w="80"/>
              <w:left w:type="dxa" w:w="100"/>
              <w:bottom w:type="dxa" w:w="80"/>
              <w:right w:type="dxa" w:w="100"/>
            </w:tcMar>
          </w:tcPr>
          <w:p>
            <w:r>
              <w:rPr>
                <w:color w:val="1a1a1a"/>
                <w:sz w:val="19"/>
                <w:szCs w:val="19"/>
              </w:rPr>
              <w:t xml:space="preserve">RNA-seq bioinformatics analysis</w:t>
            </w:r>
          </w:p>
        </w:tc>
        <w:tc>
          <w:tcPr>
            <w:tcW w:type="dxa" w:w="1400"/>
            <w:tcMar>
              <w:top w:type="dxa" w:w="80"/>
              <w:left w:type="dxa" w:w="100"/>
              <w:bottom w:type="dxa" w:w="80"/>
              <w:right w:type="dxa" w:w="100"/>
            </w:tcMar>
          </w:tcPr>
          <w:p>
            <w:r>
              <w:rPr>
                <w:color w:val="1a1a1a"/>
                <w:sz w:val="19"/>
                <w:szCs w:val="19"/>
              </w:rPr>
              <w:t xml:space="preserve">~480</w:t>
            </w:r>
          </w:p>
        </w:tc>
        <w:tc>
          <w:tcPr>
            <w:tcW w:type="dxa" w:w="1400"/>
            <w:tcMar>
              <w:top w:type="dxa" w:w="80"/>
              <w:left w:type="dxa" w:w="100"/>
              <w:bottom w:type="dxa" w:w="80"/>
              <w:right w:type="dxa" w:w="100"/>
            </w:tcMar>
          </w:tcPr>
          <w:p>
            <w:r>
              <w:rPr>
                <w:color w:val="1a1a1a"/>
                <w:sz w:val="19"/>
                <w:szCs w:val="19"/>
              </w:rPr>
              <w:t xml:space="preserve">High</w:t>
            </w:r>
          </w:p>
        </w:tc>
        <w:tc>
          <w:tcPr>
            <w:tcW w:type="dxa" w:w="3200"/>
            <w:tcMar>
              <w:top w:type="dxa" w:w="80"/>
              <w:left w:type="dxa" w:w="100"/>
              <w:bottom w:type="dxa" w:w="80"/>
              <w:right w:type="dxa" w:w="100"/>
            </w:tcMar>
          </w:tcPr>
          <w:p>
            <w:r>
              <w:rPr>
                <w:color w:val="1a1a1a"/>
                <w:sz w:val="19"/>
                <w:szCs w:val="19"/>
              </w:rPr>
              <w:t xml:space="preserve">servicios/rna-seq.html</w:t>
            </w:r>
          </w:p>
        </w:tc>
      </w:tr>
      <w:tr>
        <w:tc>
          <w:tcPr>
            <w:tcW w:type="dxa" w:w="3400"/>
            <w:tcMar>
              <w:top w:type="dxa" w:w="80"/>
              <w:left w:type="dxa" w:w="100"/>
              <w:bottom w:type="dxa" w:w="80"/>
              <w:right w:type="dxa" w:w="100"/>
            </w:tcMar>
          </w:tcPr>
          <w:p>
            <w:r>
              <w:rPr>
                <w:color w:val="1a1a1a"/>
                <w:sz w:val="19"/>
                <w:szCs w:val="19"/>
              </w:rPr>
              <w:t xml:space="preserve">16S microbiome lab</w:t>
            </w:r>
          </w:p>
        </w:tc>
        <w:tc>
          <w:tcPr>
            <w:tcW w:type="dxa" w:w="1400"/>
            <w:tcMar>
              <w:top w:type="dxa" w:w="80"/>
              <w:left w:type="dxa" w:w="100"/>
              <w:bottom w:type="dxa" w:w="80"/>
              <w:right w:type="dxa" w:w="100"/>
            </w:tcMar>
          </w:tcPr>
          <w:p>
            <w:r>
              <w:rPr>
                <w:color w:val="1a1a1a"/>
                <w:sz w:val="19"/>
                <w:szCs w:val="19"/>
              </w:rPr>
              <w:t xml:space="preserve">~390</w:t>
            </w:r>
          </w:p>
        </w:tc>
        <w:tc>
          <w:tcPr>
            <w:tcW w:type="dxa" w:w="1400"/>
            <w:tcMar>
              <w:top w:type="dxa" w:w="80"/>
              <w:left w:type="dxa" w:w="100"/>
              <w:bottom w:type="dxa" w:w="80"/>
              <w:right w:type="dxa" w:w="100"/>
            </w:tcMar>
          </w:tcPr>
          <w:p>
            <w:r>
              <w:rPr>
                <w:color w:val="1a1a1a"/>
                <w:sz w:val="19"/>
                <w:szCs w:val="19"/>
              </w:rPr>
              <w:t xml:space="preserve">Medium</w:t>
            </w:r>
          </w:p>
        </w:tc>
        <w:tc>
          <w:tcPr>
            <w:tcW w:type="dxa" w:w="3200"/>
            <w:tcMar>
              <w:top w:type="dxa" w:w="80"/>
              <w:left w:type="dxa" w:w="100"/>
              <w:bottom w:type="dxa" w:w="80"/>
              <w:right w:type="dxa" w:w="100"/>
            </w:tcMar>
          </w:tcPr>
          <w:p>
            <w:r>
              <w:rPr>
                <w:color w:val="1a1a1a"/>
                <w:sz w:val="19"/>
                <w:szCs w:val="19"/>
              </w:rPr>
              <w:t xml:space="preserve">servicios/metagenoma.html</w:t>
            </w:r>
          </w:p>
        </w:tc>
      </w:tr>
      <w:tr>
        <w:tc>
          <w:tcPr>
            <w:tcW w:type="dxa" w:w="3400"/>
            <w:tcMar>
              <w:top w:type="dxa" w:w="80"/>
              <w:left w:type="dxa" w:w="100"/>
              <w:bottom w:type="dxa" w:w="80"/>
              <w:right w:type="dxa" w:w="100"/>
            </w:tcMar>
          </w:tcPr>
          <w:p>
            <w:r>
              <w:rPr>
                <w:color w:val="1a1a1a"/>
                <w:sz w:val="19"/>
                <w:szCs w:val="19"/>
              </w:rPr>
              <w:t xml:space="preserve">single cell sequencing price</w:t>
            </w:r>
          </w:p>
        </w:tc>
        <w:tc>
          <w:tcPr>
            <w:tcW w:type="dxa" w:w="1400"/>
            <w:tcMar>
              <w:top w:type="dxa" w:w="80"/>
              <w:left w:type="dxa" w:w="100"/>
              <w:bottom w:type="dxa" w:w="80"/>
              <w:right w:type="dxa" w:w="100"/>
            </w:tcMar>
          </w:tcPr>
          <w:p>
            <w:r>
              <w:rPr>
                <w:color w:val="1a1a1a"/>
                <w:sz w:val="19"/>
                <w:szCs w:val="19"/>
              </w:rPr>
              <w:t xml:space="preserve">~170</w:t>
            </w:r>
          </w:p>
        </w:tc>
        <w:tc>
          <w:tcPr>
            <w:tcW w:type="dxa" w:w="1400"/>
            <w:tcMar>
              <w:top w:type="dxa" w:w="80"/>
              <w:left w:type="dxa" w:w="100"/>
              <w:bottom w:type="dxa" w:w="80"/>
              <w:right w:type="dxa" w:w="100"/>
            </w:tcMar>
          </w:tcPr>
          <w:p>
            <w:r>
              <w:rPr>
                <w:color w:val="1a1a1a"/>
                <w:sz w:val="19"/>
                <w:szCs w:val="19"/>
              </w:rPr>
              <w:t xml:space="preserve">Medium</w:t>
            </w:r>
          </w:p>
        </w:tc>
        <w:tc>
          <w:tcPr>
            <w:tcW w:type="dxa" w:w="3200"/>
            <w:tcMar>
              <w:top w:type="dxa" w:w="80"/>
              <w:left w:type="dxa" w:w="100"/>
              <w:bottom w:type="dxa" w:w="80"/>
              <w:right w:type="dxa" w:w="100"/>
            </w:tcMar>
          </w:tcPr>
          <w:p>
            <w:r>
              <w:rPr>
                <w:color w:val="1a1a1a"/>
                <w:sz w:val="19"/>
                <w:szCs w:val="19"/>
              </w:rPr>
              <w:t xml:space="preserve">servicios/single-cell.html</w:t>
            </w:r>
          </w:p>
        </w:tc>
      </w:tr>
      <w:tr>
        <w:tc>
          <w:tcPr>
            <w:tcW w:type="dxa" w:w="3400"/>
            <w:tcMar>
              <w:top w:type="dxa" w:w="80"/>
              <w:left w:type="dxa" w:w="100"/>
              <w:bottom w:type="dxa" w:w="80"/>
              <w:right w:type="dxa" w:w="100"/>
            </w:tcMar>
          </w:tcPr>
          <w:p>
            <w:r>
              <w:rPr>
                <w:color w:val="1a1a1a"/>
                <w:sz w:val="19"/>
                <w:szCs w:val="19"/>
              </w:rPr>
              <w:t xml:space="preserve">Sanger sequencing Spain</w:t>
            </w:r>
          </w:p>
        </w:tc>
        <w:tc>
          <w:tcPr>
            <w:tcW w:type="dxa" w:w="1400"/>
            <w:tcMar>
              <w:top w:type="dxa" w:w="80"/>
              <w:left w:type="dxa" w:w="100"/>
              <w:bottom w:type="dxa" w:w="80"/>
              <w:right w:type="dxa" w:w="100"/>
            </w:tcMar>
          </w:tcPr>
          <w:p>
            <w:r>
              <w:rPr>
                <w:color w:val="1a1a1a"/>
                <w:sz w:val="19"/>
                <w:szCs w:val="19"/>
              </w:rPr>
              <w:t xml:space="preserve">~210</w:t>
            </w:r>
          </w:p>
        </w:tc>
        <w:tc>
          <w:tcPr>
            <w:tcW w:type="dxa" w:w="1400"/>
            <w:tcMar>
              <w:top w:type="dxa" w:w="80"/>
              <w:left w:type="dxa" w:w="100"/>
              <w:bottom w:type="dxa" w:w="80"/>
              <w:right w:type="dxa" w:w="100"/>
            </w:tcMar>
          </w:tcPr>
          <w:p>
            <w:r>
              <w:rPr>
                <w:color w:val="1a1a1a"/>
                <w:sz w:val="19"/>
                <w:szCs w:val="19"/>
              </w:rPr>
              <w:t xml:space="preserve">Low</w:t>
            </w:r>
          </w:p>
        </w:tc>
        <w:tc>
          <w:tcPr>
            <w:tcW w:type="dxa" w:w="3200"/>
            <w:tcMar>
              <w:top w:type="dxa" w:w="80"/>
              <w:left w:type="dxa" w:w="100"/>
              <w:bottom w:type="dxa" w:w="80"/>
              <w:right w:type="dxa" w:w="100"/>
            </w:tcMar>
          </w:tcPr>
          <w:p>
            <w:r>
              <w:rPr>
                <w:color w:val="1a1a1a"/>
                <w:sz w:val="19"/>
                <w:szCs w:val="19"/>
              </w:rPr>
              <w:t xml:space="preserve">servicios/sanger.html</w:t>
            </w:r>
          </w:p>
        </w:tc>
      </w:tr>
      <w:tr>
        <w:tc>
          <w:tcPr>
            <w:tcW w:type="dxa" w:w="3400"/>
            <w:tcMar>
              <w:top w:type="dxa" w:w="80"/>
              <w:left w:type="dxa" w:w="100"/>
              <w:bottom w:type="dxa" w:w="80"/>
              <w:right w:type="dxa" w:w="100"/>
            </w:tcMar>
          </w:tcPr>
          <w:p>
            <w:r>
              <w:rPr>
                <w:color w:val="1a1a1a"/>
                <w:sz w:val="19"/>
                <w:szCs w:val="19"/>
              </w:rPr>
              <w:t xml:space="preserve">whole genome sequencing chile</w:t>
            </w:r>
          </w:p>
        </w:tc>
        <w:tc>
          <w:tcPr>
            <w:tcW w:type="dxa" w:w="1400"/>
            <w:tcMar>
              <w:top w:type="dxa" w:w="80"/>
              <w:left w:type="dxa" w:w="100"/>
              <w:bottom w:type="dxa" w:w="80"/>
              <w:right w:type="dxa" w:w="100"/>
            </w:tcMar>
          </w:tcPr>
          <w:p>
            <w:r>
              <w:rPr>
                <w:color w:val="1a1a1a"/>
                <w:sz w:val="19"/>
                <w:szCs w:val="19"/>
              </w:rPr>
              <w:t xml:space="preserve">~110</w:t>
            </w:r>
          </w:p>
        </w:tc>
        <w:tc>
          <w:tcPr>
            <w:tcW w:type="dxa" w:w="1400"/>
            <w:tcMar>
              <w:top w:type="dxa" w:w="80"/>
              <w:left w:type="dxa" w:w="100"/>
              <w:bottom w:type="dxa" w:w="80"/>
              <w:right w:type="dxa" w:w="100"/>
            </w:tcMar>
          </w:tcPr>
          <w:p>
            <w:r>
              <w:rPr>
                <w:color w:val="1a1a1a"/>
                <w:sz w:val="19"/>
                <w:szCs w:val="19"/>
              </w:rPr>
              <w:t xml:space="preserve">Low</w:t>
            </w:r>
          </w:p>
        </w:tc>
        <w:tc>
          <w:tcPr>
            <w:tcW w:type="dxa" w:w="3200"/>
            <w:tcMar>
              <w:top w:type="dxa" w:w="80"/>
              <w:left w:type="dxa" w:w="100"/>
              <w:bottom w:type="dxa" w:w="80"/>
              <w:right w:type="dxa" w:w="100"/>
            </w:tcMar>
          </w:tcPr>
          <w:p>
            <w:r>
              <w:rPr>
                <w:color w:val="1a1a1a"/>
                <w:sz w:val="19"/>
                <w:szCs w:val="19"/>
              </w:rPr>
              <w:t xml:space="preserve">servicios/wgs.html</w:t>
            </w:r>
          </w:p>
        </w:tc>
      </w:tr>
      <w:tr>
        <w:tc>
          <w:tcPr>
            <w:tcW w:type="dxa" w:w="3400"/>
            <w:tcMar>
              <w:top w:type="dxa" w:w="80"/>
              <w:left w:type="dxa" w:w="100"/>
              <w:bottom w:type="dxa" w:w="80"/>
              <w:right w:type="dxa" w:w="100"/>
            </w:tcMar>
          </w:tcPr>
          <w:p>
            <w:r>
              <w:rPr>
                <w:color w:val="1a1a1a"/>
                <w:sz w:val="19"/>
                <w:szCs w:val="19"/>
              </w:rPr>
              <w:t xml:space="preserve">oligonucleotide synthesis chile</w:t>
            </w:r>
          </w:p>
        </w:tc>
        <w:tc>
          <w:tcPr>
            <w:tcW w:type="dxa" w:w="1400"/>
            <w:tcMar>
              <w:top w:type="dxa" w:w="80"/>
              <w:left w:type="dxa" w:w="100"/>
              <w:bottom w:type="dxa" w:w="80"/>
              <w:right w:type="dxa" w:w="100"/>
            </w:tcMar>
          </w:tcPr>
          <w:p>
            <w:r>
              <w:rPr>
                <w:color w:val="1a1a1a"/>
                <w:sz w:val="19"/>
                <w:szCs w:val="19"/>
              </w:rPr>
              <w:t xml:space="preserve">~90</w:t>
            </w:r>
          </w:p>
        </w:tc>
        <w:tc>
          <w:tcPr>
            <w:tcW w:type="dxa" w:w="1400"/>
            <w:tcMar>
              <w:top w:type="dxa" w:w="80"/>
              <w:left w:type="dxa" w:w="100"/>
              <w:bottom w:type="dxa" w:w="80"/>
              <w:right w:type="dxa" w:w="100"/>
            </w:tcMar>
          </w:tcPr>
          <w:p>
            <w:r>
              <w:rPr>
                <w:color w:val="1a1a1a"/>
                <w:sz w:val="19"/>
                <w:szCs w:val="19"/>
              </w:rPr>
              <w:t xml:space="preserve">Low</w:t>
            </w:r>
          </w:p>
        </w:tc>
        <w:tc>
          <w:tcPr>
            <w:tcW w:type="dxa" w:w="3200"/>
            <w:tcMar>
              <w:top w:type="dxa" w:w="80"/>
              <w:left w:type="dxa" w:w="100"/>
              <w:bottom w:type="dxa" w:w="80"/>
              <w:right w:type="dxa" w:w="100"/>
            </w:tcMar>
          </w:tcPr>
          <w:p>
            <w:r>
              <w:rPr>
                <w:color w:val="1a1a1a"/>
                <w:sz w:val="19"/>
                <w:szCs w:val="19"/>
              </w:rPr>
              <w:t xml:space="preserve">servicios/oligo.html</w:t>
            </w:r>
          </w:p>
        </w:tc>
      </w:tr>
    </w:tbl>
    <w:p>
      <w:pPr>
        <w:pStyle w:val="Heading2"/>
        <w:spacing w:after="140" w:before="300"/>
      </w:pPr>
      <w:r>
        <w:t xml:space="preserve">4.2 90-day editorial calendar (still valid, from the May audit)</w:t>
      </w:r>
    </w:p>
    <w:p>
      <w:pPr>
        <w:spacing w:after="160" w:line="276"/>
      </w:pPr>
      <w:r>
        <w:rPr>
          <w:sz w:val="22"/>
          <w:szCs w:val="22"/>
        </w:rPr>
        <w:t xml:space="preserve">Every post should be ≥1,500 words, include at least 1 figure/diagram, and close with a CTA + relevant lead magnet:</w:t>
      </w:r>
    </w:p>
    <w:p>
      <w:pPr>
        <w:pStyle w:val="ListParagraph"/>
        <w:numPr>
          <w:ilvl w:val="0"/>
          <w:numId w:val="1"/>
        </w:numPr>
        <w:spacing w:after="90" w:line="264"/>
      </w:pPr>
      <w:r>
        <w:rPr>
          <w:sz w:val="22"/>
          <w:szCs w:val="22"/>
        </w:rPr>
        <w:t xml:space="preserve">Complete guide to WGS 30x vs 60x vs 120x: which to choose based on your research question</w:t>
      </w:r>
    </w:p>
    <w:p>
      <w:pPr>
        <w:pStyle w:val="ListParagraph"/>
        <w:numPr>
          <w:ilvl w:val="0"/>
          <w:numId w:val="1"/>
        </w:numPr>
        <w:spacing w:after="90" w:line="264"/>
      </w:pPr>
      <w:r>
        <w:rPr>
          <w:sz w:val="22"/>
          <w:szCs w:val="22"/>
        </w:rPr>
        <w:t xml:space="preserve">RNA-Seq from scratch: the GATK + DESeq2 pipeline explained step by step</w:t>
      </w:r>
    </w:p>
    <w:p>
      <w:pPr>
        <w:pStyle w:val="ListParagraph"/>
        <w:numPr>
          <w:ilvl w:val="0"/>
          <w:numId w:val="1"/>
        </w:numPr>
        <w:spacing w:after="90" w:line="264"/>
      </w:pPr>
      <w:r>
        <w:rPr>
          <w:sz w:val="22"/>
          <w:szCs w:val="22"/>
        </w:rPr>
        <w:t xml:space="preserve">5 mistakes that get a manuscript rejected for poor sequencing quality</w:t>
      </w:r>
    </w:p>
    <w:p>
      <w:pPr>
        <w:pStyle w:val="ListParagraph"/>
        <w:numPr>
          <w:ilvl w:val="0"/>
          <w:numId w:val="1"/>
        </w:numPr>
        <w:spacing w:after="90" w:line="264"/>
      </w:pPr>
      <w:r>
        <w:rPr>
          <w:sz w:val="22"/>
          <w:szCs w:val="22"/>
        </w:rPr>
        <w:t xml:space="preserve">Chilean salmon microbiome: an optimized 16S metagenomics protocol</w:t>
      </w:r>
    </w:p>
    <w:p>
      <w:pPr>
        <w:pStyle w:val="ListParagraph"/>
        <w:numPr>
          <w:ilvl w:val="0"/>
          <w:numId w:val="1"/>
        </w:numPr>
        <w:spacing w:after="90" w:line="264"/>
      </w:pPr>
      <w:r>
        <w:rPr>
          <w:sz w:val="22"/>
          <w:szCs w:val="22"/>
        </w:rPr>
        <w:t xml:space="preserve">Single cell vs. bulk RNA-Seq: when the extra cost is justified</w:t>
      </w:r>
    </w:p>
    <w:p>
      <w:pPr>
        <w:pStyle w:val="ListParagraph"/>
        <w:numPr>
          <w:ilvl w:val="0"/>
          <w:numId w:val="1"/>
        </w:numPr>
        <w:spacing w:after="90" w:line="264"/>
      </w:pPr>
      <w:r>
        <w:rPr>
          <w:sz w:val="22"/>
          <w:szCs w:val="22"/>
        </w:rPr>
        <w:t xml:space="preserve">How to ship RNA samples from Chile to Madrid without losing quality</w:t>
      </w:r>
    </w:p>
    <w:p>
      <w:pPr>
        <w:pStyle w:val="ListParagraph"/>
        <w:numPr>
          <w:ilvl w:val="0"/>
          <w:numId w:val="1"/>
        </w:numPr>
        <w:spacing w:after="90" w:line="264"/>
      </w:pPr>
      <w:r>
        <w:rPr>
          <w:sz w:val="22"/>
          <w:szCs w:val="22"/>
        </w:rPr>
        <w:t xml:space="preserve">NovaSeq X Plus vs. DNBSEQ T20 compared: why we chose Illumina</w:t>
      </w:r>
    </w:p>
    <w:p>
      <w:pPr>
        <w:pStyle w:val="ListParagraph"/>
        <w:numPr>
          <w:ilvl w:val="0"/>
          <w:numId w:val="1"/>
        </w:numPr>
        <w:spacing w:after="90" w:line="264"/>
      </w:pPr>
      <w:r>
        <w:rPr>
          <w:sz w:val="22"/>
          <w:szCs w:val="22"/>
        </w:rPr>
        <w:t xml:space="preserve">Population analysis with WGS: the BASE-LATAM case study and lessons learned</w:t>
      </w:r>
    </w:p>
    <w:p>
      <w:pPr>
        <w:pStyle w:val="ListParagraph"/>
        <w:numPr>
          <w:ilvl w:val="0"/>
          <w:numId w:val="1"/>
        </w:numPr>
        <w:spacing w:after="90" w:line="264"/>
      </w:pPr>
      <w:r>
        <w:rPr>
          <w:sz w:val="22"/>
          <w:szCs w:val="22"/>
        </w:rPr>
        <w:t xml:space="preserve">NGS glossary in Spanish: 30 terms every researcher should know</w:t>
      </w:r>
    </w:p>
    <w:p>
      <w:pPr>
        <w:pStyle w:val="ListParagraph"/>
        <w:numPr>
          <w:ilvl w:val="0"/>
          <w:numId w:val="1"/>
        </w:numPr>
        <w:spacing w:after="90" w:line="264"/>
      </w:pPr>
      <w:r>
        <w:rPr>
          <w:sz w:val="22"/>
          <w:szCs w:val="22"/>
        </w:rPr>
        <w:t xml:space="preserve">PacBio HiFi vs. ONT: long reads for complex genomes in Ibero-America</w:t>
      </w:r>
    </w:p>
    <w:p>
      <w:pPr>
        <w:pStyle w:val="ListParagraph"/>
        <w:numPr>
          <w:ilvl w:val="0"/>
          <w:numId w:val="1"/>
        </w:numPr>
        <w:spacing w:after="90" w:line="264"/>
      </w:pPr>
      <w:r>
        <w:rPr>
          <w:sz w:val="22"/>
          <w:szCs w:val="22"/>
        </w:rPr>
        <w:t xml:space="preserve">Total cost of a WES exome sequencing project: a realistic 2026 budget</w:t>
      </w:r>
    </w:p>
    <w:p>
      <w:pPr>
        <w:pStyle w:val="ListParagraph"/>
        <w:numPr>
          <w:ilvl w:val="0"/>
          <w:numId w:val="1"/>
        </w:numPr>
        <w:spacing w:after="90" w:line="264"/>
      </w:pPr>
      <w:r>
        <w:rPr>
          <w:sz w:val="22"/>
          <w:szCs w:val="22"/>
        </w:rPr>
        <w:t xml:space="preserve">How Macrogen Madrid + Santiago coordinates multi-country cohorts</w:t>
      </w:r>
    </w:p>
    <w:p>
      <w:pPr>
        <w:pBdr>
          <w:left w:val="single" w:color="00BFB2" w:sz="18" w:space="8"/>
        </w:pBdr>
        <w:shd w:fill="EAF6FB" w:val="clear"/>
        <w:spacing w:after="200" w:before="80"/>
        <w:ind w:left="100"/>
      </w:pPr>
      <w:r>
        <w:rPr>
          <w:i/>
          <w:iCs/>
          <w:color w:val="334155"/>
          <w:sz w:val="20"/>
          <w:szCs w:val="20"/>
        </w:rPr>
        <w:t xml:space="preserve">Of these 12, blog/wgs-wes-targeted-matriz.html and blog/dna-oligos-guia-tecnica.html are already published — worth checking how many of the 12 topics are already covered before duplicating effort.</w:t>
      </w:r>
    </w:p>
    <w:p>
      <w:pPr>
        <w:pStyle w:val="Heading2"/>
        <w:spacing w:after="140" w:before="300"/>
      </w:pPr>
      <w:r>
        <w:t xml:space="preserve">4.3 Competitive landscape (summary from the May audit, still valid)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2600"/>
      </w:tblGrid>
      <w:tr>
        <w:trPr>
          <w:tblHeader/>
        </w:trPr>
        <w:tc>
          <w:tcPr>
            <w:tcW w:type="dxa" w:w="2200"/>
            <w:shd w:fill="0A1F4F" w:val="clear"/>
            <w:tcMar>
              <w:top w:type="dxa" w:w="80"/>
              <w:left w:type="dxa" w:w="100"/>
              <w:bottom w:type="dxa" w:w="80"/>
              <w:right w:type="dxa" w:w="100"/>
            </w:tcMar>
          </w:tcPr>
          <w:p>
            <w:r>
              <w:rPr>
                <w:b/>
                <w:bCs/>
                <w:color w:val="FFFFFF"/>
                <w:sz w:val="19"/>
                <w:szCs w:val="19"/>
              </w:rPr>
              <w:t xml:space="preserve">Competitor</w:t>
            </w:r>
          </w:p>
        </w:tc>
        <w:tc>
          <w:tcPr>
            <w:tcW w:type="dxa" w:w="2600"/>
            <w:shd w:fill="0A1F4F" w:val="clear"/>
            <w:tcMar>
              <w:top w:type="dxa" w:w="80"/>
              <w:left w:type="dxa" w:w="100"/>
              <w:bottom w:type="dxa" w:w="80"/>
              <w:right w:type="dxa" w:w="100"/>
            </w:tcMar>
          </w:tcPr>
          <w:p>
            <w:r>
              <w:rPr>
                <w:b/>
                <w:bCs/>
                <w:color w:val="FFFFFF"/>
                <w:sz w:val="19"/>
                <w:szCs w:val="19"/>
              </w:rPr>
              <w:t xml:space="preserve">Strength</w:t>
            </w:r>
          </w:p>
        </w:tc>
        <w:tc>
          <w:tcPr>
            <w:tcW w:type="dxa" w:w="2600"/>
            <w:shd w:fill="0A1F4F" w:val="clear"/>
            <w:tcMar>
              <w:top w:type="dxa" w:w="80"/>
              <w:left w:type="dxa" w:w="100"/>
              <w:bottom w:type="dxa" w:w="80"/>
              <w:right w:type="dxa" w:w="100"/>
            </w:tcMar>
          </w:tcPr>
          <w:p>
            <w:r>
              <w:rPr>
                <w:b/>
                <w:bCs/>
                <w:color w:val="FFFFFF"/>
                <w:sz w:val="19"/>
                <w:szCs w:val="19"/>
              </w:rPr>
              <w:t xml:space="preserve">Weakness</w:t>
            </w:r>
          </w:p>
        </w:tc>
        <w:tc>
          <w:tcPr>
            <w:tcW w:type="dxa" w:w="2600"/>
            <w:shd w:fill="0A1F4F" w:val="clear"/>
            <w:tcMar>
              <w:top w:type="dxa" w:w="80"/>
              <w:left w:type="dxa" w:w="100"/>
              <w:bottom w:type="dxa" w:w="80"/>
              <w:right w:type="dxa" w:w="100"/>
            </w:tcMar>
          </w:tcPr>
          <w:p>
            <w:r>
              <w:rPr>
                <w:b/>
                <w:bCs/>
                <w:color w:val="FFFFFF"/>
                <w:sz w:val="19"/>
                <w:szCs w:val="19"/>
              </w:rPr>
              <w:t xml:space="preserve">How to beat them</w:t>
            </w:r>
          </w:p>
        </w:tc>
      </w:tr>
      <w:tr>
        <w:tc>
          <w:tcPr>
            <w:tcW w:type="dxa" w:w="2200"/>
            <w:tcMar>
              <w:top w:type="dxa" w:w="80"/>
              <w:left w:type="dxa" w:w="100"/>
              <w:bottom w:type="dxa" w:w="80"/>
              <w:right w:type="dxa" w:w="100"/>
            </w:tcMar>
          </w:tcPr>
          <w:p>
            <w:r>
              <w:rPr>
                <w:color w:val="1a1a1a"/>
                <w:sz w:val="19"/>
                <w:szCs w:val="19"/>
              </w:rPr>
              <w:t xml:space="preserve">Eurofins Genomics Spain</w:t>
            </w:r>
          </w:p>
        </w:tc>
        <w:tc>
          <w:tcPr>
            <w:tcW w:type="dxa" w:w="2600"/>
            <w:tcMar>
              <w:top w:type="dxa" w:w="80"/>
              <w:left w:type="dxa" w:w="100"/>
              <w:bottom w:type="dxa" w:w="80"/>
              <w:right w:type="dxa" w:w="100"/>
            </w:tcMar>
          </w:tcPr>
          <w:p>
            <w:r>
              <w:rPr>
                <w:color w:val="1a1a1a"/>
                <w:sz w:val="19"/>
                <w:szCs w:val="19"/>
              </w:rPr>
              <w:t xml:space="preserve">Dense technical blog (300+ articles), 10+ years of SEO</w:t>
            </w:r>
          </w:p>
        </w:tc>
        <w:tc>
          <w:tcPr>
            <w:tcW w:type="dxa" w:w="2600"/>
            <w:tcMar>
              <w:top w:type="dxa" w:w="80"/>
              <w:left w:type="dxa" w:w="100"/>
              <w:bottom w:type="dxa" w:w="80"/>
              <w:right w:type="dxa" w:w="100"/>
            </w:tcMar>
          </w:tcPr>
          <w:p>
            <w:r>
              <w:rPr>
                <w:color w:val="1a1a1a"/>
                <w:sz w:val="19"/>
                <w:szCs w:val="19"/>
              </w:rPr>
              <w:t xml:space="preserve">Outdated UX, no regional differentiation, European-hours-only support</w:t>
            </w:r>
          </w:p>
        </w:tc>
        <w:tc>
          <w:tcPr>
            <w:tcW w:type="dxa" w:w="2600"/>
            <w:tcMar>
              <w:top w:type="dxa" w:w="80"/>
              <w:left w:type="dxa" w:w="100"/>
              <w:bottom w:type="dxa" w:w="80"/>
              <w:right w:type="dxa" w:w="100"/>
            </w:tcMar>
          </w:tcPr>
          <w:p>
            <w:r>
              <w:rPr>
                <w:color w:val="1a1a1a"/>
                <w:sz w:val="19"/>
                <w:szCs w:val="19"/>
              </w:rPr>
              <w:t xml:space="preserve">More practical "how to" content, LATAM-hours support, Chilean/Peruvian case studies</w:t>
            </w:r>
          </w:p>
        </w:tc>
      </w:tr>
      <w:tr>
        <w:tc>
          <w:tcPr>
            <w:tcW w:type="dxa" w:w="2200"/>
            <w:tcMar>
              <w:top w:type="dxa" w:w="80"/>
              <w:left w:type="dxa" w:w="100"/>
              <w:bottom w:type="dxa" w:w="80"/>
              <w:right w:type="dxa" w:w="100"/>
            </w:tcMar>
          </w:tcPr>
          <w:p>
            <w:r>
              <w:rPr>
                <w:color w:val="1a1a1a"/>
                <w:sz w:val="19"/>
                <w:szCs w:val="19"/>
              </w:rPr>
              <w:t xml:space="preserve">Novogene Europe</w:t>
            </w:r>
          </w:p>
        </w:tc>
        <w:tc>
          <w:tcPr>
            <w:tcW w:type="dxa" w:w="2600"/>
            <w:tcMar>
              <w:top w:type="dxa" w:w="80"/>
              <w:left w:type="dxa" w:w="100"/>
              <w:bottom w:type="dxa" w:w="80"/>
              <w:right w:type="dxa" w:w="100"/>
            </w:tcMar>
          </w:tcPr>
          <w:p>
            <w:r>
              <w:rPr>
                <w:color w:val="1a1a1a"/>
                <w:sz w:val="19"/>
                <w:szCs w:val="19"/>
              </w:rPr>
              <w:t xml:space="preserve">Public indicative pricing (rare in the industry), strong inbound</w:t>
            </w:r>
          </w:p>
        </w:tc>
        <w:tc>
          <w:tcPr>
            <w:tcW w:type="dxa" w:w="2600"/>
            <w:tcMar>
              <w:top w:type="dxa" w:w="80"/>
              <w:left w:type="dxa" w:w="100"/>
              <w:bottom w:type="dxa" w:w="80"/>
              <w:right w:type="dxa" w:w="100"/>
            </w:tcMar>
          </w:tcPr>
          <w:p>
            <w:r>
              <w:rPr>
                <w:color w:val="1a1a1a"/>
                <w:sz w:val="19"/>
                <w:szCs w:val="19"/>
              </w:rPr>
              <w:t xml:space="preserve">Zero local LATAM presence, everything billed from the UK</w:t>
            </w:r>
          </w:p>
        </w:tc>
        <w:tc>
          <w:tcPr>
            <w:tcW w:type="dxa" w:w="2600"/>
            <w:tcMar>
              <w:top w:type="dxa" w:w="80"/>
              <w:left w:type="dxa" w:w="100"/>
              <w:bottom w:type="dxa" w:w="80"/>
              <w:right w:type="dxa" w:w="100"/>
            </w:tcMar>
          </w:tcPr>
          <w:p>
            <w:r>
              <w:rPr>
                <w:color w:val="1a1a1a"/>
                <w:sz w:val="19"/>
                <w:szCs w:val="19"/>
              </w:rPr>
              <w:t xml:space="preserve">Match indicative pricing + local billing + 24/7 Spanish-language support</w:t>
            </w:r>
          </w:p>
        </w:tc>
      </w:tr>
      <w:tr>
        <w:tc>
          <w:tcPr>
            <w:tcW w:type="dxa" w:w="2200"/>
            <w:tcMar>
              <w:top w:type="dxa" w:w="80"/>
              <w:left w:type="dxa" w:w="100"/>
              <w:bottom w:type="dxa" w:w="80"/>
              <w:right w:type="dxa" w:w="100"/>
            </w:tcMar>
          </w:tcPr>
          <w:p>
            <w:r>
              <w:rPr>
                <w:color w:val="1a1a1a"/>
                <w:sz w:val="19"/>
                <w:szCs w:val="19"/>
              </w:rPr>
              <w:t xml:space="preserve">Psomagen (corporate sister company)</w:t>
            </w:r>
          </w:p>
        </w:tc>
        <w:tc>
          <w:tcPr>
            <w:tcW w:type="dxa" w:w="2600"/>
            <w:tcMar>
              <w:top w:type="dxa" w:w="80"/>
              <w:left w:type="dxa" w:w="100"/>
              <w:bottom w:type="dxa" w:w="80"/>
              <w:right w:type="dxa" w:w="100"/>
            </w:tcMar>
          </w:tcPr>
          <w:p>
            <w:r>
              <w:rPr>
                <w:color w:val="1a1a1a"/>
                <w:sz w:val="19"/>
                <w:szCs w:val="19"/>
              </w:rPr>
              <w:t xml:space="preserve">Premium scientific branding, papers in Cell/Nature</w:t>
            </w:r>
          </w:p>
        </w:tc>
        <w:tc>
          <w:tcPr>
            <w:tcW w:type="dxa" w:w="2600"/>
            <w:tcMar>
              <w:top w:type="dxa" w:w="80"/>
              <w:left w:type="dxa" w:w="100"/>
              <w:bottom w:type="dxa" w:w="80"/>
              <w:right w:type="dxa" w:w="100"/>
            </w:tcMar>
          </w:tcPr>
          <w:p>
            <w:r>
              <w:rPr>
                <w:color w:val="1a1a1a"/>
                <w:sz w:val="19"/>
                <w:szCs w:val="19"/>
              </w:rPr>
              <w:t xml:space="preserve">English only, doesn't serve Spanish speakers</w:t>
            </w:r>
          </w:p>
        </w:tc>
        <w:tc>
          <w:tcPr>
            <w:tcW w:type="dxa" w:w="2600"/>
            <w:tcMar>
              <w:top w:type="dxa" w:w="80"/>
              <w:left w:type="dxa" w:w="100"/>
              <w:bottom w:type="dxa" w:w="80"/>
              <w:right w:type="dxa" w:w="100"/>
            </w:tcMar>
          </w:tcPr>
          <w:p>
            <w:r>
              <w:rPr>
                <w:color w:val="1a1a1a"/>
                <w:sz w:val="19"/>
                <w:szCs w:val="19"/>
              </w:rPr>
              <w:t xml:space="preserve">Link Psomagen papers as part of the "Macrogen network" for credibility without competing</w:t>
            </w:r>
          </w:p>
        </w:tc>
      </w:tr>
    </w:tbl>
    <w:p>
      <w:r>
        <w:br w:type="page"/>
      </w:r>
    </w:p>
    <w:p>
      <w:pPr>
        <w:pStyle w:val="Heading1"/>
        <w:pBdr>
          <w:bottom w:val="single" w:color="00BFB2" w:sz="8" w:space="4"/>
        </w:pBdr>
        <w:spacing w:after="200" w:before="400"/>
      </w:pPr>
      <w:r>
        <w:t xml:space="preserve">Part 6 — 30 / 60 / 90 day execution plan</w:t>
      </w:r>
    </w:p>
    <w:p>
      <w:pPr>
        <w:pStyle w:val="Heading2"/>
        <w:spacing w:after="140" w:before="300"/>
      </w:pPr>
      <w:r>
        <w:t xml:space="preserve">Days 1–30</w:t>
      </w:r>
    </w:p>
    <w:p>
      <w:pPr>
        <w:pStyle w:val="ListParagraph"/>
        <w:numPr>
          <w:ilvl w:val="0"/>
          <w:numId w:val="1"/>
        </w:numPr>
        <w:spacing w:after="90" w:line="264"/>
      </w:pPr>
      <w:r>
        <w:rPr>
          <w:sz w:val="22"/>
          <w:szCs w:val="22"/>
        </w:rPr>
        <w:t xml:space="preserve">Verify Google Search Console + Bing Webmaster Tools (you).</w:t>
      </w:r>
    </w:p>
    <w:p>
      <w:pPr>
        <w:pStyle w:val="ListParagraph"/>
        <w:numPr>
          <w:ilvl w:val="0"/>
          <w:numId w:val="1"/>
        </w:numPr>
        <w:spacing w:after="90" w:line="264"/>
      </w:pPr>
      <w:r>
        <w:rPr>
          <w:sz w:val="22"/>
          <w:szCs w:val="22"/>
        </w:rPr>
        <w:t xml:space="preserve">Delete .git/index.lock before the next commit (you).</w:t>
      </w:r>
    </w:p>
    <w:p>
      <w:pPr>
        <w:pStyle w:val="ListParagraph"/>
        <w:numPr>
          <w:ilvl w:val="0"/>
          <w:numId w:val="1"/>
        </w:numPr>
        <w:spacing w:after="90" w:line="264"/>
      </w:pPr>
      <w:r>
        <w:rPr>
          <w:sz w:val="22"/>
          <w:szCs w:val="22"/>
        </w:rPr>
        <w:t xml:space="preserve">Deploy today's changes: hreflang, lang="es", FAQ schema, .vercelignore/robots.txt (you, via GitHub Desktop).</w:t>
      </w:r>
    </w:p>
    <w:p>
      <w:pPr>
        <w:pStyle w:val="ListParagraph"/>
        <w:numPr>
          <w:ilvl w:val="0"/>
          <w:numId w:val="1"/>
        </w:numPr>
        <w:spacing w:after="90" w:line="264"/>
      </w:pPr>
      <w:r>
        <w:rPr>
          <w:sz w:val="22"/>
          <w:szCs w:val="22"/>
        </w:rPr>
        <w:t xml:space="preserve">Launch the Google Ads Sanger — Spain campaign (learning budget, "Maximize Clicks").</w:t>
      </w:r>
    </w:p>
    <w:p>
      <w:pPr>
        <w:pStyle w:val="ListParagraph"/>
        <w:numPr>
          <w:ilvl w:val="0"/>
          <w:numId w:val="1"/>
        </w:numPr>
        <w:spacing w:after="90" w:line="264"/>
      </w:pPr>
      <w:r>
        <w:rPr>
          <w:sz w:val="22"/>
          <w:szCs w:val="22"/>
        </w:rPr>
        <w:t xml:space="preserve">Publish the "NGS Spain" landing page per the document already specified.</w:t>
      </w:r>
    </w:p>
    <w:p>
      <w:pPr>
        <w:pStyle w:val="Heading2"/>
        <w:spacing w:after="140" w:before="300"/>
      </w:pPr>
      <w:r>
        <w:t xml:space="preserve">Days 31–60</w:t>
      </w:r>
    </w:p>
    <w:p>
      <w:pPr>
        <w:pStyle w:val="ListParagraph"/>
        <w:numPr>
          <w:ilvl w:val="0"/>
          <w:numId w:val="1"/>
        </w:numPr>
        <w:spacing w:after="90" w:line="264"/>
      </w:pPr>
      <w:r>
        <w:rPr>
          <w:sz w:val="22"/>
          <w:szCs w:val="22"/>
        </w:rPr>
        <w:t xml:space="preserve">Launch the NGS/WGS — Spain campaign pointing to the dedicated landing page.</w:t>
      </w:r>
    </w:p>
    <w:p>
      <w:pPr>
        <w:pStyle w:val="ListParagraph"/>
        <w:numPr>
          <w:ilvl w:val="0"/>
          <w:numId w:val="1"/>
        </w:numPr>
        <w:spacing w:after="90" w:line="264"/>
      </w:pPr>
      <w:r>
        <w:rPr>
          <w:sz w:val="22"/>
          <w:szCs w:val="22"/>
        </w:rPr>
        <w:t xml:space="preserve">Migrate Sanger to "Maximize Conversions" once it accumulates ≥15–20 conversions.</w:t>
      </w:r>
    </w:p>
    <w:p>
      <w:pPr>
        <w:pStyle w:val="ListParagraph"/>
        <w:numPr>
          <w:ilvl w:val="0"/>
          <w:numId w:val="1"/>
        </w:numPr>
        <w:spacing w:after="90" w:line="264"/>
      </w:pPr>
      <w:r>
        <w:rPr>
          <w:sz w:val="22"/>
          <w:szCs w:val="22"/>
        </w:rPr>
        <w:t xml:space="preserve">Add Schema.org Service to the 10 service pages.</w:t>
      </w:r>
    </w:p>
    <w:p>
      <w:pPr>
        <w:pStyle w:val="ListParagraph"/>
        <w:numPr>
          <w:ilvl w:val="0"/>
          <w:numId w:val="1"/>
        </w:numPr>
        <w:spacing w:after="90" w:line="264"/>
      </w:pPr>
      <w:r>
        <w:rPr>
          <w:sz w:val="22"/>
          <w:szCs w:val="22"/>
        </w:rPr>
        <w:t xml:space="preserve">Publish the first 3–4 posts from the editorial calendar.</w:t>
      </w:r>
    </w:p>
    <w:p>
      <w:pPr>
        <w:pStyle w:val="ListParagraph"/>
        <w:numPr>
          <w:ilvl w:val="0"/>
          <w:numId w:val="1"/>
        </w:numPr>
        <w:spacing w:after="90" w:line="264"/>
      </w:pPr>
      <w:r>
        <w:rPr>
          <w:sz w:val="22"/>
          <w:szCs w:val="22"/>
        </w:rPr>
        <w:t xml:space="preserve">Create Google Business Profile listings for Madrid + Santiago.</w:t>
      </w:r>
    </w:p>
    <w:p>
      <w:pPr>
        <w:pStyle w:val="Heading2"/>
        <w:spacing w:after="140" w:before="300"/>
      </w:pPr>
      <w:r>
        <w:t xml:space="preserve">Days 61–90</w:t>
      </w:r>
    </w:p>
    <w:p>
      <w:pPr>
        <w:pStyle w:val="ListParagraph"/>
        <w:numPr>
          <w:ilvl w:val="0"/>
          <w:numId w:val="1"/>
        </w:numPr>
        <w:spacing w:after="90" w:line="264"/>
      </w:pPr>
      <w:r>
        <w:rPr>
          <w:sz w:val="22"/>
          <w:szCs w:val="22"/>
        </w:rPr>
        <w:t xml:space="preserve">Expand campaigns to Chile and Peru (with a localized landing page if it already exists; otherwise geo-targeting on the generic landing page as an interim step).</w:t>
      </w:r>
    </w:p>
    <w:p>
      <w:pPr>
        <w:pStyle w:val="ListParagraph"/>
        <w:numPr>
          <w:ilvl w:val="0"/>
          <w:numId w:val="1"/>
        </w:numPr>
        <w:spacing w:after="90" w:line="264"/>
      </w:pPr>
      <w:r>
        <w:rPr>
          <w:sz w:val="22"/>
          <w:szCs w:val="22"/>
        </w:rPr>
        <w:t xml:space="preserve">Turn on Performance Max as a complement to Search.</w:t>
      </w:r>
    </w:p>
    <w:p>
      <w:pPr>
        <w:pStyle w:val="ListParagraph"/>
        <w:numPr>
          <w:ilvl w:val="0"/>
          <w:numId w:val="1"/>
        </w:numPr>
        <w:spacing w:after="90" w:line="264"/>
      </w:pPr>
      <w:r>
        <w:rPr>
          <w:sz w:val="22"/>
          <w:szCs w:val="22"/>
        </w:rPr>
        <w:t xml:space="preserve">Set up offline conversion import from the CRM.</w:t>
      </w:r>
    </w:p>
    <w:p>
      <w:pPr>
        <w:pStyle w:val="ListParagraph"/>
        <w:numPr>
          <w:ilvl w:val="0"/>
          <w:numId w:val="1"/>
        </w:numPr>
        <w:spacing w:after="90" w:line="264"/>
      </w:pPr>
      <w:r>
        <w:rPr>
          <w:sz w:val="22"/>
          <w:szCs w:val="22"/>
        </w:rPr>
        <w:t xml:space="preserve">Launch the corporate LinkedIn presence, 2 posts/week.</w:t>
      </w:r>
    </w:p>
    <w:p>
      <w:pPr>
        <w:pStyle w:val="ListParagraph"/>
        <w:numPr>
          <w:ilvl w:val="0"/>
          <w:numId w:val="1"/>
        </w:numPr>
        <w:spacing w:after="90" w:line="264"/>
      </w:pPr>
      <w:r>
        <w:rPr>
          <w:sz w:val="22"/>
          <w:szCs w:val="22"/>
        </w:rPr>
        <w:t xml:space="preserve">Check Search Console for whether the exposed internal pages (PROJECT_LOG, Audit) still show as indexed — request manual removal if needed.</w:t>
      </w:r>
    </w:p>
    <w:p>
      <w:r>
        <w:br w:type="page"/>
      </w:r>
    </w:p>
    <w:p>
      <w:pPr>
        <w:pStyle w:val="Heading1"/>
        <w:pBdr>
          <w:bottom w:val="single" w:color="00BFB2" w:sz="8" w:space="4"/>
        </w:pBdr>
        <w:spacing w:after="200" w:before="400"/>
      </w:pPr>
      <w:r>
        <w:t xml:space="preserve">KPIs to track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000"/>
      </w:tblGrid>
      <w:tr>
        <w:trPr>
          <w:tblHeader/>
        </w:trPr>
        <w:tc>
          <w:tcPr>
            <w:tcW w:type="dxa" w:w="1800"/>
            <w:shd w:fill="0A1F4F" w:val="clear"/>
            <w:tcMar>
              <w:top w:type="dxa" w:w="80"/>
              <w:left w:type="dxa" w:w="100"/>
              <w:bottom w:type="dxa" w:w="80"/>
              <w:right w:type="dxa" w:w="100"/>
            </w:tcMar>
          </w:tcPr>
          <w:p>
            <w:r>
              <w:rPr>
                <w:b/>
                <w:bCs/>
                <w:color w:val="FFFFFF"/>
                <w:sz w:val="19"/>
                <w:szCs w:val="19"/>
              </w:rPr>
              <w:t xml:space="preserve">Area</w:t>
            </w:r>
          </w:p>
        </w:tc>
        <w:tc>
          <w:tcPr>
            <w:tcW w:type="dxa" w:w="5400"/>
            <w:shd w:fill="0A1F4F" w:val="clear"/>
            <w:tcMar>
              <w:top w:type="dxa" w:w="80"/>
              <w:left w:type="dxa" w:w="100"/>
              <w:bottom w:type="dxa" w:w="80"/>
              <w:right w:type="dxa" w:w="100"/>
            </w:tcMar>
          </w:tcPr>
          <w:p>
            <w:r>
              <w:rPr>
                <w:b/>
                <w:bCs/>
                <w:color w:val="FFFFFF"/>
                <w:sz w:val="19"/>
                <w:szCs w:val="19"/>
              </w:rPr>
              <w:t xml:space="preserve">KPI</w:t>
            </w:r>
          </w:p>
        </w:tc>
        <w:tc>
          <w:tcPr>
            <w:tcW w:type="dxa" w:w="2000"/>
            <w:shd w:fill="0A1F4F" w:val="clear"/>
            <w:tcMar>
              <w:top w:type="dxa" w:w="80"/>
              <w:left w:type="dxa" w:w="100"/>
              <w:bottom w:type="dxa" w:w="80"/>
              <w:right w:type="dxa" w:w="100"/>
            </w:tcMar>
          </w:tcPr>
          <w:p>
            <w:r>
              <w:rPr>
                <w:b/>
                <w:bCs/>
                <w:color w:val="FFFFFF"/>
                <w:sz w:val="19"/>
                <w:szCs w:val="19"/>
              </w:rPr>
              <w:t xml:space="preserve">Frequency</w:t>
            </w:r>
          </w:p>
        </w:tc>
      </w:tr>
      <w:tr>
        <w:tc>
          <w:tcPr>
            <w:tcW w:type="dxa" w:w="1800"/>
            <w:tcMar>
              <w:top w:type="dxa" w:w="80"/>
              <w:left w:type="dxa" w:w="100"/>
              <w:bottom w:type="dxa" w:w="80"/>
              <w:right w:type="dxa" w:w="100"/>
            </w:tcMar>
          </w:tcPr>
          <w:p>
            <w:r>
              <w:rPr>
                <w:color w:val="1a1a1a"/>
                <w:sz w:val="19"/>
                <w:szCs w:val="19"/>
              </w:rPr>
              <w:t xml:space="preserve">SEO</w:t>
            </w:r>
          </w:p>
        </w:tc>
        <w:tc>
          <w:tcPr>
            <w:tcW w:type="dxa" w:w="5400"/>
            <w:tcMar>
              <w:top w:type="dxa" w:w="80"/>
              <w:left w:type="dxa" w:w="100"/>
              <w:bottom w:type="dxa" w:w="80"/>
              <w:right w:type="dxa" w:w="100"/>
            </w:tcMar>
          </w:tcPr>
          <w:p>
            <w:r>
              <w:rPr>
                <w:color w:val="1a1a1a"/>
                <w:sz w:val="19"/>
                <w:szCs w:val="19"/>
              </w:rPr>
              <w:t xml:space="preserve">Impressions and average CTR in Search Console, by target country</w:t>
            </w:r>
          </w:p>
        </w:tc>
        <w:tc>
          <w:tcPr>
            <w:tcW w:type="dxa" w:w="2000"/>
            <w:tcMar>
              <w:top w:type="dxa" w:w="80"/>
              <w:left w:type="dxa" w:w="100"/>
              <w:bottom w:type="dxa" w:w="80"/>
              <w:right w:type="dxa" w:w="100"/>
            </w:tcMar>
          </w:tcPr>
          <w:p>
            <w:r>
              <w:rPr>
                <w:color w:val="1a1a1a"/>
                <w:sz w:val="19"/>
                <w:szCs w:val="19"/>
              </w:rPr>
              <w:t xml:space="preserve">Weekly</w:t>
            </w:r>
          </w:p>
        </w:tc>
      </w:tr>
      <w:tr>
        <w:tc>
          <w:tcPr>
            <w:tcW w:type="dxa" w:w="1800"/>
            <w:tcMar>
              <w:top w:type="dxa" w:w="80"/>
              <w:left w:type="dxa" w:w="100"/>
              <w:bottom w:type="dxa" w:w="80"/>
              <w:right w:type="dxa" w:w="100"/>
            </w:tcMar>
          </w:tcPr>
          <w:p>
            <w:r>
              <w:rPr>
                <w:color w:val="1a1a1a"/>
                <w:sz w:val="19"/>
                <w:szCs w:val="19"/>
              </w:rPr>
              <w:t xml:space="preserve">SEO</w:t>
            </w:r>
          </w:p>
        </w:tc>
        <w:tc>
          <w:tcPr>
            <w:tcW w:type="dxa" w:w="5400"/>
            <w:tcMar>
              <w:top w:type="dxa" w:w="80"/>
              <w:left w:type="dxa" w:w="100"/>
              <w:bottom w:type="dxa" w:w="80"/>
              <w:right w:type="dxa" w:w="100"/>
            </w:tcMar>
          </w:tcPr>
          <w:p>
            <w:r>
              <w:rPr>
                <w:color w:val="1a1a1a"/>
                <w:sz w:val="19"/>
                <w:szCs w:val="19"/>
              </w:rPr>
              <w:t xml:space="preserve">Average position of the 7 priority keywords (table 4.1)</w:t>
            </w:r>
          </w:p>
        </w:tc>
        <w:tc>
          <w:tcPr>
            <w:tcW w:type="dxa" w:w="2000"/>
            <w:tcMar>
              <w:top w:type="dxa" w:w="80"/>
              <w:left w:type="dxa" w:w="100"/>
              <w:bottom w:type="dxa" w:w="80"/>
              <w:right w:type="dxa" w:w="100"/>
            </w:tcMar>
          </w:tcPr>
          <w:p>
            <w:r>
              <w:rPr>
                <w:color w:val="1a1a1a"/>
                <w:sz w:val="19"/>
                <w:szCs w:val="19"/>
              </w:rPr>
              <w:t xml:space="preserve">Biweekly</w:t>
            </w:r>
          </w:p>
        </w:tc>
      </w:tr>
      <w:tr>
        <w:tc>
          <w:tcPr>
            <w:tcW w:type="dxa" w:w="1800"/>
            <w:tcMar>
              <w:top w:type="dxa" w:w="80"/>
              <w:left w:type="dxa" w:w="100"/>
              <w:bottom w:type="dxa" w:w="80"/>
              <w:right w:type="dxa" w:w="100"/>
            </w:tcMar>
          </w:tcPr>
          <w:p>
            <w:r>
              <w:rPr>
                <w:color w:val="1a1a1a"/>
                <w:sz w:val="19"/>
                <w:szCs w:val="19"/>
              </w:rPr>
              <w:t xml:space="preserve">SEO</w:t>
            </w:r>
          </w:p>
        </w:tc>
        <w:tc>
          <w:tcPr>
            <w:tcW w:type="dxa" w:w="5400"/>
            <w:tcMar>
              <w:top w:type="dxa" w:w="80"/>
              <w:left w:type="dxa" w:w="100"/>
              <w:bottom w:type="dxa" w:w="80"/>
              <w:right w:type="dxa" w:w="100"/>
            </w:tcMar>
          </w:tcPr>
          <w:p>
            <w:r>
              <w:rPr>
                <w:color w:val="1a1a1a"/>
                <w:sz w:val="19"/>
                <w:szCs w:val="19"/>
              </w:rPr>
              <w:t xml:space="preserve">Indexed pages vs. pages in the sitemap (coverage)</w:t>
            </w:r>
          </w:p>
        </w:tc>
        <w:tc>
          <w:tcPr>
            <w:tcW w:type="dxa" w:w="2000"/>
            <w:tcMar>
              <w:top w:type="dxa" w:w="80"/>
              <w:left w:type="dxa" w:w="100"/>
              <w:bottom w:type="dxa" w:w="80"/>
              <w:right w:type="dxa" w:w="100"/>
            </w:tcMar>
          </w:tcPr>
          <w:p>
            <w:r>
              <w:rPr>
                <w:color w:val="1a1a1a"/>
                <w:sz w:val="19"/>
                <w:szCs w:val="19"/>
              </w:rPr>
              <w:t xml:space="preserve">Monthly</w:t>
            </w:r>
          </w:p>
        </w:tc>
      </w:tr>
      <w:tr>
        <w:tc>
          <w:tcPr>
            <w:tcW w:type="dxa" w:w="1800"/>
            <w:tcMar>
              <w:top w:type="dxa" w:w="80"/>
              <w:left w:type="dxa" w:w="100"/>
              <w:bottom w:type="dxa" w:w="80"/>
              <w:right w:type="dxa" w:w="100"/>
            </w:tcMar>
          </w:tcPr>
          <w:p>
            <w:r>
              <w:rPr>
                <w:color w:val="1a1a1a"/>
                <w:sz w:val="19"/>
                <w:szCs w:val="19"/>
              </w:rPr>
              <w:t xml:space="preserve">Ads</w:t>
            </w:r>
          </w:p>
        </w:tc>
        <w:tc>
          <w:tcPr>
            <w:tcW w:type="dxa" w:w="5400"/>
            <w:tcMar>
              <w:top w:type="dxa" w:w="80"/>
              <w:left w:type="dxa" w:w="100"/>
              <w:bottom w:type="dxa" w:w="80"/>
              <w:right w:type="dxa" w:w="100"/>
            </w:tcMar>
          </w:tcPr>
          <w:p>
            <w:r>
              <w:rPr>
                <w:color w:val="1a1a1a"/>
                <w:sz w:val="19"/>
                <w:szCs w:val="19"/>
              </w:rPr>
              <w:t xml:space="preserve">CPL (cost per lead) by ad group, not just by campaign</w:t>
            </w:r>
          </w:p>
        </w:tc>
        <w:tc>
          <w:tcPr>
            <w:tcW w:type="dxa" w:w="2000"/>
            <w:tcMar>
              <w:top w:type="dxa" w:w="80"/>
              <w:left w:type="dxa" w:w="100"/>
              <w:bottom w:type="dxa" w:w="80"/>
              <w:right w:type="dxa" w:w="100"/>
            </w:tcMar>
          </w:tcPr>
          <w:p>
            <w:r>
              <w:rPr>
                <w:color w:val="1a1a1a"/>
                <w:sz w:val="19"/>
                <w:szCs w:val="19"/>
              </w:rPr>
              <w:t xml:space="preserve">Weekly</w:t>
            </w:r>
          </w:p>
        </w:tc>
      </w:tr>
      <w:tr>
        <w:tc>
          <w:tcPr>
            <w:tcW w:type="dxa" w:w="1800"/>
            <w:tcMar>
              <w:top w:type="dxa" w:w="80"/>
              <w:left w:type="dxa" w:w="100"/>
              <w:bottom w:type="dxa" w:w="80"/>
              <w:right w:type="dxa" w:w="100"/>
            </w:tcMar>
          </w:tcPr>
          <w:p>
            <w:r>
              <w:rPr>
                <w:color w:val="1a1a1a"/>
                <w:sz w:val="19"/>
                <w:szCs w:val="19"/>
              </w:rPr>
              <w:t xml:space="preserve">Ads</w:t>
            </w:r>
          </w:p>
        </w:tc>
        <w:tc>
          <w:tcPr>
            <w:tcW w:type="dxa" w:w="5400"/>
            <w:tcMar>
              <w:top w:type="dxa" w:w="80"/>
              <w:left w:type="dxa" w:w="100"/>
              <w:bottom w:type="dxa" w:w="80"/>
              <w:right w:type="dxa" w:w="100"/>
            </w:tcMar>
          </w:tcPr>
          <w:p>
            <w:r>
              <w:rPr>
                <w:color w:val="1a1a1a"/>
                <w:sz w:val="19"/>
                <w:szCs w:val="19"/>
              </w:rPr>
              <w:t xml:space="preserve">Average Quality Score per campaign</w:t>
            </w:r>
          </w:p>
        </w:tc>
        <w:tc>
          <w:tcPr>
            <w:tcW w:type="dxa" w:w="2000"/>
            <w:tcMar>
              <w:top w:type="dxa" w:w="80"/>
              <w:left w:type="dxa" w:w="100"/>
              <w:bottom w:type="dxa" w:w="80"/>
              <w:right w:type="dxa" w:w="100"/>
            </w:tcMar>
          </w:tcPr>
          <w:p>
            <w:r>
              <w:rPr>
                <w:color w:val="1a1a1a"/>
                <w:sz w:val="19"/>
                <w:szCs w:val="19"/>
              </w:rPr>
              <w:t xml:space="preserve">Weekly</w:t>
            </w:r>
          </w:p>
        </w:tc>
      </w:tr>
      <w:tr>
        <w:tc>
          <w:tcPr>
            <w:tcW w:type="dxa" w:w="1800"/>
            <w:tcMar>
              <w:top w:type="dxa" w:w="80"/>
              <w:left w:type="dxa" w:w="100"/>
              <w:bottom w:type="dxa" w:w="80"/>
              <w:right w:type="dxa" w:w="100"/>
            </w:tcMar>
          </w:tcPr>
          <w:p>
            <w:r>
              <w:rPr>
                <w:color w:val="1a1a1a"/>
                <w:sz w:val="19"/>
                <w:szCs w:val="19"/>
              </w:rPr>
              <w:t xml:space="preserve">Ads</w:t>
            </w:r>
          </w:p>
        </w:tc>
        <w:tc>
          <w:tcPr>
            <w:tcW w:type="dxa" w:w="5400"/>
            <w:tcMar>
              <w:top w:type="dxa" w:w="80"/>
              <w:left w:type="dxa" w:w="100"/>
              <w:bottom w:type="dxa" w:w="80"/>
              <w:right w:type="dxa" w:w="100"/>
            </w:tcMar>
          </w:tcPr>
          <w:p>
            <w:r>
              <w:rPr>
                <w:color w:val="1a1a1a"/>
                <w:sz w:val="19"/>
                <w:szCs w:val="19"/>
              </w:rPr>
              <w:t xml:space="preserve">Ads-lead-to-real-customer conversion rate (via CRM)</w:t>
            </w:r>
          </w:p>
        </w:tc>
        <w:tc>
          <w:tcPr>
            <w:tcW w:type="dxa" w:w="2000"/>
            <w:tcMar>
              <w:top w:type="dxa" w:w="80"/>
              <w:left w:type="dxa" w:w="100"/>
              <w:bottom w:type="dxa" w:w="80"/>
              <w:right w:type="dxa" w:w="100"/>
            </w:tcMar>
          </w:tcPr>
          <w:p>
            <w:r>
              <w:rPr>
                <w:color w:val="1a1a1a"/>
                <w:sz w:val="19"/>
                <w:szCs w:val="19"/>
              </w:rPr>
              <w:t xml:space="preserve">Monthly</w:t>
            </w:r>
          </w:p>
        </w:tc>
      </w:tr>
      <w:tr>
        <w:tc>
          <w:tcPr>
            <w:tcW w:type="dxa" w:w="1800"/>
            <w:tcMar>
              <w:top w:type="dxa" w:w="80"/>
              <w:left w:type="dxa" w:w="100"/>
              <w:bottom w:type="dxa" w:w="80"/>
              <w:right w:type="dxa" w:w="100"/>
            </w:tcMar>
          </w:tcPr>
          <w:p>
            <w:r>
              <w:rPr>
                <w:color w:val="1a1a1a"/>
                <w:sz w:val="19"/>
                <w:szCs w:val="19"/>
              </w:rPr>
              <w:t xml:space="preserve">Business</w:t>
            </w:r>
          </w:p>
        </w:tc>
        <w:tc>
          <w:tcPr>
            <w:tcW w:type="dxa" w:w="5400"/>
            <w:tcMar>
              <w:top w:type="dxa" w:w="80"/>
              <w:left w:type="dxa" w:w="100"/>
              <w:bottom w:type="dxa" w:w="80"/>
              <w:right w:type="dxa" w:w="100"/>
            </w:tcMar>
          </w:tcPr>
          <w:p>
            <w:r>
              <w:rPr>
                <w:color w:val="1a1a1a"/>
                <w:sz w:val="19"/>
                <w:szCs w:val="19"/>
              </w:rPr>
              <w:t xml:space="preserve">% organic vs. paid vs. direct/email traffic</w:t>
            </w:r>
          </w:p>
        </w:tc>
        <w:tc>
          <w:tcPr>
            <w:tcW w:type="dxa" w:w="2000"/>
            <w:tcMar>
              <w:top w:type="dxa" w:w="80"/>
              <w:left w:type="dxa" w:w="100"/>
              <w:bottom w:type="dxa" w:w="80"/>
              <w:right w:type="dxa" w:w="100"/>
            </w:tcMar>
          </w:tcPr>
          <w:p>
            <w:r>
              <w:rPr>
                <w:color w:val="1a1a1a"/>
                <w:sz w:val="19"/>
                <w:szCs w:val="19"/>
              </w:rPr>
              <w:t xml:space="preserve">Monthly</w:t>
            </w:r>
          </w:p>
        </w:tc>
      </w:tr>
      <w:tr>
        <w:tc>
          <w:tcPr>
            <w:tcW w:type="dxa" w:w="1800"/>
            <w:tcMar>
              <w:top w:type="dxa" w:w="80"/>
              <w:left w:type="dxa" w:w="100"/>
              <w:bottom w:type="dxa" w:w="80"/>
              <w:right w:type="dxa" w:w="100"/>
            </w:tcMar>
          </w:tcPr>
          <w:p>
            <w:r>
              <w:rPr>
                <w:color w:val="1a1a1a"/>
                <w:sz w:val="19"/>
                <w:szCs w:val="19"/>
              </w:rPr>
              <w:t xml:space="preserve">Business</w:t>
            </w:r>
          </w:p>
        </w:tc>
        <w:tc>
          <w:tcPr>
            <w:tcW w:type="dxa" w:w="5400"/>
            <w:tcMar>
              <w:top w:type="dxa" w:w="80"/>
              <w:left w:type="dxa" w:w="100"/>
              <w:bottom w:type="dxa" w:w="80"/>
              <w:right w:type="dxa" w:w="100"/>
            </w:tcMar>
          </w:tcPr>
          <w:p>
            <w:r>
              <w:rPr>
                <w:color w:val="1a1a1a"/>
                <w:sz w:val="19"/>
                <w:szCs w:val="19"/>
              </w:rPr>
              <w:t xml:space="preserve">Leads by hub (Madrid vs. Santiago) and by country</w:t>
            </w:r>
          </w:p>
        </w:tc>
        <w:tc>
          <w:tcPr>
            <w:tcW w:type="dxa" w:w="2000"/>
            <w:tcMar>
              <w:top w:type="dxa" w:w="80"/>
              <w:left w:type="dxa" w:w="100"/>
              <w:bottom w:type="dxa" w:w="80"/>
              <w:right w:type="dxa" w:w="100"/>
            </w:tcMar>
          </w:tcPr>
          <w:p>
            <w:r>
              <w:rPr>
                <w:color w:val="1a1a1a"/>
                <w:sz w:val="19"/>
                <w:szCs w:val="19"/>
              </w:rPr>
              <w:t xml:space="preserve">Monthly</w:t>
            </w:r>
          </w:p>
        </w:tc>
      </w:tr>
    </w:tbl>
    <w:p>
      <w:r>
        <w:br w:type="page"/>
      </w:r>
    </w:p>
    <w:p>
      <w:pPr>
        <w:pStyle w:val="Heading1"/>
        <w:pBdr>
          <w:bottom w:val="single" w:color="00BFB2" w:sz="8" w:space="4"/>
        </w:pBdr>
        <w:spacing w:after="200" w:before="400"/>
      </w:pPr>
      <w:r>
        <w:t xml:space="preserve">Sources consulted</w:t>
      </w:r>
    </w:p>
    <w:p>
      <w:pPr>
        <w:spacing w:after="160" w:line="276"/>
      </w:pPr>
      <w:r>
        <w:rPr>
          <w:i/>
          <w:iCs/>
          <w:color w:val="6B7280"/>
          <w:sz w:val="22"/>
          <w:szCs w:val="22"/>
        </w:rPr>
        <w:t xml:space="preserve">Searches performed in August 2026 to make sure the auction-mechanics data, CPC benchmarks, and SEO/hreflang practices reflect the current state (not just training knowledge):</w:t>
      </w:r>
    </w:p>
    <w:p>
      <w:pPr>
        <w:spacing w:after="60"/>
      </w:pPr>
      <w:r>
        <w:rPr>
          <w:color w:val="334155"/>
          <w:sz w:val="18"/>
          <w:szCs w:val="18"/>
        </w:rPr>
        <w:t xml:space="preserve">How the Google Ads auction works — </w:t>
      </w:r>
      <w:hyperlink w:history="1" r:id="rIdo8zcghrl_kjw58cizrxda">
        <w:r>
          <w:rPr>
            <w:color w:val="00BFB2"/>
            <w:sz w:val="18"/>
            <w:szCs w:val="18"/>
            <w:u w:val="single"/>
          </w:rPr>
          <w:t xml:space="preserve">https://www.digitalapplied.com/blog/how-google-ads-auction-works-complete-breakdown</w:t>
        </w:r>
      </w:hyperlink>
    </w:p>
    <w:p>
      <w:pPr>
        <w:spacing w:after="60"/>
      </w:pPr>
      <w:r>
        <w:rPr>
          <w:color w:val="334155"/>
          <w:sz w:val="18"/>
          <w:szCs w:val="18"/>
        </w:rPr>
        <w:t xml:space="preserve">Quality Score and Ad Rank 2026 — </w:t>
      </w:r>
      <w:hyperlink w:history="1" r:id="rIddpotpeuorjotx8nndwy21">
        <w:r>
          <w:rPr>
            <w:color w:val="00BFB2"/>
            <w:sz w:val="18"/>
            <w:szCs w:val="18"/>
            <w:u w:val="single"/>
          </w:rPr>
          <w:t xml:space="preserve">https://www.mbadv.agency/google-ads/quality-score-and-ad-rank</w:t>
        </w:r>
      </w:hyperlink>
    </w:p>
    <w:p>
      <w:pPr>
        <w:spacing w:after="60"/>
      </w:pPr>
      <w:r>
        <w:rPr>
          <w:color w:val="334155"/>
          <w:sz w:val="18"/>
          <w:szCs w:val="18"/>
        </w:rPr>
        <w:t xml:space="preserve">Quality Score — what moves the needle in 2026 — </w:t>
      </w:r>
      <w:hyperlink w:history="1" r:id="rId22tts77--og0awphh7rds">
        <w:r>
          <w:rPr>
            <w:color w:val="00BFB2"/>
            <w:sz w:val="18"/>
            <w:szCs w:val="18"/>
            <w:u w:val="single"/>
          </w:rPr>
          <w:t xml:space="preserve">https://lionelz.com/en/blog/google-ads-quality-score/</w:t>
        </w:r>
      </w:hyperlink>
    </w:p>
    <w:p>
      <w:pPr>
        <w:spacing w:after="60"/>
      </w:pPr>
      <w:r>
        <w:rPr>
          <w:color w:val="334155"/>
          <w:sz w:val="18"/>
          <w:szCs w:val="18"/>
        </w:rPr>
        <w:t xml:space="preserve">Google Ads benchmarks 2026 by industry — </w:t>
      </w:r>
      <w:hyperlink w:history="1" r:id="rId6qy5-d2umxpx6uwdn-gwo">
        <w:r>
          <w:rPr>
            <w:color w:val="00BFB2"/>
            <w:sz w:val="18"/>
            <w:szCs w:val="18"/>
            <w:u w:val="single"/>
          </w:rPr>
          <w:t xml:space="preserve">https://metricnexus.ai/blog/google-ads-benchmarks-2026</w:t>
        </w:r>
      </w:hyperlink>
    </w:p>
    <w:p>
      <w:pPr>
        <w:spacing w:after="60"/>
      </w:pPr>
      <w:r>
        <w:rPr>
          <w:color w:val="334155"/>
          <w:sz w:val="18"/>
          <w:szCs w:val="18"/>
        </w:rPr>
        <w:t xml:space="preserve">B2B SaaS benchmarks 2026 — </w:t>
      </w:r>
      <w:hyperlink w:history="1" r:id="rIdjmrypzywweuvdoztulsxi">
        <w:r>
          <w:rPr>
            <w:color w:val="00BFB2"/>
            <w:sz w:val="18"/>
            <w:szCs w:val="18"/>
            <w:u w:val="single"/>
          </w:rPr>
          <w:t xml:space="preserve">https://www.kampaio.com/blog/b2b-saas-google-ads-benchmarks-2026</w:t>
        </w:r>
      </w:hyperlink>
    </w:p>
    <w:p>
      <w:pPr>
        <w:spacing w:after="60"/>
      </w:pPr>
      <w:r>
        <w:rPr>
          <w:color w:val="334155"/>
          <w:sz w:val="18"/>
          <w:szCs w:val="18"/>
        </w:rPr>
        <w:t xml:space="preserve">Google Ads campaign types 2026 — decision matrix — </w:t>
      </w:r>
      <w:hyperlink w:history="1" r:id="rId9obcgcxuq_ho3hxxiozri">
        <w:r>
          <w:rPr>
            <w:color w:val="00BFB2"/>
            <w:sz w:val="18"/>
            <w:szCs w:val="18"/>
            <w:u w:val="single"/>
          </w:rPr>
          <w:t xml:space="preserve">https://www.mbadv.agency/google-ads/campaign-types</w:t>
        </w:r>
      </w:hyperlink>
    </w:p>
    <w:p>
      <w:pPr>
        <w:spacing w:after="60"/>
      </w:pPr>
      <w:r>
        <w:rPr>
          <w:color w:val="334155"/>
          <w:sz w:val="18"/>
          <w:szCs w:val="18"/>
        </w:rPr>
        <w:t xml:space="preserve">Google Ads strategy 2026 — B2B lead generation — </w:t>
      </w:r>
      <w:hyperlink w:history="1" r:id="rIdeyzjmklc5ka8zdq0mcxkr">
        <w:r>
          <w:rPr>
            <w:color w:val="00BFB2"/>
            <w:sz w:val="18"/>
            <w:szCs w:val="18"/>
            <w:u w:val="single"/>
          </w:rPr>
          <w:t xml:space="preserve">https://www.factors.ai/blog/google-ads-strategy</w:t>
        </w:r>
      </w:hyperlink>
    </w:p>
    <w:p>
      <w:pPr>
        <w:spacing w:after="60"/>
      </w:pPr>
      <w:r>
        <w:rPr>
          <w:color w:val="334155"/>
          <w:sz w:val="18"/>
          <w:szCs w:val="18"/>
        </w:rPr>
        <w:t xml:space="preserve">Technical SEO checklist 2026 — </w:t>
      </w:r>
      <w:hyperlink w:history="1" r:id="rIdjogaefltaqdybvn2l3nli">
        <w:r>
          <w:rPr>
            <w:color w:val="00BFB2"/>
            <w:sz w:val="18"/>
            <w:szCs w:val="18"/>
            <w:u w:val="single"/>
          </w:rPr>
          <w:t xml:space="preserve">https://www.debugbear.com/blog/technical-seo-checklist</w:t>
        </w:r>
      </w:hyperlink>
    </w:p>
    <w:p>
      <w:pPr>
        <w:spacing w:after="60"/>
      </w:pPr>
      <w:r>
        <w:rPr>
          <w:color w:val="334155"/>
          <w:sz w:val="18"/>
          <w:szCs w:val="18"/>
        </w:rPr>
        <w:t xml:space="preserve">Helpful content and E-E-A-T — Google Search Central (official) — </w:t>
      </w:r>
      <w:hyperlink w:history="1" r:id="rIdz0ad6n8-flwqmzniu1cv7">
        <w:r>
          <w:rPr>
            <w:color w:val="00BFB2"/>
            <w:sz w:val="18"/>
            <w:szCs w:val="18"/>
            <w:u w:val="single"/>
          </w:rPr>
          <w:t xml:space="preserve">https://developers.google.com/search/docs/fundamentals/creating-helpful-content</w:t>
        </w:r>
      </w:hyperlink>
    </w:p>
    <w:p>
      <w:pPr>
        <w:spacing w:after="60"/>
      </w:pPr>
      <w:r>
        <w:rPr>
          <w:color w:val="334155"/>
          <w:sz w:val="18"/>
          <w:szCs w:val="18"/>
        </w:rPr>
        <w:t xml:space="preserve">hreflang best practices and common mistakes — </w:t>
      </w:r>
      <w:hyperlink w:history="1" r:id="rIdouksewtovnn_ehb8mi9t2">
        <w:r>
          <w:rPr>
            <w:color w:val="00BFB2"/>
            <w:sz w:val="18"/>
            <w:szCs w:val="18"/>
            <w:u w:val="single"/>
          </w:rPr>
          <w:t xml:space="preserve">https://seeders.com/blog/how-to-implement-hreflang-tags-if-you-target-multiple-regions/</w:t>
        </w:r>
      </w:hyperlink>
    </w:p>
    <w:p>
      <w:pPr>
        <w:spacing w:after="60"/>
      </w:pPr>
      <w:r>
        <w:rPr>
          <w:color w:val="334155"/>
          <w:sz w:val="18"/>
          <w:szCs w:val="18"/>
        </w:rPr>
        <w:t xml:space="preserve">Complete hreflang guide for SEO — </w:t>
      </w:r>
      <w:hyperlink w:history="1" r:id="rIdtjklpq_w-xutpeevfk9xm">
        <w:r>
          <w:rPr>
            <w:color w:val="00BFB2"/>
            <w:sz w:val="18"/>
            <w:szCs w:val="18"/>
            <w:u w:val="single"/>
          </w:rPr>
          <w:t xml:space="preserve">https://www.weglot.com/guides/hreflang-tag</w:t>
        </w:r>
      </w:hyperlink>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5"/>
        <w:szCs w:val="15"/>
      </w:rPr>
      <w:t xml:space="preserve">Page </w:t>
    </w:r>
    <w:r>
      <w:rPr>
        <w:color w:val="9CA3AF"/>
        <w:sz w:val="15"/>
        <w:szCs w:val="15"/>
      </w:rPr>
      <w:fldChar w:fldCharType="begin"/>
      <w:instrText xml:space="preserve">PAGE</w:instrText>
      <w:fldChar w:fldCharType="separate"/>
      <w:fldChar w:fldCharType="end"/>
    </w:r>
    <w:r>
      <w:rPr>
        <w:color w:val="9CA3AF"/>
        <w:sz w:val="15"/>
        <w:szCs w:val="15"/>
      </w:rPr>
      <w:t xml:space="preserve"> of </w:t>
    </w:r>
    <w:r>
      <w:rPr>
        <w:color w:val="9CA3AF"/>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5"/>
        <w:szCs w:val="15"/>
      </w:rPr>
      <w:t xml:space="preserve">Macrogen Iberoamérica · Google Ads + SEO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0A1F4F"/>
      <w:sz w:val="32"/>
      <w:szCs w:val="32"/>
    </w:rPr>
  </w:style>
  <w:style w:type="paragraph" w:styleId="Heading2">
    <w:name w:val="Heading 2"/>
    <w:basedOn w:val="Normal"/>
    <w:next w:val="Normal"/>
    <w:qFormat/>
    <w:rPr>
      <w:rFonts w:ascii="Calibri" w:cs="Calibri" w:eastAsia="Calibri" w:hAnsi="Calibri"/>
      <w:b/>
      <w:bCs/>
      <w:color w:val="0A1F4F"/>
      <w:sz w:val="26"/>
      <w:szCs w:val="26"/>
    </w:rPr>
  </w:style>
  <w:style w:type="paragraph" w:styleId="Heading3">
    <w:name w:val="Heading 3"/>
    <w:basedOn w:val="Normal"/>
    <w:next w:val="Normal"/>
    <w:qFormat/>
    <w:rPr>
      <w:rFonts w:ascii="Calibri" w:cs="Calibri" w:eastAsia="Calibri" w:hAnsi="Calibri"/>
      <w:b/>
      <w:bCs/>
      <w:color w:val="00BFB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o8zcghrl_kjw58cizrxda" Type="http://schemas.openxmlformats.org/officeDocument/2006/relationships/hyperlink" Target="https://www.digitalapplied.com/blog/how-google-ads-auction-works-complete-breakdown" TargetMode="External"/><Relationship Id="rIddpotpeuorjotx8nndwy21" Type="http://schemas.openxmlformats.org/officeDocument/2006/relationships/hyperlink" Target="https://www.mbadv.agency/google-ads/quality-score-and-ad-rank" TargetMode="External"/><Relationship Id="rId22tts77--og0awphh7rds" Type="http://schemas.openxmlformats.org/officeDocument/2006/relationships/hyperlink" Target="https://lionelz.com/en/blog/google-ads-quality-score/" TargetMode="External"/><Relationship Id="rId6qy5-d2umxpx6uwdn-gwo" Type="http://schemas.openxmlformats.org/officeDocument/2006/relationships/hyperlink" Target="https://metricnexus.ai/blog/google-ads-benchmarks-2026" TargetMode="External"/><Relationship Id="rIdjmrypzywweuvdoztulsxi" Type="http://schemas.openxmlformats.org/officeDocument/2006/relationships/hyperlink" Target="https://www.kampaio.com/blog/b2b-saas-google-ads-benchmarks-2026" TargetMode="External"/><Relationship Id="rId9obcgcxuq_ho3hxxiozri" Type="http://schemas.openxmlformats.org/officeDocument/2006/relationships/hyperlink" Target="https://www.mbadv.agency/google-ads/campaign-types" TargetMode="External"/><Relationship Id="rIdeyzjmklc5ka8zdq0mcxkr" Type="http://schemas.openxmlformats.org/officeDocument/2006/relationships/hyperlink" Target="https://www.factors.ai/blog/google-ads-strategy" TargetMode="External"/><Relationship Id="rIdjogaefltaqdybvn2l3nli" Type="http://schemas.openxmlformats.org/officeDocument/2006/relationships/hyperlink" Target="https://www.debugbear.com/blog/technical-seo-checklist" TargetMode="External"/><Relationship Id="rIdz0ad6n8-flwqmzniu1cv7" Type="http://schemas.openxmlformats.org/officeDocument/2006/relationships/hyperlink" Target="https://developers.google.com/search/docs/fundamentals/creating-helpful-content" TargetMode="External"/><Relationship Id="rIdouksewtovnn_ehb8mi9t2" Type="http://schemas.openxmlformats.org/officeDocument/2006/relationships/hyperlink" Target="https://seeders.com/blog/how-to-implement-hreflang-tags-if-you-target-multiple-regions/" TargetMode="External"/><Relationship Id="rIdtjklpq_w-xutpeevfk9xm" Type="http://schemas.openxmlformats.org/officeDocument/2006/relationships/hyperlink" Target="https://www.weglot.com/guides/hreflang-tag"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2026-08-12T12:36:40.262Z</dcterms:created>
  <dcterms:modified xsi:type="dcterms:W3CDTF">2026-08-12T12:36:40.263Z</dcterms:modified>
</cp:coreProperties>
</file>

<file path=docProps/custom.xml><?xml version="1.0" encoding="utf-8"?>
<Properties xmlns="http://schemas.openxmlformats.org/officeDocument/2006/custom-properties" xmlns:vt="http://schemas.openxmlformats.org/officeDocument/2006/docPropsVTypes"/>
</file>