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276"/>
      </w:pPr>
      <w:r>
        <w:rPr>
          <w:rFonts w:ascii="Arial" w:cs="Arial" w:eastAsia="Arial" w:hAnsi="Arial"/>
          <w:b/>
          <w:bCs/>
          <w:color w:val="000000"/>
          <w:sz w:val="44"/>
          <w:szCs w:val="44"/>
        </w:rPr>
        <w:t xml:space="preserve">Instawards Statement of Work (SOW)</w:t>
      </w:r>
    </w:p>
    <w:p>
      <w:pPr>
        <w:keepNext/>
        <w:spacing w:after="160" w:before="280" w:line="276"/>
      </w:pPr>
      <w:r>
        <w:rPr>
          <w:rFonts w:ascii="Arial" w:cs="Arial" w:eastAsia="Arial" w:hAnsi="Arial"/>
          <w:b/>
          <w:bCs/>
          <w:color w:val="000000"/>
          <w:sz w:val="32"/>
          <w:szCs w:val="32"/>
        </w:rPr>
        <w:t xml:space="preserve">30-Day Scoped Engagement</w:t>
      </w:r>
    </w:p>
    <w:p>
      <w:pPr>
        <w:keepNext/>
        <w:spacing w:after="200" w:before="360" w:line="276"/>
      </w:pPr>
      <w:r>
        <w:rPr>
          <w:rFonts w:ascii="Arial" w:cs="Arial" w:eastAsia="Arial" w:hAnsi="Arial"/>
          <w:b/>
          <w:bCs/>
          <w:color w:val="000000"/>
          <w:sz w:val="40"/>
          <w:szCs w:val="40"/>
        </w:rPr>
        <w:t xml:space="preserve">1. Project &amp; Team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center"/>
            </w:pPr>
            <w:r>
              <w:rPr>
                <w:rFonts w:ascii="Arial" w:cs="Arial" w:eastAsia="Arial" w:hAnsi="Arial"/>
                <w:b/>
                <w:bCs/>
                <w:color w:val="000000"/>
                <w:sz w:val="20"/>
                <w:szCs w:val="20"/>
              </w:rPr>
              <w:t xml:space="preserve">Field</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center"/>
            </w:pPr>
            <w:r>
              <w:rPr>
                <w:rFonts w:ascii="Arial" w:cs="Arial" w:eastAsia="Arial" w:hAnsi="Arial"/>
                <w:b/>
                <w:bCs/>
                <w:color w:val="000000"/>
                <w:sz w:val="20"/>
                <w:szCs w:val="20"/>
              </w:rPr>
              <w:t xml:space="preserve">Value</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Project Name</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QWATT — The Clean Token</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Builder / Team</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Jae Hee (Jay) Kim, Diego Ostertag</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Primary Contact</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Jae Hee (Jay) Kim — jay@quorelia.org</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Ambassador Chapter</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Chile</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Ambassador Chapter Lead</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Bastian Koh</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Date Submitted</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September 2026</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Suggested Sprint Start Date</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TBD</w:t>
            </w:r>
          </w:p>
        </w:tc>
      </w:tr>
      <w:tr>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b/>
                <w:bCs/>
                <w:color w:val="000000"/>
                <w:sz w:val="20"/>
                <w:szCs w:val="20"/>
              </w:rPr>
              <w:t xml:space="preserve">Duration</w:t>
            </w:r>
          </w:p>
        </w:tc>
        <w:tc>
          <w:tcPr>
            <w:tcW w:type="pct" w:w="5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30 days (4-week sprint)</w:t>
            </w:r>
          </w:p>
        </w:tc>
      </w:tr>
    </w:tbl>
    <w:p>
      <w:pPr>
        <w:spacing w:after="120" w:before="0" w:line="276"/>
      </w:pP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2. Instawards Overview &amp; Intent</w:t>
      </w:r>
    </w:p>
    <w:p>
      <w:pPr>
        <w:keepNext/>
        <w:spacing w:after="160" w:before="280" w:line="276"/>
      </w:pPr>
      <w:r>
        <w:rPr>
          <w:rFonts w:ascii="Arial" w:cs="Arial" w:eastAsia="Arial" w:hAnsi="Arial"/>
          <w:b/>
          <w:bCs/>
          <w:color w:val="000000"/>
          <w:sz w:val="32"/>
          <w:szCs w:val="32"/>
        </w:rPr>
        <w:t xml:space="preserve">2.1 Purpose</w:t>
      </w:r>
    </w:p>
    <w:p>
      <w:pPr>
        <w:spacing w:after="160" w:before="0" w:line="276"/>
      </w:pPr>
      <w:r>
        <w:rPr>
          <w:rFonts w:ascii="Arial" w:cs="Arial" w:eastAsia="Arial" w:hAnsi="Arial"/>
          <w:color w:val="000000"/>
          <w:sz w:val="22"/>
          <w:szCs w:val="22"/>
        </w:rPr>
        <w:t xml:space="preserve">This Instaward focuses on delivering a meter-agnostic verification engine for renewable energy generation, with multi-party authorization on Stellar Testnet.</w:t>
      </w:r>
    </w:p>
    <w:p>
      <w:pPr>
        <w:spacing w:after="160" w:before="0" w:line="276"/>
      </w:pPr>
      <w:r>
        <w:rPr>
          <w:rFonts w:ascii="Arial" w:cs="Arial" w:eastAsia="Arial" w:hAnsi="Arial"/>
          <w:color w:val="000000"/>
          <w:sz w:val="22"/>
          <w:szCs w:val="22"/>
        </w:rPr>
        <w:t xml:space="preserve">Rather than building around one specific device, this sprint delivers a software layer that accepts the output of any standard energy meter — Modbus, HTTP/JSON or CSV — normalizes it to one record, runs it through open, versioned physics gates, and anchors the accepted evidence on Stellar through a 2-of-3 multisig in which an independent verifier re-runs every check from published data.</w:t>
      </w:r>
    </w:p>
    <w:p>
      <w:pPr>
        <w:spacing w:after="160" w:before="0" w:line="276"/>
      </w:pPr>
      <w:r>
        <w:rPr>
          <w:rFonts w:ascii="Arial" w:cs="Arial" w:eastAsia="Arial" w:hAnsi="Arial"/>
          <w:color w:val="000000"/>
          <w:sz w:val="22"/>
          <w:szCs w:val="22"/>
        </w:rPr>
        <w:t xml:space="preserve">The result will be a fully demonstrable pilot where a reviewer with no access to the team can take any anchored batch, download its evidence, re-run the gates and confirm the on-chain hash — and where no single key, including the team’s, can write a record on its own.</w:t>
      </w:r>
    </w:p>
    <w:p>
      <w:pPr>
        <w:spacing w:after="160" w:before="0" w:line="276"/>
      </w:pPr>
      <w:r>
        <w:rPr>
          <w:rFonts w:ascii="Arial" w:cs="Arial" w:eastAsia="Arial" w:hAnsi="Arial"/>
          <w:color w:val="000000"/>
          <w:sz w:val="22"/>
          <w:szCs w:val="22"/>
        </w:rPr>
        <w:t xml:space="preserve">This is a resubmission. Compared with the previous proposal it removes all hardware, the offtake agreement and token issuance from scope, and replaces single-operator anchoring with multi-party authorization.</w:t>
      </w: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3. Problem Statement &amp; Objective</w:t>
      </w:r>
    </w:p>
    <w:p>
      <w:pPr>
        <w:keepNext/>
        <w:spacing w:after="160" w:before="280" w:line="276"/>
      </w:pPr>
      <w:r>
        <w:rPr>
          <w:rFonts w:ascii="Arial" w:cs="Arial" w:eastAsia="Arial" w:hAnsi="Arial"/>
          <w:b/>
          <w:bCs/>
          <w:color w:val="000000"/>
          <w:sz w:val="32"/>
          <w:szCs w:val="32"/>
        </w:rPr>
        <w:t xml:space="preserve">Problem Being Addressed</w:t>
      </w:r>
    </w:p>
    <w:p>
      <w:pPr>
        <w:spacing w:after="160" w:before="0" w:line="276"/>
      </w:pPr>
      <w:r>
        <w:rPr>
          <w:rFonts w:ascii="Arial" w:cs="Arial" w:eastAsia="Arial" w:hAnsi="Arial"/>
          <w:color w:val="000000"/>
          <w:sz w:val="22"/>
          <w:szCs w:val="22"/>
        </w:rPr>
        <w:t xml:space="preserve">QWATT already has the technical foundation for verifying solar generation: a versioned gate specification, a shared verification engine with a 29-case conformance suite, seven adversarial validators with 24 tests, and a live testnet asset. What it lacks is the path from a real meter to a record that someone outside the team can trust.</w:t>
      </w:r>
    </w:p>
    <w:p>
      <w:pPr>
        <w:spacing w:after="160" w:before="0" w:line="276"/>
      </w:pPr>
      <w:r>
        <w:rPr>
          <w:rFonts w:ascii="Arial" w:cs="Arial" w:eastAsia="Arial" w:hAnsi="Arial"/>
          <w:color w:val="000000"/>
          <w:sz w:val="22"/>
          <w:szCs w:val="22"/>
        </w:rPr>
        <w:t xml:space="preserve">Today there is no integrated flow allowing:</w:t>
      </w:r>
    </w:p>
    <w:p>
      <w:pPr>
        <w:pStyle w:val="ListParagraph"/>
        <w:numPr>
          <w:ilvl w:val="0"/>
          <w:numId w:val="2"/>
        </w:numPr>
        <w:spacing w:after="40" w:before="0" w:line="276"/>
      </w:pPr>
      <w:r>
        <w:rPr>
          <w:rFonts w:ascii="Arial" w:cs="Arial" w:eastAsia="Arial" w:hAnsi="Arial"/>
          <w:color w:val="000000"/>
          <w:sz w:val="22"/>
          <w:szCs w:val="22"/>
        </w:rPr>
        <w:t xml:space="preserve">a standard meter of any brand to feed the engine without custom code</w:t>
      </w:r>
    </w:p>
    <w:p>
      <w:pPr>
        <w:pStyle w:val="ListParagraph"/>
        <w:numPr>
          <w:ilvl w:val="0"/>
          <w:numId w:val="2"/>
        </w:numPr>
        <w:spacing w:after="40" w:before="0" w:line="276"/>
      </w:pPr>
      <w:r>
        <w:rPr>
          <w:rFonts w:ascii="Arial" w:cs="Arial" w:eastAsia="Arial" w:hAnsi="Arial"/>
          <w:color w:val="000000"/>
          <w:sz w:val="22"/>
          <w:szCs w:val="22"/>
        </w:rPr>
        <w:t xml:space="preserve">an interval to be assembled into a hash-chained, publicly downloadable evidence batch</w:t>
      </w:r>
    </w:p>
    <w:p>
      <w:pPr>
        <w:pStyle w:val="ListParagraph"/>
        <w:numPr>
          <w:ilvl w:val="0"/>
          <w:numId w:val="2"/>
        </w:numPr>
        <w:spacing w:after="40" w:before="0" w:line="276"/>
      </w:pPr>
      <w:r>
        <w:rPr>
          <w:rFonts w:ascii="Arial" w:cs="Arial" w:eastAsia="Arial" w:hAnsi="Arial"/>
          <w:color w:val="000000"/>
          <w:sz w:val="22"/>
          <w:szCs w:val="22"/>
        </w:rPr>
        <w:t xml:space="preserve">an anchoring transaction to require a signature from a party the team does not control</w:t>
      </w:r>
    </w:p>
    <w:p>
      <w:pPr>
        <w:pStyle w:val="ListParagraph"/>
        <w:numPr>
          <w:ilvl w:val="0"/>
          <w:numId w:val="2"/>
        </w:numPr>
        <w:spacing w:after="40" w:before="0" w:line="276"/>
      </w:pPr>
      <w:r>
        <w:rPr>
          <w:rFonts w:ascii="Arial" w:cs="Arial" w:eastAsia="Arial" w:hAnsi="Arial"/>
          <w:color w:val="000000"/>
          <w:sz w:val="22"/>
          <w:szCs w:val="22"/>
        </w:rPr>
        <w:t xml:space="preserve">an outside reviewer to reconcile what is on-chain against what was published</w:t>
      </w:r>
    </w:p>
    <w:p>
      <w:pPr>
        <w:pStyle w:val="ListParagraph"/>
        <w:numPr>
          <w:ilvl w:val="0"/>
          <w:numId w:val="2"/>
        </w:numPr>
        <w:spacing w:after="40" w:before="0" w:line="276"/>
      </w:pPr>
      <w:r>
        <w:rPr>
          <w:rFonts w:ascii="Arial" w:cs="Arial" w:eastAsia="Arial" w:hAnsi="Arial"/>
          <w:color w:val="000000"/>
          <w:sz w:val="22"/>
          <w:szCs w:val="22"/>
        </w:rPr>
        <w:t xml:space="preserve">a rejected interval to be visible to anyone at all</w:t>
      </w:r>
    </w:p>
    <w:p>
      <w:pPr>
        <w:spacing w:after="80" w:before="0" w:line="276"/>
      </w:pPr>
    </w:p>
    <w:p>
      <w:pPr>
        <w:spacing w:after="160" w:before="0" w:line="276"/>
      </w:pPr>
      <w:r>
        <w:rPr>
          <w:rFonts w:ascii="Arial" w:cs="Arial" w:eastAsia="Arial" w:hAnsi="Arial"/>
          <w:color w:val="000000"/>
          <w:sz w:val="22"/>
          <w:szCs w:val="22"/>
        </w:rPr>
        <w:t xml:space="preserve">Without this, QWATT cannot demonstrate that Stellar can carry independently verifiable energy records, or validate the verification model with real data.</w:t>
      </w: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Objective</w:t>
      </w:r>
    </w:p>
    <w:p>
      <w:pPr>
        <w:spacing w:after="160" w:before="0" w:line="276"/>
      </w:pPr>
      <w:r>
        <w:rPr>
          <w:rFonts w:ascii="Arial" w:cs="Arial" w:eastAsia="Arial" w:hAnsi="Arial"/>
          <w:color w:val="000000"/>
          <w:sz w:val="22"/>
          <w:szCs w:val="22"/>
        </w:rPr>
        <w:t xml:space="preserve">Within 30 days QWATT will deliver a reviewer-verifiable, meter-agnostic verification pipeline on Stellar Testnet.</w:t>
      </w:r>
    </w:p>
    <w:p>
      <w:pPr>
        <w:spacing w:after="160" w:before="0" w:line="276"/>
      </w:pPr>
      <w:r>
        <w:rPr>
          <w:rFonts w:ascii="Arial" w:cs="Arial" w:eastAsia="Arial" w:hAnsi="Arial"/>
          <w:color w:val="000000"/>
          <w:sz w:val="22"/>
          <w:szCs w:val="22"/>
        </w:rPr>
        <w:t xml:space="preserve">Any Modbus, HTTP or CSV meter source will be able to feed the engine through configuration alone; every batch — accepted or rejected — will be published with its hash and reason; accepted batches will be anchored only when a proposer, an independent verifier and an off-team third signer agree; and a public reconciliation page will let anyone confirm the chain end-to-end from Horizon and the evidence feed.</w:t>
      </w: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4. Scope of Work</w:t>
      </w:r>
    </w:p>
    <w:p>
      <w:pPr>
        <w:keepNext/>
        <w:spacing w:after="160" w:before="280" w:line="276"/>
      </w:pPr>
      <w:r>
        <w:rPr>
          <w:rFonts w:ascii="Arial" w:cs="Arial" w:eastAsia="Arial" w:hAnsi="Arial"/>
          <w:b/>
          <w:bCs/>
          <w:color w:val="000000"/>
          <w:sz w:val="32"/>
          <w:szCs w:val="32"/>
        </w:rPr>
        <w:t xml:space="preserve">Deliverable 1 (Week 1)</w:t>
      </w:r>
    </w:p>
    <w:p>
      <w:pPr>
        <w:keepNext/>
        <w:spacing w:after="120" w:before="200" w:line="276"/>
      </w:pPr>
      <w:r>
        <w:rPr>
          <w:rFonts w:ascii="Arial" w:cs="Arial" w:eastAsia="Arial" w:hAnsi="Arial"/>
          <w:b/>
          <w:bCs/>
          <w:color w:val="000000"/>
          <w:sz w:val="26"/>
          <w:szCs w:val="26"/>
        </w:rPr>
        <w:t xml:space="preserve">Meter-Agnostic Ingestion</w:t>
      </w:r>
    </w:p>
    <w:p>
      <w:pPr>
        <w:spacing w:after="160" w:before="0" w:line="276"/>
      </w:pPr>
      <w:r>
        <w:rPr>
          <w:rFonts w:ascii="Arial" w:cs="Arial" w:eastAsia="Arial" w:hAnsi="Arial"/>
          <w:color w:val="000000"/>
          <w:sz w:val="22"/>
          <w:szCs w:val="22"/>
        </w:rPr>
        <w:t xml:space="preserve">Build:</w:t>
      </w:r>
    </w:p>
    <w:p>
      <w:pPr>
        <w:pStyle w:val="ListParagraph"/>
        <w:numPr>
          <w:ilvl w:val="0"/>
          <w:numId w:val="2"/>
        </w:numPr>
        <w:spacing w:after="40" w:before="0" w:line="276"/>
      </w:pPr>
      <w:r>
        <w:rPr>
          <w:rFonts w:ascii="Arial" w:cs="Arial" w:eastAsia="Arial" w:hAnsi="Arial"/>
          <w:color w:val="000000"/>
          <w:sz w:val="22"/>
          <w:szCs w:val="22"/>
        </w:rPr>
        <w:t xml:space="preserve">Modbus RTU/TCP adapter with the register map as configuration (JSON), not code</w:t>
      </w:r>
    </w:p>
    <w:p>
      <w:pPr>
        <w:pStyle w:val="ListParagraph"/>
        <w:numPr>
          <w:ilvl w:val="0"/>
          <w:numId w:val="2"/>
        </w:numPr>
        <w:spacing w:after="40" w:before="0" w:line="276"/>
      </w:pPr>
      <w:r>
        <w:rPr>
          <w:rFonts w:ascii="Arial" w:cs="Arial" w:eastAsia="Arial" w:hAnsi="Arial"/>
          <w:color w:val="000000"/>
          <w:sz w:val="22"/>
          <w:szCs w:val="22"/>
        </w:rPr>
        <w:t xml:space="preserve">HTTP/JSON push adapter</w:t>
      </w:r>
    </w:p>
    <w:p>
      <w:pPr>
        <w:pStyle w:val="ListParagraph"/>
        <w:numPr>
          <w:ilvl w:val="0"/>
          <w:numId w:val="2"/>
        </w:numPr>
        <w:spacing w:after="40" w:before="0" w:line="276"/>
      </w:pPr>
      <w:r>
        <w:rPr>
          <w:rFonts w:ascii="Arial" w:cs="Arial" w:eastAsia="Arial" w:hAnsi="Arial"/>
          <w:color w:val="000000"/>
          <w:sz w:val="22"/>
          <w:szCs w:val="22"/>
        </w:rPr>
        <w:t xml:space="preserve">CSV / file replay adapter</w:t>
      </w:r>
    </w:p>
    <w:p>
      <w:pPr>
        <w:pStyle w:val="ListParagraph"/>
        <w:numPr>
          <w:ilvl w:val="0"/>
          <w:numId w:val="2"/>
        </w:numPr>
        <w:spacing w:after="40" w:before="0" w:line="276"/>
      </w:pPr>
      <w:r>
        <w:rPr>
          <w:rFonts w:ascii="Arial" w:cs="Arial" w:eastAsia="Arial" w:hAnsi="Arial"/>
          <w:color w:val="000000"/>
          <w:sz w:val="22"/>
          <w:szCs w:val="22"/>
        </w:rPr>
        <w:t xml:space="preserve">Normalization to the versioned interval schema (interval.schema.json)</w:t>
      </w:r>
    </w:p>
    <w:p>
      <w:pPr>
        <w:pStyle w:val="ListParagraph"/>
        <w:numPr>
          <w:ilvl w:val="0"/>
          <w:numId w:val="2"/>
        </w:numPr>
        <w:spacing w:after="40" w:before="0" w:line="276"/>
      </w:pPr>
      <w:r>
        <w:rPr>
          <w:rFonts w:ascii="Arial" w:cs="Arial" w:eastAsia="Arial" w:hAnsi="Arial"/>
          <w:color w:val="000000"/>
          <w:sz w:val="22"/>
          <w:szCs w:val="22"/>
        </w:rPr>
        <w:t xml:space="preserve">Three reference register maps: PZEM-017, EPEver Tracer series, generic single-phase AC meter</w:t>
      </w:r>
    </w:p>
    <w:p>
      <w:pPr>
        <w:pStyle w:val="ListParagraph"/>
        <w:numPr>
          <w:ilvl w:val="0"/>
          <w:numId w:val="2"/>
        </w:numPr>
        <w:spacing w:after="40" w:before="0" w:line="276"/>
      </w:pPr>
      <w:r>
        <w:rPr>
          <w:rFonts w:ascii="Arial" w:cs="Arial" w:eastAsia="Arial" w:hAnsi="Arial"/>
          <w:color w:val="000000"/>
          <w:sz w:val="22"/>
          <w:szCs w:val="22"/>
        </w:rPr>
        <w:t xml:space="preserve">Raw-payload hashing so the normalization itself is auditable</w:t>
      </w:r>
    </w:p>
    <w:p>
      <w:pPr>
        <w:pStyle w:val="ListParagraph"/>
        <w:numPr>
          <w:ilvl w:val="0"/>
          <w:numId w:val="2"/>
        </w:numPr>
        <w:spacing w:after="40" w:before="0" w:line="276"/>
      </w:pPr>
      <w:r>
        <w:rPr>
          <w:rFonts w:ascii="Arial" w:cs="Arial" w:eastAsia="Arial" w:hAnsi="Arial"/>
          <w:color w:val="000000"/>
          <w:sz w:val="22"/>
          <w:szCs w:val="22"/>
        </w:rPr>
        <w:t xml:space="preserve">Adapter test harness: the same input through all three adapters yields byte-identical output</w:t>
      </w:r>
    </w:p>
    <w:p>
      <w:pPr>
        <w:spacing w:after="80" w:before="0" w:line="276"/>
      </w:pPr>
    </w:p>
    <w:p>
      <w:pPr>
        <w:keepNext/>
        <w:spacing w:after="120" w:before="200" w:line="276"/>
      </w:pPr>
      <w:r>
        <w:rPr>
          <w:rFonts w:ascii="Arial" w:cs="Arial" w:eastAsia="Arial" w:hAnsi="Arial"/>
          <w:b/>
          <w:bCs/>
          <w:color w:val="000000"/>
          <w:sz w:val="26"/>
          <w:szCs w:val="26"/>
        </w:rPr>
        <w:t xml:space="preserve">Why this matters</w:t>
      </w:r>
    </w:p>
    <w:p>
      <w:pPr>
        <w:spacing w:after="160" w:before="0" w:line="276"/>
      </w:pPr>
      <w:r>
        <w:rPr>
          <w:rFonts w:ascii="Arial" w:cs="Arial" w:eastAsia="Arial" w:hAnsi="Arial"/>
          <w:color w:val="000000"/>
          <w:sz w:val="22"/>
          <w:szCs w:val="22"/>
        </w:rPr>
        <w:t xml:space="preserve">This is what makes the engine usable by any renewable installation: a new meter becomes a configuration file, and the verification logic never changes to accommodate hardware.</w:t>
      </w: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Deliverable 2 (Week 2)</w:t>
      </w:r>
    </w:p>
    <w:p>
      <w:pPr>
        <w:keepNext/>
        <w:spacing w:after="120" w:before="200" w:line="276"/>
      </w:pPr>
      <w:r>
        <w:rPr>
          <w:rFonts w:ascii="Arial" w:cs="Arial" w:eastAsia="Arial" w:hAnsi="Arial"/>
          <w:b/>
          <w:bCs/>
          <w:color w:val="000000"/>
          <w:sz w:val="26"/>
          <w:szCs w:val="26"/>
        </w:rPr>
        <w:t xml:space="preserve">Evidence Batches &amp; Hash Chain</w:t>
      </w:r>
    </w:p>
    <w:p>
      <w:pPr>
        <w:spacing w:after="160" w:before="0" w:line="276"/>
      </w:pPr>
      <w:r>
        <w:rPr>
          <w:rFonts w:ascii="Arial" w:cs="Arial" w:eastAsia="Arial" w:hAnsi="Arial"/>
          <w:color w:val="000000"/>
          <w:sz w:val="22"/>
          <w:szCs w:val="22"/>
        </w:rPr>
        <w:t xml:space="preserve">Build:</w:t>
      </w:r>
    </w:p>
    <w:p>
      <w:pPr>
        <w:pStyle w:val="ListParagraph"/>
        <w:numPr>
          <w:ilvl w:val="0"/>
          <w:numId w:val="2"/>
        </w:numPr>
        <w:spacing w:after="40" w:before="0" w:line="276"/>
      </w:pPr>
      <w:r>
        <w:rPr>
          <w:rFonts w:ascii="Arial" w:cs="Arial" w:eastAsia="Arial" w:hAnsi="Arial"/>
          <w:color w:val="000000"/>
          <w:sz w:val="22"/>
          <w:szCs w:val="22"/>
        </w:rPr>
        <w:t xml:space="preserve">Batch assembly from accepted intervals: canonical JSON, SHA-256, prev_hash chain, Merkle root over raw samples</w:t>
      </w:r>
    </w:p>
    <w:p>
      <w:pPr>
        <w:pStyle w:val="ListParagraph"/>
        <w:numPr>
          <w:ilvl w:val="0"/>
          <w:numId w:val="2"/>
        </w:numPr>
        <w:spacing w:after="40" w:before="0" w:line="276"/>
      </w:pPr>
      <w:r>
        <w:rPr>
          <w:rFonts w:ascii="Arial" w:cs="Arial" w:eastAsia="Arial" w:hAnsi="Arial"/>
          <w:color w:val="000000"/>
          <w:sz w:val="22"/>
          <w:szCs w:val="22"/>
        </w:rPr>
        <w:t xml:space="preserve">Gate specification version stamped into every batch</w:t>
      </w:r>
    </w:p>
    <w:p>
      <w:pPr>
        <w:pStyle w:val="ListParagraph"/>
        <w:numPr>
          <w:ilvl w:val="0"/>
          <w:numId w:val="2"/>
        </w:numPr>
        <w:spacing w:after="40" w:before="0" w:line="276"/>
      </w:pPr>
      <w:r>
        <w:rPr>
          <w:rFonts w:ascii="Arial" w:cs="Arial" w:eastAsia="Arial" w:hAnsi="Arial"/>
          <w:color w:val="000000"/>
          <w:sz w:val="22"/>
          <w:szCs w:val="22"/>
        </w:rPr>
        <w:t xml:space="preserve">Accepted and rejected ledgers with reason codes (append-only JSONL)</w:t>
      </w:r>
    </w:p>
    <w:p>
      <w:pPr>
        <w:pStyle w:val="ListParagraph"/>
        <w:numPr>
          <w:ilvl w:val="0"/>
          <w:numId w:val="2"/>
        </w:numPr>
        <w:spacing w:after="40" w:before="0" w:line="276"/>
      </w:pPr>
      <w:r>
        <w:rPr>
          <w:rFonts w:ascii="Arial" w:cs="Arial" w:eastAsia="Arial" w:hAnsi="Arial"/>
          <w:color w:val="000000"/>
          <w:sz w:val="22"/>
          <w:szCs w:val="22"/>
        </w:rPr>
        <w:t xml:space="preserve">Evidence manifest format for public download</w:t>
      </w:r>
    </w:p>
    <w:p>
      <w:pPr>
        <w:pStyle w:val="ListParagraph"/>
        <w:numPr>
          <w:ilvl w:val="0"/>
          <w:numId w:val="2"/>
        </w:numPr>
        <w:spacing w:after="40" w:before="0" w:line="276"/>
      </w:pPr>
      <w:r>
        <w:rPr>
          <w:rFonts w:ascii="Arial" w:cs="Arial" w:eastAsia="Arial" w:hAnsi="Arial"/>
          <w:color w:val="000000"/>
          <w:sz w:val="22"/>
          <w:szCs w:val="22"/>
        </w:rPr>
        <w:t xml:space="preserve">Batch-level conformance cases added to the existing suite</w:t>
      </w:r>
    </w:p>
    <w:p>
      <w:pPr>
        <w:pStyle w:val="ListParagraph"/>
        <w:numPr>
          <w:ilvl w:val="0"/>
          <w:numId w:val="2"/>
        </w:numPr>
        <w:spacing w:after="40" w:before="0" w:line="276"/>
      </w:pPr>
      <w:r>
        <w:rPr>
          <w:rFonts w:ascii="Arial" w:cs="Arial" w:eastAsia="Arial" w:hAnsi="Arial"/>
          <w:color w:val="000000"/>
          <w:sz w:val="22"/>
          <w:szCs w:val="22"/>
        </w:rPr>
        <w:t xml:space="preserve">Phase-2 batch gates (sun witness, ramp, chain, integrity) wired to the generated spec bindings</w:t>
      </w:r>
    </w:p>
    <w:p>
      <w:pPr>
        <w:spacing w:after="80" w:before="0" w:line="276"/>
      </w:pPr>
    </w:p>
    <w:p>
      <w:pPr>
        <w:keepNext/>
        <w:spacing w:after="120" w:before="200" w:line="276"/>
      </w:pPr>
      <w:r>
        <w:rPr>
          <w:rFonts w:ascii="Arial" w:cs="Arial" w:eastAsia="Arial" w:hAnsi="Arial"/>
          <w:b/>
          <w:bCs/>
          <w:color w:val="000000"/>
          <w:sz w:val="26"/>
          <w:szCs w:val="26"/>
        </w:rPr>
        <w:t xml:space="preserve">Why this matters</w:t>
      </w:r>
    </w:p>
    <w:p>
      <w:pPr>
        <w:spacing w:after="160" w:before="0" w:line="276"/>
      </w:pPr>
      <w:r>
        <w:rPr>
          <w:rFonts w:ascii="Arial" w:cs="Arial" w:eastAsia="Arial" w:hAnsi="Arial"/>
          <w:color w:val="000000"/>
          <w:sz w:val="22"/>
          <w:szCs w:val="22"/>
        </w:rPr>
        <w:t xml:space="preserve">A verifier that shows only its successes has demonstrated nothing. The chain makes every record tamper-evident, and the rejection ledger makes the checks falsifiable by anyone.</w:t>
      </w: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Deliverable 3 (Week 3)</w:t>
      </w:r>
    </w:p>
    <w:p>
      <w:pPr>
        <w:keepNext/>
        <w:spacing w:after="120" w:before="200" w:line="276"/>
      </w:pPr>
      <w:r>
        <w:rPr>
          <w:rFonts w:ascii="Arial" w:cs="Arial" w:eastAsia="Arial" w:hAnsi="Arial"/>
          <w:b/>
          <w:bCs/>
          <w:color w:val="000000"/>
          <w:sz w:val="26"/>
          <w:szCs w:val="26"/>
        </w:rPr>
        <w:t xml:space="preserve">Multi-Party Authorization on Stellar</w:t>
      </w:r>
    </w:p>
    <w:p>
      <w:pPr>
        <w:spacing w:after="160" w:before="0" w:line="276"/>
      </w:pPr>
      <w:r>
        <w:rPr>
          <w:rFonts w:ascii="Arial" w:cs="Arial" w:eastAsia="Arial" w:hAnsi="Arial"/>
          <w:color w:val="000000"/>
          <w:sz w:val="22"/>
          <w:szCs w:val="22"/>
        </w:rPr>
        <w:t xml:space="preserve">Build:</w:t>
      </w:r>
    </w:p>
    <w:p>
      <w:pPr>
        <w:pStyle w:val="ListParagraph"/>
        <w:numPr>
          <w:ilvl w:val="0"/>
          <w:numId w:val="2"/>
        </w:numPr>
        <w:spacing w:after="40" w:before="0" w:line="276"/>
      </w:pPr>
      <w:r>
        <w:rPr>
          <w:rFonts w:ascii="Arial" w:cs="Arial" w:eastAsia="Arial" w:hAnsi="Arial"/>
          <w:color w:val="000000"/>
          <w:sz w:val="22"/>
          <w:szCs w:val="22"/>
        </w:rPr>
        <w:t xml:space="preserve">Anchoring account configured with native Stellar multisig, medium threshold 2-of-3</w:t>
      </w:r>
    </w:p>
    <w:p>
      <w:pPr>
        <w:pStyle w:val="ListParagraph"/>
        <w:numPr>
          <w:ilvl w:val="0"/>
          <w:numId w:val="2"/>
        </w:numPr>
        <w:spacing w:after="40" w:before="0" w:line="276"/>
      </w:pPr>
      <w:r>
        <w:rPr>
          <w:rFonts w:ascii="Arial" w:cs="Arial" w:eastAsia="Arial" w:hAnsi="Arial"/>
          <w:color w:val="000000"/>
          <w:sz w:val="22"/>
          <w:szCs w:val="22"/>
        </w:rPr>
        <w:t xml:space="preserve">Proposer service: signs batches the engine accepted</w:t>
      </w:r>
    </w:p>
    <w:p>
      <w:pPr>
        <w:pStyle w:val="ListParagraph"/>
        <w:numPr>
          <w:ilvl w:val="0"/>
          <w:numId w:val="2"/>
        </w:numPr>
        <w:spacing w:after="40" w:before="0" w:line="276"/>
      </w:pPr>
      <w:r>
        <w:rPr>
          <w:rFonts w:ascii="Arial" w:cs="Arial" w:eastAsia="Arial" w:hAnsi="Arial"/>
          <w:color w:val="000000"/>
          <w:sz w:val="22"/>
          <w:szCs w:val="22"/>
        </w:rPr>
        <w:t xml:space="preserve">Independent verifier service on a separate host with a separate key: downloads the published batch, recomputes the hash, re-runs the gates and signs only on agreement — it never receives data from the proposer directly</w:t>
      </w:r>
    </w:p>
    <w:p>
      <w:pPr>
        <w:pStyle w:val="ListParagraph"/>
        <w:numPr>
          <w:ilvl w:val="0"/>
          <w:numId w:val="2"/>
        </w:numPr>
        <w:spacing w:after="40" w:before="0" w:line="276"/>
      </w:pPr>
      <w:r>
        <w:rPr>
          <w:rFonts w:ascii="Arial" w:cs="Arial" w:eastAsia="Arial" w:hAnsi="Arial"/>
          <w:color w:val="000000"/>
          <w:sz w:val="22"/>
          <w:szCs w:val="22"/>
        </w:rPr>
        <w:t xml:space="preserve">Third signer key held off-team, designated at kickoff</w:t>
      </w:r>
    </w:p>
    <w:p>
      <w:pPr>
        <w:pStyle w:val="ListParagraph"/>
        <w:numPr>
          <w:ilvl w:val="0"/>
          <w:numId w:val="2"/>
        </w:numPr>
        <w:spacing w:after="40" w:before="0" w:line="276"/>
      </w:pPr>
      <w:r>
        <w:rPr>
          <w:rFonts w:ascii="Arial" w:cs="Arial" w:eastAsia="Arial" w:hAnsi="Arial"/>
          <w:color w:val="000000"/>
          <w:sz w:val="22"/>
          <w:szCs w:val="22"/>
        </w:rPr>
        <w:t xml:space="preserve">One atomic transaction per batch: manageData evidence hash + manageData cumulative total + payment op, using the existing testnet asset as the anchoring vehicle only</w:t>
      </w:r>
    </w:p>
    <w:p>
      <w:pPr>
        <w:pStyle w:val="ListParagraph"/>
        <w:numPr>
          <w:ilvl w:val="0"/>
          <w:numId w:val="2"/>
        </w:numPr>
        <w:spacing w:after="40" w:before="0" w:line="276"/>
      </w:pPr>
      <w:r>
        <w:rPr>
          <w:rFonts w:ascii="Arial" w:cs="Arial" w:eastAsia="Arial" w:hAnsi="Arial"/>
          <w:color w:val="000000"/>
          <w:sz w:val="22"/>
          <w:szCs w:val="22"/>
        </w:rPr>
        <w:t xml:space="preserve">Negative tests: the proposer alone cannot anchor; a batch altered after the verifier’s read cannot anchor</w:t>
      </w:r>
    </w:p>
    <w:p>
      <w:pPr>
        <w:spacing w:after="80" w:before="0" w:line="276"/>
      </w:pPr>
    </w:p>
    <w:p>
      <w:pPr>
        <w:keepNext/>
        <w:spacing w:after="120" w:before="200" w:line="276"/>
      </w:pPr>
      <w:r>
        <w:rPr>
          <w:rFonts w:ascii="Arial" w:cs="Arial" w:eastAsia="Arial" w:hAnsi="Arial"/>
          <w:b/>
          <w:bCs/>
          <w:color w:val="000000"/>
          <w:sz w:val="26"/>
          <w:szCs w:val="26"/>
        </w:rPr>
        <w:t xml:space="preserve">Why this matters</w:t>
      </w:r>
    </w:p>
    <w:p>
      <w:pPr>
        <w:spacing w:after="160" w:before="0" w:line="276"/>
      </w:pPr>
      <w:r>
        <w:rPr>
          <w:rFonts w:ascii="Arial" w:cs="Arial" w:eastAsia="Arial" w:hAnsi="Arial"/>
          <w:color w:val="000000"/>
          <w:sz w:val="22"/>
          <w:szCs w:val="22"/>
        </w:rPr>
        <w:t xml:space="preserve">Enforcement moves from policy to the ledger. No single key — including the team’s — can write a record, and the party that must agree re-derives its decision from public data.</w:t>
      </w: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Deliverable 4 (Week 4)</w:t>
      </w:r>
    </w:p>
    <w:p>
      <w:pPr>
        <w:keepNext/>
        <w:spacing w:after="120" w:before="200" w:line="276"/>
      </w:pPr>
      <w:r>
        <w:rPr>
          <w:rFonts w:ascii="Arial" w:cs="Arial" w:eastAsia="Arial" w:hAnsi="Arial"/>
          <w:b/>
          <w:bCs/>
          <w:color w:val="000000"/>
          <w:sz w:val="26"/>
          <w:szCs w:val="26"/>
        </w:rPr>
        <w:t xml:space="preserve">Public Evidence Feed, Reconciliation &amp; Real-Data Validation</w:t>
      </w:r>
    </w:p>
    <w:p>
      <w:pPr>
        <w:spacing w:after="160" w:before="0" w:line="276"/>
      </w:pPr>
      <w:r>
        <w:rPr>
          <w:rFonts w:ascii="Arial" w:cs="Arial" w:eastAsia="Arial" w:hAnsi="Arial"/>
          <w:color w:val="000000"/>
          <w:sz w:val="22"/>
          <w:szCs w:val="22"/>
        </w:rPr>
        <w:t xml:space="preserve">Build:</w:t>
      </w:r>
    </w:p>
    <w:p>
      <w:pPr>
        <w:pStyle w:val="ListParagraph"/>
        <w:numPr>
          <w:ilvl w:val="0"/>
          <w:numId w:val="2"/>
        </w:numPr>
        <w:spacing w:after="40" w:before="0" w:line="276"/>
      </w:pPr>
      <w:r>
        <w:rPr>
          <w:rFonts w:ascii="Arial" w:cs="Arial" w:eastAsia="Arial" w:hAnsi="Arial"/>
          <w:color w:val="000000"/>
          <w:sz w:val="22"/>
          <w:szCs w:val="22"/>
        </w:rPr>
        <w:t xml:space="preserve">Public evidence feed: every batch, accepted and rejected, with hash and reason</w:t>
      </w:r>
    </w:p>
    <w:p>
      <w:pPr>
        <w:pStyle w:val="ListParagraph"/>
        <w:numPr>
          <w:ilvl w:val="0"/>
          <w:numId w:val="2"/>
        </w:numPr>
        <w:spacing w:after="40" w:before="0" w:line="276"/>
      </w:pPr>
      <w:r>
        <w:rPr>
          <w:rFonts w:ascii="Arial" w:cs="Arial" w:eastAsia="Arial" w:hAnsi="Arial"/>
          <w:color w:val="000000"/>
          <w:sz w:val="22"/>
          <w:szCs w:val="22"/>
        </w:rPr>
        <w:t xml:space="preserve">Browser reconciliation page reading Horizon: anchored hashes ↔ published batches, cumulative totals, sequence gaps</w:t>
      </w:r>
    </w:p>
    <w:p>
      <w:pPr>
        <w:pStyle w:val="ListParagraph"/>
        <w:numPr>
          <w:ilvl w:val="0"/>
          <w:numId w:val="2"/>
        </w:numPr>
        <w:spacing w:after="40" w:before="0" w:line="276"/>
      </w:pPr>
      <w:r>
        <w:rPr>
          <w:rFonts w:ascii="Arial" w:cs="Arial" w:eastAsia="Arial" w:hAnsi="Arial"/>
          <w:color w:val="000000"/>
          <w:sz w:val="22"/>
          <w:szCs w:val="22"/>
        </w:rPr>
        <w:t xml:space="preserve">Replay of at least 30 days of a public PV generation dataset through the full pipeline on testnet</w:t>
      </w:r>
    </w:p>
    <w:p>
      <w:pPr>
        <w:pStyle w:val="ListParagraph"/>
        <w:numPr>
          <w:ilvl w:val="0"/>
          <w:numId w:val="2"/>
        </w:numPr>
        <w:spacing w:after="40" w:before="0" w:line="276"/>
      </w:pPr>
      <w:r>
        <w:rPr>
          <w:rFonts w:ascii="Arial" w:cs="Arial" w:eastAsia="Arial" w:hAnsi="Arial"/>
          <w:color w:val="000000"/>
          <w:sz w:val="22"/>
          <w:szCs w:val="22"/>
        </w:rPr>
        <w:t xml:space="preserve">Replay of induced-fault fixtures (shaded sensor, disconnected meter, night injection, implausible ramp) — each must be rejected and logged</w:t>
      </w:r>
    </w:p>
    <w:p>
      <w:pPr>
        <w:pStyle w:val="ListParagraph"/>
        <w:numPr>
          <w:ilvl w:val="0"/>
          <w:numId w:val="2"/>
        </w:numPr>
        <w:spacing w:after="40" w:before="0" w:line="276"/>
      </w:pPr>
      <w:r>
        <w:rPr>
          <w:rFonts w:ascii="Arial" w:cs="Arial" w:eastAsia="Arial" w:hAnsi="Arial"/>
          <w:color w:val="000000"/>
          <w:sz w:val="22"/>
          <w:szCs w:val="22"/>
        </w:rPr>
        <w:t xml:space="preserve">End-to-end QA</w:t>
      </w:r>
    </w:p>
    <w:p>
      <w:pPr>
        <w:pStyle w:val="ListParagraph"/>
        <w:numPr>
          <w:ilvl w:val="0"/>
          <w:numId w:val="2"/>
        </w:numPr>
        <w:spacing w:after="40" w:before="0" w:line="276"/>
      </w:pPr>
      <w:r>
        <w:rPr>
          <w:rFonts w:ascii="Arial" w:cs="Arial" w:eastAsia="Arial" w:hAnsi="Arial"/>
          <w:color w:val="000000"/>
          <w:sz w:val="22"/>
          <w:szCs w:val="22"/>
        </w:rPr>
        <w:t xml:space="preserve">Public write-up linking every transaction</w:t>
      </w:r>
    </w:p>
    <w:p>
      <w:pPr>
        <w:pStyle w:val="ListParagraph"/>
        <w:numPr>
          <w:ilvl w:val="0"/>
          <w:numId w:val="2"/>
        </w:numPr>
        <w:spacing w:after="40" w:before="0" w:line="276"/>
      </w:pPr>
      <w:r>
        <w:rPr>
          <w:rFonts w:ascii="Arial" w:cs="Arial" w:eastAsia="Arial" w:hAnsi="Arial"/>
          <w:color w:val="000000"/>
          <w:sz w:val="22"/>
          <w:szCs w:val="22"/>
        </w:rPr>
        <w:t xml:space="preserve">Demo video</w:t>
      </w:r>
    </w:p>
    <w:p>
      <w:pPr>
        <w:spacing w:after="80" w:before="0" w:line="276"/>
      </w:pPr>
    </w:p>
    <w:p>
      <w:pPr>
        <w:keepNext/>
        <w:spacing w:after="120" w:before="200" w:line="276"/>
      </w:pPr>
      <w:r>
        <w:rPr>
          <w:rFonts w:ascii="Arial" w:cs="Arial" w:eastAsia="Arial" w:hAnsi="Arial"/>
          <w:b/>
          <w:bCs/>
          <w:color w:val="000000"/>
          <w:sz w:val="26"/>
          <w:szCs w:val="26"/>
        </w:rPr>
        <w:t xml:space="preserve">Why this matters</w:t>
      </w:r>
    </w:p>
    <w:p>
      <w:pPr>
        <w:spacing w:after="160" w:before="0" w:line="276"/>
      </w:pPr>
      <w:r>
        <w:rPr>
          <w:rFonts w:ascii="Arial" w:cs="Arial" w:eastAsia="Arial" w:hAnsi="Arial"/>
          <w:color w:val="000000"/>
          <w:sz w:val="22"/>
          <w:szCs w:val="22"/>
        </w:rPr>
        <w:t xml:space="preserve">Rather than asking reviewers to trust screenshots, the sprint ends with a page that recomputes the truth in the visitor’s browser and a rejection log that proves the gates bite.</w:t>
      </w: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Out of Scope</w:t>
      </w:r>
    </w:p>
    <w:p>
      <w:pPr>
        <w:spacing w:after="160" w:before="0" w:line="276"/>
      </w:pPr>
      <w:r>
        <w:rPr>
          <w:rFonts w:ascii="Arial" w:cs="Arial" w:eastAsia="Arial" w:hAnsi="Arial"/>
          <w:color w:val="000000"/>
          <w:sz w:val="22"/>
          <w:szCs w:val="22"/>
        </w:rPr>
        <w:t xml:space="preserve">To maintain an achievable 30-day scope, the following items are explicitly excluded:</w:t>
      </w:r>
    </w:p>
    <w:p>
      <w:pPr>
        <w:pStyle w:val="ListParagraph"/>
        <w:numPr>
          <w:ilvl w:val="0"/>
          <w:numId w:val="2"/>
        </w:numPr>
        <w:spacing w:after="40" w:before="0" w:line="276"/>
      </w:pPr>
      <w:r>
        <w:rPr>
          <w:rFonts w:ascii="Arial" w:cs="Arial" w:eastAsia="Arial" w:hAnsi="Arial"/>
          <w:color w:val="000000"/>
          <w:sz w:val="22"/>
          <w:szCs w:val="22"/>
        </w:rPr>
        <w:t xml:space="preserve">Hardware of any kind (no meters, panels, boards or field installation)</w:t>
      </w:r>
    </w:p>
    <w:p>
      <w:pPr>
        <w:pStyle w:val="ListParagraph"/>
        <w:numPr>
          <w:ilvl w:val="0"/>
          <w:numId w:val="2"/>
        </w:numPr>
        <w:spacing w:after="40" w:before="0" w:line="276"/>
      </w:pPr>
      <w:r>
        <w:rPr>
          <w:rFonts w:ascii="Arial" w:cs="Arial" w:eastAsia="Arial" w:hAnsi="Arial"/>
          <w:color w:val="000000"/>
          <w:sz w:val="22"/>
          <w:szCs w:val="22"/>
        </w:rPr>
        <w:t xml:space="preserve">Token issuance, redemption or any real-world-asset claim</w:t>
      </w:r>
    </w:p>
    <w:p>
      <w:pPr>
        <w:pStyle w:val="ListParagraph"/>
        <w:numPr>
          <w:ilvl w:val="0"/>
          <w:numId w:val="2"/>
        </w:numPr>
        <w:spacing w:after="40" w:before="0" w:line="276"/>
      </w:pPr>
      <w:r>
        <w:rPr>
          <w:rFonts w:ascii="Arial" w:cs="Arial" w:eastAsia="Arial" w:hAnsi="Arial"/>
          <w:color w:val="000000"/>
          <w:sz w:val="22"/>
          <w:szCs w:val="22"/>
        </w:rPr>
        <w:t xml:space="preserve">Soroban smart contracts</w:t>
      </w:r>
    </w:p>
    <w:p>
      <w:pPr>
        <w:pStyle w:val="ListParagraph"/>
        <w:numPr>
          <w:ilvl w:val="0"/>
          <w:numId w:val="2"/>
        </w:numPr>
        <w:spacing w:after="40" w:before="0" w:line="276"/>
      </w:pPr>
      <w:r>
        <w:rPr>
          <w:rFonts w:ascii="Arial" w:cs="Arial" w:eastAsia="Arial" w:hAnsi="Arial"/>
          <w:color w:val="000000"/>
          <w:sz w:val="22"/>
          <w:szCs w:val="22"/>
        </w:rPr>
        <w:t xml:space="preserve">Mainnet deployment</w:t>
      </w:r>
    </w:p>
    <w:p>
      <w:pPr>
        <w:pStyle w:val="ListParagraph"/>
        <w:numPr>
          <w:ilvl w:val="0"/>
          <w:numId w:val="2"/>
        </w:numPr>
        <w:spacing w:after="40" w:before="0" w:line="276"/>
      </w:pPr>
      <w:r>
        <w:rPr>
          <w:rFonts w:ascii="Arial" w:cs="Arial" w:eastAsia="Arial" w:hAnsi="Arial"/>
          <w:color w:val="000000"/>
          <w:sz w:val="22"/>
          <w:szCs w:val="22"/>
        </w:rPr>
        <w:t xml:space="preserve">Commercial or offtake agreements</w:t>
      </w:r>
    </w:p>
    <w:p>
      <w:pPr>
        <w:pStyle w:val="ListParagraph"/>
        <w:numPr>
          <w:ilvl w:val="0"/>
          <w:numId w:val="2"/>
        </w:numPr>
        <w:spacing w:after="40" w:before="0" w:line="276"/>
      </w:pPr>
      <w:r>
        <w:rPr>
          <w:rFonts w:ascii="Arial" w:cs="Arial" w:eastAsia="Arial" w:hAnsi="Arial"/>
          <w:color w:val="000000"/>
          <w:sz w:val="22"/>
          <w:szCs w:val="22"/>
        </w:rPr>
        <w:t xml:space="preserve">Energy trading or energy sales of any kind</w:t>
      </w:r>
    </w:p>
    <w:p>
      <w:pPr>
        <w:pStyle w:val="ListParagraph"/>
        <w:numPr>
          <w:ilvl w:val="0"/>
          <w:numId w:val="2"/>
        </w:numPr>
        <w:spacing w:after="40" w:before="0" w:line="276"/>
      </w:pPr>
      <w:r>
        <w:rPr>
          <w:rFonts w:ascii="Arial" w:cs="Arial" w:eastAsia="Arial" w:hAnsi="Arial"/>
          <w:color w:val="000000"/>
          <w:sz w:val="22"/>
          <w:szCs w:val="22"/>
        </w:rPr>
        <w:t xml:space="preserve">Legal or corporate structuring</w:t>
      </w:r>
    </w:p>
    <w:p>
      <w:pPr>
        <w:pStyle w:val="ListParagraph"/>
        <w:numPr>
          <w:ilvl w:val="0"/>
          <w:numId w:val="2"/>
        </w:numPr>
        <w:spacing w:after="40" w:before="0" w:line="276"/>
      </w:pPr>
      <w:r>
        <w:rPr>
          <w:rFonts w:ascii="Arial" w:cs="Arial" w:eastAsia="Arial" w:hAnsi="Arial"/>
          <w:color w:val="000000"/>
          <w:sz w:val="22"/>
          <w:szCs w:val="22"/>
        </w:rPr>
        <w:t xml:space="preserve">SCADA or monitoring-platform integrations</w:t>
      </w:r>
    </w:p>
    <w:p>
      <w:pPr>
        <w:pStyle w:val="ListParagraph"/>
        <w:numPr>
          <w:ilvl w:val="0"/>
          <w:numId w:val="2"/>
        </w:numPr>
        <w:spacing w:after="40" w:before="0" w:line="276"/>
      </w:pPr>
      <w:r>
        <w:rPr>
          <w:rFonts w:ascii="Arial" w:cs="Arial" w:eastAsia="Arial" w:hAnsi="Arial"/>
          <w:color w:val="000000"/>
          <w:sz w:val="22"/>
          <w:szCs w:val="22"/>
        </w:rPr>
        <w:t xml:space="preserve">Marketing and community campaigns</w:t>
      </w:r>
    </w:p>
    <w:p>
      <w:pPr>
        <w:pStyle w:val="ListParagraph"/>
        <w:numPr>
          <w:ilvl w:val="0"/>
          <w:numId w:val="2"/>
        </w:numPr>
        <w:spacing w:after="40" w:before="0" w:line="276"/>
      </w:pPr>
      <w:r>
        <w:rPr>
          <w:rFonts w:ascii="Arial" w:cs="Arial" w:eastAsia="Arial" w:hAnsi="Arial"/>
          <w:color w:val="000000"/>
          <w:sz w:val="22"/>
          <w:szCs w:val="22"/>
        </w:rPr>
        <w:t xml:space="preserve">KYC or identity verification</w:t>
      </w:r>
    </w:p>
    <w:p>
      <w:pPr>
        <w:spacing w:after="80" w:before="0" w:line="276"/>
      </w:pP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4.2 Deliverable-Aligned Budget Request</w:t>
      </w:r>
    </w:p>
    <w:p>
      <w:pPr>
        <w:keepNext/>
        <w:spacing w:after="120" w:before="0" w:line="276"/>
      </w:pPr>
      <w:r>
        <w:rPr>
          <w:rFonts w:ascii="Arial" w:cs="Arial" w:eastAsia="Arial" w:hAnsi="Arial"/>
          <w:b/>
          <w:bCs/>
          <w:color w:val="000000"/>
          <w:sz w:val="22"/>
          <w:szCs w:val="22"/>
        </w:rPr>
        <w:t xml:space="preserve">Requested Budget: USD $3,500</w:t>
      </w:r>
    </w:p>
    <w:p>
      <w:pPr>
        <w:spacing w:after="160" w:before="0" w:line="276"/>
      </w:pPr>
      <w:r>
        <w:rPr>
          <w:rFonts w:ascii="Arial" w:cs="Arial" w:eastAsia="Arial" w:hAnsi="Arial"/>
          <w:color w:val="000000"/>
          <w:sz w:val="22"/>
          <w:szCs w:val="22"/>
        </w:rPr>
        <w:t xml:space="preserve">The request is deliberately below the Instawards maximum. Both founders develop full time for the sprint, the gate specification and conformance suite are already shipped, and no hardware is needed. The award funds approximately 70 engineering hours at USD 35/h plus the operating items below; the remaining founder time is contributed.</w:t>
      </w:r>
    </w:p>
    <w:p>
      <w:pPr>
        <w:keepNext/>
        <w:spacing w:after="120" w:before="200" w:line="276"/>
      </w:pPr>
      <w:r>
        <w:rPr>
          <w:rFonts w:ascii="Arial" w:cs="Arial" w:eastAsia="Arial" w:hAnsi="Arial"/>
          <w:b/>
          <w:bCs/>
          <w:color w:val="000000"/>
          <w:sz w:val="26"/>
          <w:szCs w:val="26"/>
        </w:rPr>
        <w:t xml:space="preserve">Operational &amp; Core Team (70%)</w:t>
      </w:r>
    </w:p>
    <w:p>
      <w:pPr>
        <w:pStyle w:val="ListParagraph"/>
        <w:numPr>
          <w:ilvl w:val="0"/>
          <w:numId w:val="2"/>
        </w:numPr>
        <w:spacing w:after="40" w:before="0" w:line="276"/>
      </w:pPr>
      <w:r>
        <w:rPr>
          <w:rFonts w:ascii="Arial" w:cs="Arial" w:eastAsia="Arial" w:hAnsi="Arial"/>
          <w:color w:val="000000"/>
          <w:sz w:val="22"/>
          <w:szCs w:val="22"/>
        </w:rPr>
        <w:t xml:space="preserve">Protocol &amp; verification engineering</w:t>
      </w:r>
    </w:p>
    <w:p>
      <w:pPr>
        <w:pStyle w:val="ListParagraph"/>
        <w:numPr>
          <w:ilvl w:val="0"/>
          <w:numId w:val="2"/>
        </w:numPr>
        <w:spacing w:after="40" w:before="0" w:line="276"/>
      </w:pPr>
      <w:r>
        <w:rPr>
          <w:rFonts w:ascii="Arial" w:cs="Arial" w:eastAsia="Arial" w:hAnsi="Arial"/>
          <w:color w:val="000000"/>
          <w:sz w:val="22"/>
          <w:szCs w:val="22"/>
        </w:rPr>
        <w:t xml:space="preserve">Meter adapter development (Modbus, HTTP, CSV)</w:t>
      </w:r>
    </w:p>
    <w:p>
      <w:pPr>
        <w:pStyle w:val="ListParagraph"/>
        <w:numPr>
          <w:ilvl w:val="0"/>
          <w:numId w:val="2"/>
        </w:numPr>
        <w:spacing w:after="40" w:before="0" w:line="276"/>
      </w:pPr>
      <w:r>
        <w:rPr>
          <w:rFonts w:ascii="Arial" w:cs="Arial" w:eastAsia="Arial" w:hAnsi="Arial"/>
          <w:color w:val="000000"/>
          <w:sz w:val="22"/>
          <w:szCs w:val="22"/>
        </w:rPr>
        <w:t xml:space="preserve">Stellar integration (multisig, transactions, Horizon)</w:t>
      </w:r>
    </w:p>
    <w:p>
      <w:pPr>
        <w:pStyle w:val="ListParagraph"/>
        <w:numPr>
          <w:ilvl w:val="0"/>
          <w:numId w:val="2"/>
        </w:numPr>
        <w:spacing w:after="40" w:before="0" w:line="276"/>
      </w:pPr>
      <w:r>
        <w:rPr>
          <w:rFonts w:ascii="Arial" w:cs="Arial" w:eastAsia="Arial" w:hAnsi="Arial"/>
          <w:color w:val="000000"/>
          <w:sz w:val="22"/>
          <w:szCs w:val="22"/>
        </w:rPr>
        <w:t xml:space="preserve">Independent verifier service</w:t>
      </w:r>
    </w:p>
    <w:p>
      <w:pPr>
        <w:pStyle w:val="ListParagraph"/>
        <w:numPr>
          <w:ilvl w:val="0"/>
          <w:numId w:val="2"/>
        </w:numPr>
        <w:spacing w:after="40" w:before="0" w:line="276"/>
      </w:pPr>
      <w:r>
        <w:rPr>
          <w:rFonts w:ascii="Arial" w:cs="Arial" w:eastAsia="Arial" w:hAnsi="Arial"/>
          <w:color w:val="000000"/>
          <w:sz w:val="22"/>
          <w:szCs w:val="22"/>
        </w:rPr>
        <w:t xml:space="preserve">QA, conformance &amp; adversarial testing</w:t>
      </w:r>
    </w:p>
    <w:p>
      <w:pPr>
        <w:pStyle w:val="ListParagraph"/>
        <w:numPr>
          <w:ilvl w:val="0"/>
          <w:numId w:val="2"/>
        </w:numPr>
        <w:spacing w:after="40" w:before="0" w:line="276"/>
      </w:pPr>
      <w:r>
        <w:rPr>
          <w:rFonts w:ascii="Arial" w:cs="Arial" w:eastAsia="Arial" w:hAnsi="Arial"/>
          <w:color w:val="000000"/>
          <w:sz w:val="22"/>
          <w:szCs w:val="22"/>
        </w:rPr>
        <w:t xml:space="preserve">Technical documentation &amp; write-up</w:t>
      </w:r>
    </w:p>
    <w:p>
      <w:pPr>
        <w:spacing w:after="80" w:before="0" w:line="276"/>
      </w:pPr>
    </w:p>
    <w:p>
      <w:pPr>
        <w:keepNext/>
        <w:spacing w:after="120" w:before="200" w:line="276"/>
      </w:pPr>
      <w:r>
        <w:rPr>
          <w:rFonts w:ascii="Arial" w:cs="Arial" w:eastAsia="Arial" w:hAnsi="Arial"/>
          <w:b/>
          <w:bCs/>
          <w:color w:val="000000"/>
          <w:sz w:val="26"/>
          <w:szCs w:val="26"/>
        </w:rPr>
        <w:t xml:space="preserve">Technology &amp; Operations (30%)</w:t>
      </w:r>
    </w:p>
    <w:p>
      <w:pPr>
        <w:pStyle w:val="ListParagraph"/>
        <w:numPr>
          <w:ilvl w:val="0"/>
          <w:numId w:val="2"/>
        </w:numPr>
        <w:spacing w:after="40" w:before="0" w:line="276"/>
      </w:pPr>
      <w:r>
        <w:rPr>
          <w:rFonts w:ascii="Arial" w:cs="Arial" w:eastAsia="Arial" w:hAnsi="Arial"/>
          <w:color w:val="000000"/>
          <w:sz w:val="22"/>
          <w:szCs w:val="22"/>
        </w:rPr>
        <w:t xml:space="preserve">Independent verifier hosting on a provider separate from the proposer</w:t>
      </w:r>
    </w:p>
    <w:p>
      <w:pPr>
        <w:pStyle w:val="ListParagraph"/>
        <w:numPr>
          <w:ilvl w:val="0"/>
          <w:numId w:val="2"/>
        </w:numPr>
        <w:spacing w:after="40" w:before="0" w:line="276"/>
      </w:pPr>
      <w:r>
        <w:rPr>
          <w:rFonts w:ascii="Arial" w:cs="Arial" w:eastAsia="Arial" w:hAnsi="Arial"/>
          <w:color w:val="000000"/>
          <w:sz w:val="22"/>
          <w:szCs w:val="22"/>
        </w:rPr>
        <w:t xml:space="preserve">CI and repository infrastructure</w:t>
      </w:r>
    </w:p>
    <w:p>
      <w:pPr>
        <w:pStyle w:val="ListParagraph"/>
        <w:numPr>
          <w:ilvl w:val="0"/>
          <w:numId w:val="2"/>
        </w:numPr>
        <w:spacing w:after="40" w:before="0" w:line="276"/>
      </w:pPr>
      <w:r>
        <w:rPr>
          <w:rFonts w:ascii="Arial" w:cs="Arial" w:eastAsia="Arial" w:hAnsi="Arial"/>
          <w:color w:val="000000"/>
          <w:sz w:val="22"/>
          <w:szCs w:val="22"/>
        </w:rPr>
        <w:t xml:space="preserve">Public PV dataset acquisition and processing</w:t>
      </w:r>
    </w:p>
    <w:p>
      <w:pPr>
        <w:pStyle w:val="ListParagraph"/>
        <w:numPr>
          <w:ilvl w:val="0"/>
          <w:numId w:val="2"/>
        </w:numPr>
        <w:spacing w:after="40" w:before="0" w:line="276"/>
      </w:pPr>
      <w:r>
        <w:rPr>
          <w:rFonts w:ascii="Arial" w:cs="Arial" w:eastAsia="Arial" w:hAnsi="Arial"/>
          <w:color w:val="000000"/>
          <w:sz w:val="22"/>
          <w:szCs w:val="22"/>
        </w:rPr>
        <w:t xml:space="preserve">AI-assisted development</w:t>
      </w:r>
    </w:p>
    <w:p>
      <w:pPr>
        <w:pStyle w:val="ListParagraph"/>
        <w:numPr>
          <w:ilvl w:val="0"/>
          <w:numId w:val="2"/>
        </w:numPr>
        <w:spacing w:after="40" w:before="0" w:line="276"/>
      </w:pPr>
      <w:r>
        <w:rPr>
          <w:rFonts w:ascii="Arial" w:cs="Arial" w:eastAsia="Arial" w:hAnsi="Arial"/>
          <w:color w:val="000000"/>
          <w:sz w:val="22"/>
          <w:szCs w:val="22"/>
        </w:rPr>
        <w:t xml:space="preserve">Demo &amp; video production</w:t>
      </w:r>
    </w:p>
    <w:p>
      <w:pPr>
        <w:pStyle w:val="ListParagraph"/>
        <w:numPr>
          <w:ilvl w:val="0"/>
          <w:numId w:val="2"/>
        </w:numPr>
        <w:spacing w:after="40" w:before="0" w:line="276"/>
      </w:pPr>
      <w:r>
        <w:rPr>
          <w:rFonts w:ascii="Arial" w:cs="Arial" w:eastAsia="Arial" w:hAnsi="Arial"/>
          <w:color w:val="000000"/>
          <w:sz w:val="22"/>
          <w:szCs w:val="22"/>
        </w:rPr>
        <w:t xml:space="preserve">Documentation</w:t>
      </w:r>
    </w:p>
    <w:p>
      <w:pPr>
        <w:spacing w:after="80" w:before="0" w:line="276"/>
      </w:pP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5. 30-Day Execution Plan</w:t>
      </w:r>
    </w:p>
    <w:p>
      <w:pPr>
        <w:keepNext/>
        <w:spacing w:after="160" w:before="280" w:line="276"/>
      </w:pPr>
      <w:r>
        <w:rPr>
          <w:rFonts w:ascii="Arial" w:cs="Arial" w:eastAsia="Arial" w:hAnsi="Arial"/>
          <w:b/>
          <w:bCs/>
          <w:color w:val="000000"/>
          <w:sz w:val="32"/>
          <w:szCs w:val="32"/>
        </w:rPr>
        <w:t xml:space="preserve">Week 1</w:t>
      </w:r>
    </w:p>
    <w:p>
      <w:pPr>
        <w:spacing w:after="100" w:before="0" w:line="276"/>
      </w:pPr>
      <w:r>
        <w:rPr>
          <w:rFonts w:ascii="Arial" w:cs="Arial" w:eastAsia="Arial" w:hAnsi="Arial"/>
          <w:color w:val="000000"/>
          <w:sz w:val="22"/>
          <w:szCs w:val="22"/>
        </w:rPr>
        <w:t xml:space="preserve">Modbus adapter with register-map configs</w:t>
      </w:r>
    </w:p>
    <w:p>
      <w:pPr>
        <w:spacing w:after="100" w:before="0" w:line="276"/>
      </w:pPr>
      <w:r>
        <w:rPr>
          <w:rFonts w:ascii="Arial" w:cs="Arial" w:eastAsia="Arial" w:hAnsi="Arial"/>
          <w:color w:val="000000"/>
          <w:sz w:val="22"/>
          <w:szCs w:val="22"/>
        </w:rPr>
        <w:t xml:space="preserve">HTTP/JSON and CSV adapters</w:t>
      </w:r>
    </w:p>
    <w:p>
      <w:pPr>
        <w:spacing w:after="100" w:before="0" w:line="276"/>
      </w:pPr>
      <w:r>
        <w:rPr>
          <w:rFonts w:ascii="Arial" w:cs="Arial" w:eastAsia="Arial" w:hAnsi="Arial"/>
          <w:color w:val="000000"/>
          <w:sz w:val="22"/>
          <w:szCs w:val="22"/>
        </w:rPr>
        <w:t xml:space="preserve">Schema normalization</w:t>
      </w:r>
    </w:p>
    <w:p>
      <w:pPr>
        <w:spacing w:after="100" w:before="0" w:line="276"/>
      </w:pPr>
      <w:r>
        <w:rPr>
          <w:rFonts w:ascii="Arial" w:cs="Arial" w:eastAsia="Arial" w:hAnsi="Arial"/>
          <w:color w:val="000000"/>
          <w:sz w:val="22"/>
          <w:szCs w:val="22"/>
        </w:rPr>
        <w:t xml:space="preserve">Three reference register maps</w:t>
      </w:r>
    </w:p>
    <w:p>
      <w:pPr>
        <w:spacing w:after="100" w:before="0" w:line="276"/>
      </w:pPr>
      <w:r>
        <w:rPr>
          <w:rFonts w:ascii="Arial" w:cs="Arial" w:eastAsia="Arial" w:hAnsi="Arial"/>
          <w:color w:val="000000"/>
          <w:sz w:val="22"/>
          <w:szCs w:val="22"/>
        </w:rPr>
        <w:t xml:space="preserve">Adapter harness</w:t>
      </w:r>
    </w:p>
    <w:p>
      <w:pPr>
        <w:keepNext/>
        <w:spacing w:after="120" w:before="0" w:line="276"/>
      </w:pPr>
      <w:r>
        <w:rPr>
          <w:rFonts w:ascii="Arial" w:cs="Arial" w:eastAsia="Arial" w:hAnsi="Arial"/>
          <w:b/>
          <w:bCs/>
          <w:color w:val="000000"/>
          <w:sz w:val="22"/>
          <w:szCs w:val="22"/>
        </w:rPr>
        <w:t xml:space="preserve">Expected Output</w:t>
      </w:r>
    </w:p>
    <w:p>
      <w:pPr>
        <w:spacing w:after="160" w:before="0" w:line="276"/>
      </w:pPr>
      <w:r>
        <w:rPr>
          <w:rFonts w:ascii="Arial" w:cs="Arial" w:eastAsia="Arial" w:hAnsi="Arial"/>
          <w:color w:val="000000"/>
          <w:sz w:val="22"/>
          <w:szCs w:val="22"/>
        </w:rPr>
        <w:t xml:space="preserve">Any of the three adapters feeds the engine and produces byte-identical verification output for the same input.</w:t>
      </w: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Week 2</w:t>
      </w:r>
    </w:p>
    <w:p>
      <w:pPr>
        <w:spacing w:after="100" w:before="0" w:line="276"/>
      </w:pPr>
      <w:r>
        <w:rPr>
          <w:rFonts w:ascii="Arial" w:cs="Arial" w:eastAsia="Arial" w:hAnsi="Arial"/>
          <w:color w:val="000000"/>
          <w:sz w:val="22"/>
          <w:szCs w:val="22"/>
        </w:rPr>
        <w:t xml:space="preserve">Batch assembly and hash chain</w:t>
      </w:r>
    </w:p>
    <w:p>
      <w:pPr>
        <w:spacing w:after="100" w:before="0" w:line="276"/>
      </w:pPr>
      <w:r>
        <w:rPr>
          <w:rFonts w:ascii="Arial" w:cs="Arial" w:eastAsia="Arial" w:hAnsi="Arial"/>
          <w:color w:val="000000"/>
          <w:sz w:val="22"/>
          <w:szCs w:val="22"/>
        </w:rPr>
        <w:t xml:space="preserve">Accepted and rejected ledgers</w:t>
      </w:r>
    </w:p>
    <w:p>
      <w:pPr>
        <w:spacing w:after="100" w:before="0" w:line="276"/>
      </w:pPr>
      <w:r>
        <w:rPr>
          <w:rFonts w:ascii="Arial" w:cs="Arial" w:eastAsia="Arial" w:hAnsi="Arial"/>
          <w:color w:val="000000"/>
          <w:sz w:val="22"/>
          <w:szCs w:val="22"/>
        </w:rPr>
        <w:t xml:space="preserve">Evidence manifest</w:t>
      </w:r>
    </w:p>
    <w:p>
      <w:pPr>
        <w:spacing w:after="100" w:before="0" w:line="276"/>
      </w:pPr>
      <w:r>
        <w:rPr>
          <w:rFonts w:ascii="Arial" w:cs="Arial" w:eastAsia="Arial" w:hAnsi="Arial"/>
          <w:color w:val="000000"/>
          <w:sz w:val="22"/>
          <w:szCs w:val="22"/>
        </w:rPr>
        <w:t xml:space="preserve">Batch-level conformance</w:t>
      </w:r>
    </w:p>
    <w:p>
      <w:pPr>
        <w:spacing w:after="100" w:before="0" w:line="276"/>
      </w:pPr>
      <w:r>
        <w:rPr>
          <w:rFonts w:ascii="Arial" w:cs="Arial" w:eastAsia="Arial" w:hAnsi="Arial"/>
          <w:color w:val="000000"/>
          <w:sz w:val="22"/>
          <w:szCs w:val="22"/>
        </w:rPr>
        <w:t xml:space="preserve">Phase-2 gates on the spec</w:t>
      </w:r>
    </w:p>
    <w:p>
      <w:pPr>
        <w:keepNext/>
        <w:spacing w:after="120" w:before="0" w:line="276"/>
      </w:pPr>
      <w:r>
        <w:rPr>
          <w:rFonts w:ascii="Arial" w:cs="Arial" w:eastAsia="Arial" w:hAnsi="Arial"/>
          <w:b/>
          <w:bCs/>
          <w:color w:val="000000"/>
          <w:sz w:val="22"/>
          <w:szCs w:val="22"/>
        </w:rPr>
        <w:t xml:space="preserve">Expected Output</w:t>
      </w:r>
    </w:p>
    <w:p>
      <w:pPr>
        <w:spacing w:after="160" w:before="0" w:line="276"/>
      </w:pPr>
      <w:r>
        <w:rPr>
          <w:rFonts w:ascii="Arial" w:cs="Arial" w:eastAsia="Arial" w:hAnsi="Arial"/>
          <w:color w:val="000000"/>
          <w:sz w:val="22"/>
          <w:szCs w:val="22"/>
        </w:rPr>
        <w:t xml:space="preserve">Intervals become hash-chained evidence batches, with rejections recorded and published with reasons.</w:t>
      </w: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Week 3</w:t>
      </w:r>
    </w:p>
    <w:p>
      <w:pPr>
        <w:spacing w:after="100" w:before="0" w:line="276"/>
      </w:pPr>
      <w:r>
        <w:rPr>
          <w:rFonts w:ascii="Arial" w:cs="Arial" w:eastAsia="Arial" w:hAnsi="Arial"/>
          <w:color w:val="000000"/>
          <w:sz w:val="22"/>
          <w:szCs w:val="22"/>
        </w:rPr>
        <w:t xml:space="preserve">Multisig account setup</w:t>
      </w:r>
    </w:p>
    <w:p>
      <w:pPr>
        <w:spacing w:after="100" w:before="0" w:line="276"/>
      </w:pPr>
      <w:r>
        <w:rPr>
          <w:rFonts w:ascii="Arial" w:cs="Arial" w:eastAsia="Arial" w:hAnsi="Arial"/>
          <w:color w:val="000000"/>
          <w:sz w:val="22"/>
          <w:szCs w:val="22"/>
        </w:rPr>
        <w:t xml:space="preserve">Proposer service</w:t>
      </w:r>
    </w:p>
    <w:p>
      <w:pPr>
        <w:spacing w:after="100" w:before="0" w:line="276"/>
      </w:pPr>
      <w:r>
        <w:rPr>
          <w:rFonts w:ascii="Arial" w:cs="Arial" w:eastAsia="Arial" w:hAnsi="Arial"/>
          <w:color w:val="000000"/>
          <w:sz w:val="22"/>
          <w:szCs w:val="22"/>
        </w:rPr>
        <w:t xml:space="preserve">Independent verifier service</w:t>
      </w:r>
    </w:p>
    <w:p>
      <w:pPr>
        <w:spacing w:after="100" w:before="0" w:line="276"/>
      </w:pPr>
      <w:r>
        <w:rPr>
          <w:rFonts w:ascii="Arial" w:cs="Arial" w:eastAsia="Arial" w:hAnsi="Arial"/>
          <w:color w:val="000000"/>
          <w:sz w:val="22"/>
          <w:szCs w:val="22"/>
        </w:rPr>
        <w:t xml:space="preserve">Third signer onboarding</w:t>
      </w:r>
    </w:p>
    <w:p>
      <w:pPr>
        <w:spacing w:after="100" w:before="0" w:line="276"/>
      </w:pPr>
      <w:r>
        <w:rPr>
          <w:rFonts w:ascii="Arial" w:cs="Arial" w:eastAsia="Arial" w:hAnsi="Arial"/>
          <w:color w:val="000000"/>
          <w:sz w:val="22"/>
          <w:szCs w:val="22"/>
        </w:rPr>
        <w:t xml:space="preserve">Atomic anchoring transaction</w:t>
      </w:r>
    </w:p>
    <w:p>
      <w:pPr>
        <w:spacing w:after="100" w:before="0" w:line="276"/>
      </w:pPr>
      <w:r>
        <w:rPr>
          <w:rFonts w:ascii="Arial" w:cs="Arial" w:eastAsia="Arial" w:hAnsi="Arial"/>
          <w:color w:val="000000"/>
          <w:sz w:val="22"/>
          <w:szCs w:val="22"/>
        </w:rPr>
        <w:t xml:space="preserve">Negative tests</w:t>
      </w:r>
    </w:p>
    <w:p>
      <w:pPr>
        <w:keepNext/>
        <w:spacing w:after="120" w:before="0" w:line="276"/>
      </w:pPr>
      <w:r>
        <w:rPr>
          <w:rFonts w:ascii="Arial" w:cs="Arial" w:eastAsia="Arial" w:hAnsi="Arial"/>
          <w:b/>
          <w:bCs/>
          <w:color w:val="000000"/>
          <w:sz w:val="22"/>
          <w:szCs w:val="22"/>
        </w:rPr>
        <w:t xml:space="preserve">Expected Output</w:t>
      </w:r>
    </w:p>
    <w:p>
      <w:pPr>
        <w:spacing w:after="160" w:before="0" w:line="276"/>
      </w:pPr>
      <w:r>
        <w:rPr>
          <w:rFonts w:ascii="Arial" w:cs="Arial" w:eastAsia="Arial" w:hAnsi="Arial"/>
          <w:color w:val="000000"/>
          <w:sz w:val="22"/>
          <w:szCs w:val="22"/>
        </w:rPr>
        <w:t xml:space="preserve">The first 2-of-3 anchored batch on Stellar Testnet, with linked transactions proving a single signer cannot anchor.</w:t>
      </w: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Week 4</w:t>
      </w:r>
    </w:p>
    <w:p>
      <w:pPr>
        <w:spacing w:after="100" w:before="0" w:line="276"/>
      </w:pPr>
      <w:r>
        <w:rPr>
          <w:rFonts w:ascii="Arial" w:cs="Arial" w:eastAsia="Arial" w:hAnsi="Arial"/>
          <w:color w:val="000000"/>
          <w:sz w:val="22"/>
          <w:szCs w:val="22"/>
        </w:rPr>
        <w:t xml:space="preserve">Evidence feed</w:t>
      </w:r>
    </w:p>
    <w:p>
      <w:pPr>
        <w:spacing w:after="100" w:before="0" w:line="276"/>
      </w:pPr>
      <w:r>
        <w:rPr>
          <w:rFonts w:ascii="Arial" w:cs="Arial" w:eastAsia="Arial" w:hAnsi="Arial"/>
          <w:color w:val="000000"/>
          <w:sz w:val="22"/>
          <w:szCs w:val="22"/>
        </w:rPr>
        <w:t xml:space="preserve">Reconciliation page</w:t>
      </w:r>
    </w:p>
    <w:p>
      <w:pPr>
        <w:spacing w:after="100" w:before="0" w:line="276"/>
      </w:pPr>
      <w:r>
        <w:rPr>
          <w:rFonts w:ascii="Arial" w:cs="Arial" w:eastAsia="Arial" w:hAnsi="Arial"/>
          <w:color w:val="000000"/>
          <w:sz w:val="22"/>
          <w:szCs w:val="22"/>
        </w:rPr>
        <w:t xml:space="preserve">30-day public dataset replay</w:t>
      </w:r>
    </w:p>
    <w:p>
      <w:pPr>
        <w:spacing w:after="100" w:before="0" w:line="276"/>
      </w:pPr>
      <w:r>
        <w:rPr>
          <w:rFonts w:ascii="Arial" w:cs="Arial" w:eastAsia="Arial" w:hAnsi="Arial"/>
          <w:color w:val="000000"/>
          <w:sz w:val="22"/>
          <w:szCs w:val="22"/>
        </w:rPr>
        <w:t xml:space="preserve">Fault-fixture replay</w:t>
      </w:r>
    </w:p>
    <w:p>
      <w:pPr>
        <w:spacing w:after="100" w:before="0" w:line="276"/>
      </w:pPr>
      <w:r>
        <w:rPr>
          <w:rFonts w:ascii="Arial" w:cs="Arial" w:eastAsia="Arial" w:hAnsi="Arial"/>
          <w:color w:val="000000"/>
          <w:sz w:val="22"/>
          <w:szCs w:val="22"/>
        </w:rPr>
        <w:t xml:space="preserve">QA</w:t>
      </w:r>
    </w:p>
    <w:p>
      <w:pPr>
        <w:spacing w:after="100" w:before="0" w:line="276"/>
      </w:pPr>
      <w:r>
        <w:rPr>
          <w:rFonts w:ascii="Arial" w:cs="Arial" w:eastAsia="Arial" w:hAnsi="Arial"/>
          <w:color w:val="000000"/>
          <w:sz w:val="22"/>
          <w:szCs w:val="22"/>
        </w:rPr>
        <w:t xml:space="preserve">Write-up and demo video</w:t>
      </w:r>
    </w:p>
    <w:p>
      <w:pPr>
        <w:keepNext/>
        <w:spacing w:after="120" w:before="0" w:line="276"/>
      </w:pPr>
      <w:r>
        <w:rPr>
          <w:rFonts w:ascii="Arial" w:cs="Arial" w:eastAsia="Arial" w:hAnsi="Arial"/>
          <w:b/>
          <w:bCs/>
          <w:color w:val="000000"/>
          <w:sz w:val="22"/>
          <w:szCs w:val="22"/>
        </w:rPr>
        <w:t xml:space="preserve">Expected Output</w:t>
      </w:r>
    </w:p>
    <w:p>
      <w:pPr>
        <w:spacing w:after="160" w:before="0" w:line="276"/>
      </w:pPr>
      <w:r>
        <w:rPr>
          <w:rFonts w:ascii="Arial" w:cs="Arial" w:eastAsia="Arial" w:hAnsi="Arial"/>
          <w:color w:val="000000"/>
          <w:sz w:val="22"/>
          <w:szCs w:val="22"/>
        </w:rPr>
        <w:t xml:space="preserve">Complete public verification pipeline with a non-empty rejection log and a reconciliation page anyone can run.</w:t>
      </w: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6. Evidence of Completion</w:t>
      </w:r>
    </w:p>
    <w:p>
      <w:pPr>
        <w:keepNext/>
        <w:spacing w:after="160" w:before="280" w:line="276"/>
      </w:pPr>
      <w:r>
        <w:rPr>
          <w:rFonts w:ascii="Arial" w:cs="Arial" w:eastAsia="Arial" w:hAnsi="Arial"/>
          <w:b/>
          <w:bCs/>
          <w:color w:val="000000"/>
          <w:sz w:val="32"/>
          <w:szCs w:val="32"/>
        </w:rPr>
        <w:t xml:space="preserve">Deliverable 1</w:t>
      </w:r>
    </w:p>
    <w:p>
      <w:pPr>
        <w:keepNext/>
        <w:spacing w:after="120" w:before="0" w:line="276"/>
      </w:pPr>
      <w:r>
        <w:rPr>
          <w:rFonts w:ascii="Arial" w:cs="Arial" w:eastAsia="Arial" w:hAnsi="Arial"/>
          <w:b/>
          <w:bCs/>
          <w:color w:val="000000"/>
          <w:sz w:val="22"/>
          <w:szCs w:val="22"/>
        </w:rPr>
        <w:t xml:space="preserve">Evidence</w:t>
      </w:r>
    </w:p>
    <w:p>
      <w:pPr>
        <w:pStyle w:val="ListParagraph"/>
        <w:numPr>
          <w:ilvl w:val="0"/>
          <w:numId w:val="2"/>
        </w:numPr>
        <w:spacing w:after="40" w:before="0" w:line="276"/>
      </w:pPr>
      <w:r>
        <w:rPr>
          <w:rFonts w:ascii="Arial" w:cs="Arial" w:eastAsia="Arial" w:hAnsi="Arial"/>
          <w:color w:val="000000"/>
          <w:sz w:val="22"/>
          <w:szCs w:val="22"/>
        </w:rPr>
        <w:t xml:space="preserve">Public GitHub repository</w:t>
      </w:r>
    </w:p>
    <w:p>
      <w:pPr>
        <w:pStyle w:val="ListParagraph"/>
        <w:numPr>
          <w:ilvl w:val="0"/>
          <w:numId w:val="2"/>
        </w:numPr>
        <w:spacing w:after="40" w:before="0" w:line="276"/>
      </w:pPr>
      <w:r>
        <w:rPr>
          <w:rFonts w:ascii="Arial" w:cs="Arial" w:eastAsia="Arial" w:hAnsi="Arial"/>
          <w:color w:val="000000"/>
          <w:sz w:val="22"/>
          <w:szCs w:val="22"/>
        </w:rPr>
        <w:t xml:space="preserve">Three register-map configuration files</w:t>
      </w:r>
    </w:p>
    <w:p>
      <w:pPr>
        <w:pStyle w:val="ListParagraph"/>
        <w:numPr>
          <w:ilvl w:val="0"/>
          <w:numId w:val="2"/>
        </w:numPr>
        <w:spacing w:after="40" w:before="0" w:line="276"/>
      </w:pPr>
      <w:r>
        <w:rPr>
          <w:rFonts w:ascii="Arial" w:cs="Arial" w:eastAsia="Arial" w:hAnsi="Arial"/>
          <w:color w:val="000000"/>
          <w:sz w:val="22"/>
          <w:szCs w:val="22"/>
        </w:rPr>
        <w:t xml:space="preserve">Adapter harness output showing identical results across adapters</w:t>
      </w:r>
    </w:p>
    <w:p>
      <w:pPr>
        <w:pStyle w:val="ListParagraph"/>
        <w:numPr>
          <w:ilvl w:val="0"/>
          <w:numId w:val="2"/>
        </w:numPr>
        <w:spacing w:after="40" w:before="0" w:line="276"/>
      </w:pPr>
      <w:r>
        <w:rPr>
          <w:rFonts w:ascii="Arial" w:cs="Arial" w:eastAsia="Arial" w:hAnsi="Arial"/>
          <w:color w:val="000000"/>
          <w:sz w:val="22"/>
          <w:szCs w:val="22"/>
        </w:rPr>
        <w:t xml:space="preserve">CI run</w:t>
      </w:r>
    </w:p>
    <w:p>
      <w:pPr>
        <w:spacing w:after="80" w:before="0" w:line="276"/>
      </w:pP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Deliverable 2</w:t>
      </w:r>
    </w:p>
    <w:p>
      <w:pPr>
        <w:keepNext/>
        <w:spacing w:after="120" w:before="0" w:line="276"/>
      </w:pPr>
      <w:r>
        <w:rPr>
          <w:rFonts w:ascii="Arial" w:cs="Arial" w:eastAsia="Arial" w:hAnsi="Arial"/>
          <w:b/>
          <w:bCs/>
          <w:color w:val="000000"/>
          <w:sz w:val="22"/>
          <w:szCs w:val="22"/>
        </w:rPr>
        <w:t xml:space="preserve">Evidence</w:t>
      </w:r>
    </w:p>
    <w:p>
      <w:pPr>
        <w:pStyle w:val="ListParagraph"/>
        <w:numPr>
          <w:ilvl w:val="0"/>
          <w:numId w:val="2"/>
        </w:numPr>
        <w:spacing w:after="40" w:before="0" w:line="276"/>
      </w:pPr>
      <w:r>
        <w:rPr>
          <w:rFonts w:ascii="Arial" w:cs="Arial" w:eastAsia="Arial" w:hAnsi="Arial"/>
          <w:color w:val="000000"/>
          <w:sz w:val="22"/>
          <w:szCs w:val="22"/>
        </w:rPr>
        <w:t xml:space="preserve">Sample evidence batches and manifests</w:t>
      </w:r>
    </w:p>
    <w:p>
      <w:pPr>
        <w:pStyle w:val="ListParagraph"/>
        <w:numPr>
          <w:ilvl w:val="0"/>
          <w:numId w:val="2"/>
        </w:numPr>
        <w:spacing w:after="40" w:before="0" w:line="276"/>
      </w:pPr>
      <w:r>
        <w:rPr>
          <w:rFonts w:ascii="Arial" w:cs="Arial" w:eastAsia="Arial" w:hAnsi="Arial"/>
          <w:color w:val="000000"/>
          <w:sz w:val="22"/>
          <w:szCs w:val="22"/>
        </w:rPr>
        <w:t xml:space="preserve">Accepted and rejected ledgers with reason codes</w:t>
      </w:r>
    </w:p>
    <w:p>
      <w:pPr>
        <w:pStyle w:val="ListParagraph"/>
        <w:numPr>
          <w:ilvl w:val="0"/>
          <w:numId w:val="2"/>
        </w:numPr>
        <w:spacing w:after="40" w:before="0" w:line="276"/>
      </w:pPr>
      <w:r>
        <w:rPr>
          <w:rFonts w:ascii="Arial" w:cs="Arial" w:eastAsia="Arial" w:hAnsi="Arial"/>
          <w:color w:val="000000"/>
          <w:sz w:val="22"/>
          <w:szCs w:val="22"/>
        </w:rPr>
        <w:t xml:space="preserve">Conformance suite run (CI link)</w:t>
      </w:r>
    </w:p>
    <w:p>
      <w:pPr>
        <w:spacing w:after="80" w:before="0" w:line="276"/>
      </w:pP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Deliverable 3</w:t>
      </w:r>
    </w:p>
    <w:p>
      <w:pPr>
        <w:keepNext/>
        <w:spacing w:after="120" w:before="0" w:line="276"/>
      </w:pPr>
      <w:r>
        <w:rPr>
          <w:rFonts w:ascii="Arial" w:cs="Arial" w:eastAsia="Arial" w:hAnsi="Arial"/>
          <w:b/>
          <w:bCs/>
          <w:color w:val="000000"/>
          <w:sz w:val="22"/>
          <w:szCs w:val="22"/>
        </w:rPr>
        <w:t xml:space="preserve">Evidence</w:t>
      </w:r>
    </w:p>
    <w:p>
      <w:pPr>
        <w:pStyle w:val="ListParagraph"/>
        <w:numPr>
          <w:ilvl w:val="0"/>
          <w:numId w:val="2"/>
        </w:numPr>
        <w:spacing w:after="40" w:before="0" w:line="276"/>
      </w:pPr>
      <w:r>
        <w:rPr>
          <w:rFonts w:ascii="Arial" w:cs="Arial" w:eastAsia="Arial" w:hAnsi="Arial"/>
          <w:color w:val="000000"/>
          <w:sz w:val="22"/>
          <w:szCs w:val="22"/>
        </w:rPr>
        <w:t xml:space="preserve">Multisig account on stellar.expert showing the three signers and thresholds</w:t>
      </w:r>
    </w:p>
    <w:p>
      <w:pPr>
        <w:pStyle w:val="ListParagraph"/>
        <w:numPr>
          <w:ilvl w:val="0"/>
          <w:numId w:val="2"/>
        </w:numPr>
        <w:spacing w:after="40" w:before="0" w:line="276"/>
      </w:pPr>
      <w:r>
        <w:rPr>
          <w:rFonts w:ascii="Arial" w:cs="Arial" w:eastAsia="Arial" w:hAnsi="Arial"/>
          <w:color w:val="000000"/>
          <w:sz w:val="22"/>
          <w:szCs w:val="22"/>
        </w:rPr>
        <w:t xml:space="preserve">Stellar Testnet transaction hashes of anchored batches</w:t>
      </w:r>
    </w:p>
    <w:p>
      <w:pPr>
        <w:pStyle w:val="ListParagraph"/>
        <w:numPr>
          <w:ilvl w:val="0"/>
          <w:numId w:val="2"/>
        </w:numPr>
        <w:spacing w:after="40" w:before="0" w:line="276"/>
      </w:pPr>
      <w:r>
        <w:rPr>
          <w:rFonts w:ascii="Arial" w:cs="Arial" w:eastAsia="Arial" w:hAnsi="Arial"/>
          <w:color w:val="000000"/>
          <w:sz w:val="22"/>
          <w:szCs w:val="22"/>
        </w:rPr>
        <w:t xml:space="preserve">Transaction attempts demonstrating single-signer rejection</w:t>
      </w:r>
    </w:p>
    <w:p>
      <w:pPr>
        <w:pStyle w:val="ListParagraph"/>
        <w:numPr>
          <w:ilvl w:val="0"/>
          <w:numId w:val="2"/>
        </w:numPr>
        <w:spacing w:after="40" w:before="0" w:line="276"/>
      </w:pPr>
      <w:r>
        <w:rPr>
          <w:rFonts w:ascii="Arial" w:cs="Arial" w:eastAsia="Arial" w:hAnsi="Arial"/>
          <w:color w:val="000000"/>
          <w:sz w:val="22"/>
          <w:szCs w:val="22"/>
        </w:rPr>
        <w:t xml:space="preserve">Independent verifier logs</w:t>
      </w:r>
    </w:p>
    <w:p>
      <w:pPr>
        <w:spacing w:after="80" w:before="0" w:line="276"/>
      </w:pPr>
    </w:p>
    <w:p>
      <w:pPr>
        <w:pBdr>
          <w:bottom w:val="single" w:color="999999" w:sz="6" w:space="1"/>
        </w:pBdr>
        <w:spacing w:after="280" w:before="120"/>
      </w:pPr>
    </w:p>
    <w:p>
      <w:pPr>
        <w:keepNext/>
        <w:spacing w:after="160" w:before="280" w:line="276"/>
      </w:pPr>
      <w:r>
        <w:rPr>
          <w:rFonts w:ascii="Arial" w:cs="Arial" w:eastAsia="Arial" w:hAnsi="Arial"/>
          <w:b/>
          <w:bCs/>
          <w:color w:val="000000"/>
          <w:sz w:val="32"/>
          <w:szCs w:val="32"/>
        </w:rPr>
        <w:t xml:space="preserve">Deliverable 4</w:t>
      </w:r>
    </w:p>
    <w:p>
      <w:pPr>
        <w:keepNext/>
        <w:spacing w:after="120" w:before="0" w:line="276"/>
      </w:pPr>
      <w:r>
        <w:rPr>
          <w:rFonts w:ascii="Arial" w:cs="Arial" w:eastAsia="Arial" w:hAnsi="Arial"/>
          <w:b/>
          <w:bCs/>
          <w:color w:val="000000"/>
          <w:sz w:val="22"/>
          <w:szCs w:val="22"/>
        </w:rPr>
        <w:t xml:space="preserve">Evidence</w:t>
      </w:r>
    </w:p>
    <w:p>
      <w:pPr>
        <w:pStyle w:val="ListParagraph"/>
        <w:numPr>
          <w:ilvl w:val="0"/>
          <w:numId w:val="2"/>
        </w:numPr>
        <w:spacing w:after="40" w:before="0" w:line="276"/>
      </w:pPr>
      <w:r>
        <w:rPr>
          <w:rFonts w:ascii="Arial" w:cs="Arial" w:eastAsia="Arial" w:hAnsi="Arial"/>
          <w:color w:val="000000"/>
          <w:sz w:val="22"/>
          <w:szCs w:val="22"/>
        </w:rPr>
        <w:t xml:space="preserve">Live reconciliation page URL</w:t>
      </w:r>
    </w:p>
    <w:p>
      <w:pPr>
        <w:pStyle w:val="ListParagraph"/>
        <w:numPr>
          <w:ilvl w:val="0"/>
          <w:numId w:val="2"/>
        </w:numPr>
        <w:spacing w:after="40" w:before="0" w:line="276"/>
      </w:pPr>
      <w:r>
        <w:rPr>
          <w:rFonts w:ascii="Arial" w:cs="Arial" w:eastAsia="Arial" w:hAnsi="Arial"/>
          <w:color w:val="000000"/>
          <w:sz w:val="22"/>
          <w:szCs w:val="22"/>
        </w:rPr>
        <w:t xml:space="preserve">Public evidence feed URL</w:t>
      </w:r>
    </w:p>
    <w:p>
      <w:pPr>
        <w:pStyle w:val="ListParagraph"/>
        <w:numPr>
          <w:ilvl w:val="0"/>
          <w:numId w:val="2"/>
        </w:numPr>
        <w:spacing w:after="40" w:before="0" w:line="276"/>
      </w:pPr>
      <w:r>
        <w:rPr>
          <w:rFonts w:ascii="Arial" w:cs="Arial" w:eastAsia="Arial" w:hAnsi="Arial"/>
          <w:color w:val="000000"/>
          <w:sz w:val="22"/>
          <w:szCs w:val="22"/>
        </w:rPr>
        <w:t xml:space="preserve">Replay write-up linking every transaction</w:t>
      </w:r>
    </w:p>
    <w:p>
      <w:pPr>
        <w:pStyle w:val="ListParagraph"/>
        <w:numPr>
          <w:ilvl w:val="0"/>
          <w:numId w:val="2"/>
        </w:numPr>
        <w:spacing w:after="40" w:before="0" w:line="276"/>
      </w:pPr>
      <w:r>
        <w:rPr>
          <w:rFonts w:ascii="Arial" w:cs="Arial" w:eastAsia="Arial" w:hAnsi="Arial"/>
          <w:color w:val="000000"/>
          <w:sz w:val="22"/>
          <w:szCs w:val="22"/>
        </w:rPr>
        <w:t xml:space="preserve">Rejection log from fault fixtures</w:t>
      </w:r>
    </w:p>
    <w:p>
      <w:pPr>
        <w:pStyle w:val="ListParagraph"/>
        <w:numPr>
          <w:ilvl w:val="0"/>
          <w:numId w:val="2"/>
        </w:numPr>
        <w:spacing w:after="40" w:before="0" w:line="276"/>
      </w:pPr>
      <w:r>
        <w:rPr>
          <w:rFonts w:ascii="Arial" w:cs="Arial" w:eastAsia="Arial" w:hAnsi="Arial"/>
          <w:color w:val="000000"/>
          <w:sz w:val="22"/>
          <w:szCs w:val="22"/>
        </w:rPr>
        <w:t xml:space="preserve">End-to-end demonstration video</w:t>
      </w:r>
    </w:p>
    <w:p>
      <w:pPr>
        <w:spacing w:after="80" w:before="0" w:line="276"/>
      </w:pP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Evidence Verification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center"/>
            </w:pPr>
            <w:r>
              <w:rPr>
                <w:rFonts w:ascii="Arial" w:cs="Arial" w:eastAsia="Arial" w:hAnsi="Arial"/>
                <w:b/>
                <w:bCs/>
                <w:color w:val="000000"/>
                <w:sz w:val="20"/>
                <w:szCs w:val="20"/>
              </w:rPr>
              <w:t xml:space="preserve">Deliverable</w:t>
            </w:r>
          </w:p>
        </w:tc>
        <w:tc>
          <w:tcPr>
            <w:tcW w:type="pct" w:w="24%"/>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center"/>
            </w:pPr>
            <w:r>
              <w:rPr>
                <w:rFonts w:ascii="Arial" w:cs="Arial" w:eastAsia="Arial" w:hAnsi="Arial"/>
                <w:b/>
                <w:bCs/>
                <w:color w:val="000000"/>
                <w:sz w:val="20"/>
                <w:szCs w:val="20"/>
              </w:rPr>
              <w:t xml:space="preserve">Evidence Present</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center"/>
            </w:pPr>
            <w:r>
              <w:rPr>
                <w:rFonts w:ascii="Arial" w:cs="Arial" w:eastAsia="Arial" w:hAnsi="Arial"/>
                <w:b/>
                <w:bCs/>
                <w:color w:val="000000"/>
                <w:sz w:val="20"/>
                <w:szCs w:val="20"/>
              </w:rPr>
              <w:t xml:space="preserve">Partial</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center"/>
            </w:pPr>
            <w:r>
              <w:rPr>
                <w:rFonts w:ascii="Arial" w:cs="Arial" w:eastAsia="Arial" w:hAnsi="Arial"/>
                <w:b/>
                <w:bCs/>
                <w:color w:val="000000"/>
                <w:sz w:val="20"/>
                <w:szCs w:val="20"/>
              </w:rPr>
              <w:t xml:space="preserve">Missing</w:t>
            </w:r>
          </w:p>
        </w:tc>
      </w:tr>
      <w:tr>
        <w:tc>
          <w:tcPr>
            <w:tcW w:type="pct" w:w="4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Meter-Agnostic Ingestion</w:t>
            </w:r>
          </w:p>
        </w:tc>
        <w:tc>
          <w:tcPr>
            <w:tcW w:type="pct" w:w="24%"/>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r>
      <w:tr>
        <w:tc>
          <w:tcPr>
            <w:tcW w:type="pct" w:w="4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Evidence Batches &amp; Hash Chain</w:t>
            </w:r>
          </w:p>
        </w:tc>
        <w:tc>
          <w:tcPr>
            <w:tcW w:type="pct" w:w="24%"/>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r>
      <w:tr>
        <w:tc>
          <w:tcPr>
            <w:tcW w:type="pct" w:w="4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Multi-Party Authorization</w:t>
            </w:r>
          </w:p>
        </w:tc>
        <w:tc>
          <w:tcPr>
            <w:tcW w:type="pct" w:w="24%"/>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r>
      <w:tr>
        <w:tc>
          <w:tcPr>
            <w:tcW w:type="pct" w:w="40%"/>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Evidence Feed &amp; Validation</w:t>
            </w:r>
          </w:p>
        </w:tc>
        <w:tc>
          <w:tcPr>
            <w:tcW w:type="pct" w:w="24%"/>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c>
          <w:tcPr>
            <w:tcW w:type="pct" w:w="18%"/>
            <w:tcBorders>
              <w:top w:val="single" w:color="000000" w:sz="4"/>
              <w:left w:val="single" w:color="000000" w:sz="4"/>
              <w:bottom w:val="single" w:color="000000" w:sz="4"/>
              <w:right w:val="single" w:color="000000" w:sz="4"/>
            </w:tcBorders>
            <w:tcMar>
              <w:top w:type="dxa" w:w="200"/>
              <w:left w:type="dxa" w:w="160"/>
              <w:bottom w:type="dxa" w:w="200"/>
              <w:right w:type="dxa" w:w="160"/>
            </w:tcMar>
            <w:vAlign w:val="center"/>
          </w:tcPr>
          <w:p>
            <w:pPr>
              <w:jc w:val="left"/>
            </w:pPr>
            <w:r>
              <w:rPr>
                <w:rFonts w:ascii="Arial" w:cs="Arial" w:eastAsia="Arial" w:hAnsi="Arial"/>
                <w:color w:val="000000"/>
                <w:sz w:val="20"/>
                <w:szCs w:val="20"/>
              </w:rPr>
              <w:t xml:space="preserve">☐</w:t>
            </w:r>
          </w:p>
        </w:tc>
      </w:tr>
    </w:tbl>
    <w:p>
      <w:pPr>
        <w:spacing w:after="120" w:before="0" w:line="276"/>
      </w:pPr>
    </w:p>
    <w:p>
      <w:pPr>
        <w:pBdr>
          <w:bottom w:val="single" w:color="999999" w:sz="6" w:space="1"/>
        </w:pBdr>
        <w:spacing w:after="280" w:before="120"/>
      </w:pPr>
    </w:p>
    <w:p>
      <w:pPr>
        <w:keepNext/>
        <w:spacing w:after="200" w:before="360" w:line="276"/>
      </w:pPr>
      <w:r>
        <w:rPr>
          <w:rFonts w:ascii="Arial" w:cs="Arial" w:eastAsia="Arial" w:hAnsi="Arial"/>
          <w:b/>
          <w:bCs/>
          <w:color w:val="000000"/>
          <w:sz w:val="40"/>
          <w:szCs w:val="40"/>
        </w:rPr>
        <w:t xml:space="preserve">7. Next-Step Alignment</w:t>
      </w:r>
    </w:p>
    <w:p>
      <w:pPr>
        <w:spacing w:after="160" w:before="0" w:line="276"/>
      </w:pPr>
      <w:r>
        <w:rPr>
          <w:rFonts w:ascii="Arial" w:cs="Arial" w:eastAsia="Arial" w:hAnsi="Arial"/>
          <w:color w:val="000000"/>
          <w:sz w:val="22"/>
          <w:szCs w:val="22"/>
        </w:rPr>
        <w:t xml:space="preserve">Following this Instaward, QWATT will be positioned to pursue the remaining layers in separate, independently scoped grants: a second Instaward for issuance semantics on testnet (min(A,B) tokenization, floor-never-round accounting, double-mint protection, burn on redemption); a third Instaward moving the independent verifier into a Soroban contract, so the team is no longer an operator in the authorization path; and an SCF Build Award for the physical pilot (dual-metered rooftop), assurance audit, legal structure and mainnet readiness. Each stage has its own acceptance criteria and none depends on approval of the next.</w:t>
      </w:r>
    </w:p>
    <w:p>
      <w:pPr>
        <w:pBdr>
          <w:bottom w:val="single" w:color="999999" w:sz="6" w:space="1"/>
        </w:pBdr>
        <w:spacing w:after="28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2026-09-09T09:20:04.312Z</dcterms:created>
  <dcterms:modified xsi:type="dcterms:W3CDTF">2026-09-09T09:20:04.313Z</dcterms:modified>
</cp:coreProperties>
</file>

<file path=docProps/custom.xml><?xml version="1.0" encoding="utf-8"?>
<Properties xmlns="http://schemas.openxmlformats.org/officeDocument/2006/custom-properties" xmlns:vt="http://schemas.openxmlformats.org/officeDocument/2006/docPropsVTypes"/>
</file>