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49487"/>
          <w:sz w:val="18"/>
          <w:szCs w:val="18"/>
        </w:rPr>
        <w:t xml:space="preserve">CONCEPT MEMO — WORKING DRAFT</w:t>
      </w:r>
    </w:p>
    <w:p>
      <w:pPr>
        <w:spacing w:after="60"/>
      </w:pPr>
      <w:r>
        <w:rPr>
          <w:b/>
          <w:bCs/>
          <w:color w:val="0B1C2C"/>
          <w:sz w:val="40"/>
          <w:szCs w:val="40"/>
        </w:rPr>
        <w:t xml:space="preserve">AI Usage Rewards: Turning Platform Activity Into Points, NFTs, or Redeemable Credit</w:t>
      </w:r>
    </w:p>
    <w:p>
      <w:pPr>
        <w:spacing w:after="320"/>
      </w:pPr>
      <w:r>
        <w:rPr>
          <w:i/>
          <w:iCs/>
          <w:color w:val="5C7080"/>
          <w:sz w:val="20"/>
          <w:szCs w:val="20"/>
        </w:rPr>
        <w:t xml:space="preserve">Exploratory concept — not a final product spec or legal opinion. Prepared for internal discussion.</w:t>
      </w:r>
    </w:p>
    <w:p>
      <w:pPr>
        <w:pStyle w:val="Heading1"/>
        <w:spacing w:after="160" w:before="360"/>
      </w:pPr>
      <w:r>
        <w:rPr>
          <w:b/>
          <w:bCs/>
          <w:color w:val="0B1C2C"/>
          <w:sz w:val="30"/>
          <w:szCs w:val="30"/>
        </w:rPr>
        <w:t xml:space="preserve">1. The idea in one paragraph</w:t>
      </w:r>
    </w:p>
    <w:p>
      <w:pPr>
        <w:spacing w:after="160"/>
      </w:pPr>
      <w:r>
        <w:rPr>
          <w:i w:val="false"/>
          <w:iCs w:val="false"/>
          <w:color w:val="222222"/>
          <w:sz w:val="21"/>
          <w:szCs w:val="21"/>
        </w:rPr>
        <w:t xml:space="preserve">Your team is already generating a usable signal: how much AI/token processing goes into running the automated O&amp;M reporting system (the work Diego's system does on the Chile BESS plant and other client sites). The proposal is to convert that usage signal into something people can hold and spend — points, an NFT, or a crypto-style credit — redeemable for real things: physical goods (bread, clothing), or labor-hour credit (one hour of someone's work time). This memo lays out three ways to build that, from simplest to most complex, plus the real regulatory considerations that come with letting a digital credit buy physical goods or labor.</w:t>
      </w:r>
    </w:p>
    <w:p>
      <w:pPr>
        <w:pStyle w:val="Heading1"/>
        <w:spacing w:after="160" w:before="360"/>
      </w:pPr>
      <w:r>
        <w:rPr>
          <w:b/>
          <w:bCs/>
          <w:color w:val="0B1C2C"/>
          <w:sz w:val="30"/>
          <w:szCs w:val="30"/>
        </w:rPr>
        <w:t xml:space="preserve">2. Three models, ordered by risk and complexity</w:t>
      </w:r>
    </w:p>
    <w:p>
      <w:pPr>
        <w:spacing w:after="160"/>
      </w:pPr>
      <w:r>
        <w:rPr>
          <w:i w:val="false"/>
          <w:iCs w:val="false"/>
          <w:color w:val="222222"/>
          <w:sz w:val="21"/>
          <w:szCs w:val="21"/>
        </w:rPr>
        <w:t xml:space="preserve">These aren't mutually exclusive — most real programs start at Model A and layer in B or C once there's real usage data and legal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9350"/>
            <w:gridSpan w:val="2"/>
            <w:shd w:fill="0B1C2C" w:val="clear"/>
            <w:tcMar>
              <w:top w:type="dxa" w:w="120"/>
              <w:left w:type="dxa" w:w="180"/>
              <w:bottom w:type="dxa" w:w="120"/>
              <w:right w:type="dxa" w:w="180"/>
            </w:tcMar>
          </w:tcPr>
          <w:p>
            <w:r>
              <w:rPr>
                <w:b/>
                <w:bCs/>
                <w:color w:val="FFFFFF"/>
                <w:sz w:val="24"/>
                <w:szCs w:val="24"/>
              </w:rPr>
              <w:t xml:space="preserve">MODEL A — Closed-loop points</w:t>
            </w:r>
          </w:p>
          <w:p>
            <w:r>
              <w:rPr>
                <w:i/>
                <w:iCs/>
                <w:color w:val="9FDAD3"/>
                <w:sz w:val="18"/>
                <w:szCs w:val="18"/>
              </w:rPr>
              <w:t xml:space="preserve">Lowest risk · fastest to launch · no blockchain required</w:t>
            </w:r>
          </w:p>
        </w:tc>
      </w:tr>
      <w:tr>
        <w:tc>
          <w:tcPr>
            <w:tcW w:type="dxa" w:w="2800"/>
            <w:shd w:fill="F0F5F4" w:val="clear"/>
            <w:tcMar>
              <w:top w:type="dxa" w:w="100"/>
              <w:left w:type="dxa" w:w="180"/>
              <w:bottom w:type="dxa" w:w="100"/>
              <w:right w:type="dxa" w:w="120"/>
            </w:tcMar>
          </w:tcPr>
          <w:p>
            <w:r>
              <w:rPr>
                <w:b/>
                <w:bCs/>
                <w:color w:val="0B1C2C"/>
                <w:sz w:val="19"/>
                <w:szCs w:val="19"/>
              </w:rPr>
              <w:t xml:space="preserve">How it works</w:t>
            </w:r>
          </w:p>
        </w:tc>
        <w:tc>
          <w:tcPr>
            <w:tcW w:type="dxa" w:w="6550"/>
            <w:tcMar>
              <w:top w:type="dxa" w:w="100"/>
              <w:left w:type="dxa" w:w="120"/>
              <w:bottom w:type="dxa" w:w="100"/>
              <w:right w:type="dxa" w:w="180"/>
            </w:tcMar>
          </w:tcPr>
          <w:p>
            <w:r>
              <w:rPr>
                <w:color w:val="222222"/>
                <w:sz w:val="19"/>
                <w:szCs w:val="19"/>
              </w:rPr>
              <w:t xml:space="preserve">Every unit of AI/token usage (e.g. per 1,000 tokens processed, per report generated, per KPI pulled) earns points inside your own system — a database, not a blockchain.</w:t>
            </w:r>
          </w:p>
        </w:tc>
      </w:tr>
      <w:tr>
        <w:tc>
          <w:tcPr>
            <w:tcW w:type="dxa" w:w="2800"/>
            <w:shd w:fill="F0F5F4" w:val="clear"/>
            <w:tcMar>
              <w:top w:type="dxa" w:w="100"/>
              <w:left w:type="dxa" w:w="180"/>
              <w:bottom w:type="dxa" w:w="100"/>
              <w:right w:type="dxa" w:w="120"/>
            </w:tcMar>
          </w:tcPr>
          <w:p>
            <w:r>
              <w:rPr>
                <w:b/>
                <w:bCs/>
                <w:color w:val="0B1C2C"/>
                <w:sz w:val="19"/>
                <w:szCs w:val="19"/>
              </w:rPr>
              <w:t xml:space="preserve">Redemption</w:t>
            </w:r>
          </w:p>
        </w:tc>
        <w:tc>
          <w:tcPr>
            <w:tcW w:type="dxa" w:w="6550"/>
            <w:tcMar>
              <w:top w:type="dxa" w:w="100"/>
              <w:left w:type="dxa" w:w="120"/>
              <w:bottom w:type="dxa" w:w="100"/>
              <w:right w:type="dxa" w:w="180"/>
            </w:tcMar>
          </w:tcPr>
          <w:p>
            <w:r>
              <w:rPr>
                <w:color w:val="222222"/>
                <w:sz w:val="19"/>
                <w:szCs w:val="19"/>
              </w:rPr>
              <w:t xml:space="preserve">Points redeemed only through you: gift cards, partner discounts, merchandise, or internal labor-hour credit (e.g. "200 points = 1 hour of Diego's team's time").</w:t>
            </w:r>
          </w:p>
        </w:tc>
      </w:tr>
      <w:tr>
        <w:tc>
          <w:tcPr>
            <w:tcW w:type="dxa" w:w="2800"/>
            <w:shd w:fill="F0F5F4" w:val="clear"/>
            <w:tcMar>
              <w:top w:type="dxa" w:w="100"/>
              <w:left w:type="dxa" w:w="180"/>
              <w:bottom w:type="dxa" w:w="100"/>
              <w:right w:type="dxa" w:w="120"/>
            </w:tcMar>
          </w:tcPr>
          <w:p>
            <w:r>
              <w:rPr>
                <w:b/>
                <w:bCs/>
                <w:color w:val="0B1C2C"/>
                <w:sz w:val="19"/>
                <w:szCs w:val="19"/>
              </w:rPr>
              <w:t xml:space="preserve">Regulatory shape</w:t>
            </w:r>
          </w:p>
        </w:tc>
        <w:tc>
          <w:tcPr>
            <w:tcW w:type="dxa" w:w="6550"/>
            <w:tcMar>
              <w:top w:type="dxa" w:w="100"/>
              <w:left w:type="dxa" w:w="120"/>
              <w:bottom w:type="dxa" w:w="100"/>
              <w:right w:type="dxa" w:w="180"/>
            </w:tcMar>
          </w:tcPr>
          <w:p>
            <w:r>
              <w:rPr>
                <w:color w:val="222222"/>
                <w:sz w:val="19"/>
                <w:szCs w:val="19"/>
              </w:rPr>
              <w:t xml:space="preserve">Functions like an airline or coffee-shop loyalty program. Generally not treated as money, a security, or a financial instrument, as long as points aren't sold, transferable between users, or redeemable for cash.</w:t>
            </w:r>
          </w:p>
        </w:tc>
      </w:tr>
      <w:tr>
        <w:tc>
          <w:tcPr>
            <w:tcW w:type="dxa" w:w="2800"/>
            <w:shd w:fill="F0F5F4" w:val="clear"/>
            <w:tcMar>
              <w:top w:type="dxa" w:w="100"/>
              <w:left w:type="dxa" w:w="180"/>
              <w:bottom w:type="dxa" w:w="100"/>
              <w:right w:type="dxa" w:w="120"/>
            </w:tcMar>
          </w:tcPr>
          <w:p>
            <w:r>
              <w:rPr>
                <w:b/>
                <w:bCs/>
                <w:color w:val="0B1C2C"/>
                <w:sz w:val="19"/>
                <w:szCs w:val="19"/>
              </w:rPr>
              <w:t xml:space="preserve">What it's good for</w:t>
            </w:r>
          </w:p>
        </w:tc>
        <w:tc>
          <w:tcPr>
            <w:tcW w:type="dxa" w:w="6550"/>
            <w:tcMar>
              <w:top w:type="dxa" w:w="100"/>
              <w:left w:type="dxa" w:w="120"/>
              <w:bottom w:type="dxa" w:w="100"/>
              <w:right w:type="dxa" w:w="180"/>
            </w:tcMar>
          </w:tcPr>
          <w:p>
            <w:r>
              <w:rPr>
                <w:color w:val="222222"/>
                <w:sz w:val="19"/>
                <w:szCs w:val="19"/>
              </w:rPr>
              <w:t xml:space="preserve">Proving the concept, collecting real usage data, and rewarding clients/team without opening a compliance question.</w:t>
            </w:r>
          </w:p>
        </w:tc>
      </w:tr>
    </w:tbl>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9350"/>
            <w:gridSpan w:val="2"/>
            <w:shd w:fill="0B1C2C" w:val="clear"/>
            <w:tcMar>
              <w:top w:type="dxa" w:w="120"/>
              <w:left w:type="dxa" w:w="180"/>
              <w:bottom w:type="dxa" w:w="120"/>
              <w:right w:type="dxa" w:w="180"/>
            </w:tcMar>
          </w:tcPr>
          <w:p>
            <w:r>
              <w:rPr>
                <w:b/>
                <w:bCs/>
                <w:color w:val="FFFFFF"/>
                <w:sz w:val="24"/>
                <w:szCs w:val="24"/>
              </w:rPr>
              <w:t xml:space="preserve">MODEL B — NFT achievement layer</w:t>
            </w:r>
          </w:p>
          <w:p>
            <w:r>
              <w:rPr>
                <w:i/>
                <w:iCs/>
                <w:color w:val="9FDAD3"/>
                <w:sz w:val="18"/>
                <w:szCs w:val="18"/>
              </w:rPr>
              <w:t xml:space="preserve">Medium complexity · adds visibility/collectibility · still largely non-monetary</w:t>
            </w:r>
          </w:p>
        </w:tc>
      </w:tr>
      <w:tr>
        <w:tc>
          <w:tcPr>
            <w:tcW w:type="dxa" w:w="2800"/>
            <w:shd w:fill="F0F5F4" w:val="clear"/>
            <w:tcMar>
              <w:top w:type="dxa" w:w="100"/>
              <w:left w:type="dxa" w:w="180"/>
              <w:bottom w:type="dxa" w:w="100"/>
              <w:right w:type="dxa" w:w="120"/>
            </w:tcMar>
          </w:tcPr>
          <w:p>
            <w:r>
              <w:rPr>
                <w:b/>
                <w:bCs/>
                <w:color w:val="0B1C2C"/>
                <w:sz w:val="19"/>
                <w:szCs w:val="19"/>
              </w:rPr>
              <w:t xml:space="preserve">How it works</w:t>
            </w:r>
          </w:p>
        </w:tc>
        <w:tc>
          <w:tcPr>
            <w:tcW w:type="dxa" w:w="6550"/>
            <w:tcMar>
              <w:top w:type="dxa" w:w="100"/>
              <w:left w:type="dxa" w:w="120"/>
              <w:bottom w:type="dxa" w:w="100"/>
              <w:right w:type="dxa" w:w="180"/>
            </w:tcMar>
          </w:tcPr>
          <w:p>
            <w:r>
              <w:rPr>
                <w:color w:val="222222"/>
                <w:sz w:val="19"/>
                <w:szCs w:val="19"/>
              </w:rPr>
              <w:t xml:space="preserve">Usage milestones mint a badge/NFT (e.g. "1M tokens processed," "6 months automated reporting") — a visible, ownable record of activity, similar to Starbucks Odyssey's stamps or Burger King's collectible chips.</w:t>
            </w:r>
          </w:p>
        </w:tc>
      </w:tr>
      <w:tr>
        <w:tc>
          <w:tcPr>
            <w:tcW w:type="dxa" w:w="2800"/>
            <w:shd w:fill="F0F5F4" w:val="clear"/>
            <w:tcMar>
              <w:top w:type="dxa" w:w="100"/>
              <w:left w:type="dxa" w:w="180"/>
              <w:bottom w:type="dxa" w:w="100"/>
              <w:right w:type="dxa" w:w="120"/>
            </w:tcMar>
          </w:tcPr>
          <w:p>
            <w:r>
              <w:rPr>
                <w:b/>
                <w:bCs/>
                <w:color w:val="0B1C2C"/>
                <w:sz w:val="19"/>
                <w:szCs w:val="19"/>
              </w:rPr>
              <w:t xml:space="preserve">Redemption</w:t>
            </w:r>
          </w:p>
        </w:tc>
        <w:tc>
          <w:tcPr>
            <w:tcW w:type="dxa" w:w="6550"/>
            <w:tcMar>
              <w:top w:type="dxa" w:w="100"/>
              <w:left w:type="dxa" w:w="120"/>
              <w:bottom w:type="dxa" w:w="100"/>
              <w:right w:type="dxa" w:w="180"/>
            </w:tcMar>
          </w:tcPr>
          <w:p>
            <w:r>
              <w:rPr>
                <w:color w:val="222222"/>
                <w:sz w:val="19"/>
                <w:szCs w:val="19"/>
              </w:rPr>
              <w:t xml:space="preserve">The NFT itself can unlock the same rewards as Model A (goods, labor-hour credit), or simply serve as a badge of status/trust for clients evaluating your platform.</w:t>
            </w:r>
          </w:p>
        </w:tc>
      </w:tr>
      <w:tr>
        <w:tc>
          <w:tcPr>
            <w:tcW w:type="dxa" w:w="2800"/>
            <w:shd w:fill="F0F5F4" w:val="clear"/>
            <w:tcMar>
              <w:top w:type="dxa" w:w="100"/>
              <w:left w:type="dxa" w:w="180"/>
              <w:bottom w:type="dxa" w:w="100"/>
              <w:right w:type="dxa" w:w="120"/>
            </w:tcMar>
          </w:tcPr>
          <w:p>
            <w:r>
              <w:rPr>
                <w:b/>
                <w:bCs/>
                <w:color w:val="0B1C2C"/>
                <w:sz w:val="19"/>
                <w:szCs w:val="19"/>
              </w:rPr>
              <w:t xml:space="preserve">Regulatory shape</w:t>
            </w:r>
          </w:p>
        </w:tc>
        <w:tc>
          <w:tcPr>
            <w:tcW w:type="dxa" w:w="6550"/>
            <w:tcMar>
              <w:top w:type="dxa" w:w="100"/>
              <w:left w:type="dxa" w:w="120"/>
              <w:bottom w:type="dxa" w:w="100"/>
              <w:right w:type="dxa" w:w="180"/>
            </w:tcMar>
          </w:tcPr>
          <w:p>
            <w:r>
              <w:rPr>
                <w:color w:val="222222"/>
                <w:sz w:val="19"/>
                <w:szCs w:val="19"/>
              </w:rPr>
              <w:t xml:space="preserve">Cleanest when NFTs are non-transferable ("soulbound") or resale isn't facilitated by you. Once you enable trading/resale, you start looking like a marketplace and second-order questions (consumer protection, resale royalties, tax) appear.</w:t>
            </w:r>
          </w:p>
        </w:tc>
      </w:tr>
      <w:tr>
        <w:tc>
          <w:tcPr>
            <w:tcW w:type="dxa" w:w="2800"/>
            <w:shd w:fill="F0F5F4" w:val="clear"/>
            <w:tcMar>
              <w:top w:type="dxa" w:w="100"/>
              <w:left w:type="dxa" w:w="180"/>
              <w:bottom w:type="dxa" w:w="100"/>
              <w:right w:type="dxa" w:w="120"/>
            </w:tcMar>
          </w:tcPr>
          <w:p>
            <w:r>
              <w:rPr>
                <w:b/>
                <w:bCs/>
                <w:color w:val="0B1C2C"/>
                <w:sz w:val="19"/>
                <w:szCs w:val="19"/>
              </w:rPr>
              <w:t xml:space="preserve">What it's good for</w:t>
            </w:r>
          </w:p>
        </w:tc>
        <w:tc>
          <w:tcPr>
            <w:tcW w:type="dxa" w:w="6550"/>
            <w:tcMar>
              <w:top w:type="dxa" w:w="100"/>
              <w:left w:type="dxa" w:w="120"/>
              <w:bottom w:type="dxa" w:w="100"/>
              <w:right w:type="dxa" w:w="180"/>
            </w:tcMar>
          </w:tcPr>
          <w:p>
            <w:r>
              <w:rPr>
                <w:color w:val="222222"/>
                <w:sz w:val="19"/>
                <w:szCs w:val="19"/>
              </w:rPr>
              <w:t xml:space="preserve">Marketing and engagement — a visible way for Diego's team and clients to show usage/achievement, with a natural upgrade path from Model A.</w:t>
            </w:r>
          </w:p>
        </w:tc>
      </w:tr>
    </w:tbl>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9350"/>
            <w:gridSpan w:val="2"/>
            <w:shd w:fill="0B1C2C" w:val="clear"/>
            <w:tcMar>
              <w:top w:type="dxa" w:w="120"/>
              <w:left w:type="dxa" w:w="180"/>
              <w:bottom w:type="dxa" w:w="120"/>
              <w:right w:type="dxa" w:w="180"/>
            </w:tcMar>
          </w:tcPr>
          <w:p>
            <w:r>
              <w:rPr>
                <w:b/>
                <w:bCs/>
                <w:color w:val="FFFFFF"/>
                <w:sz w:val="24"/>
                <w:szCs w:val="24"/>
              </w:rPr>
              <w:t xml:space="preserve">MODEL C — Real crypto / on-chain token</w:t>
            </w:r>
          </w:p>
          <w:p>
            <w:r>
              <w:rPr>
                <w:i/>
                <w:iCs/>
                <w:color w:val="9FDAD3"/>
                <w:sz w:val="18"/>
                <w:szCs w:val="18"/>
              </w:rPr>
              <w:t xml:space="preserve">Highest complexity and regulatory exposure · needs legal counsel before building</w:t>
            </w:r>
          </w:p>
        </w:tc>
      </w:tr>
      <w:tr>
        <w:tc>
          <w:tcPr>
            <w:tcW w:type="dxa" w:w="2800"/>
            <w:shd w:fill="F0F5F4" w:val="clear"/>
            <w:tcMar>
              <w:top w:type="dxa" w:w="100"/>
              <w:left w:type="dxa" w:w="180"/>
              <w:bottom w:type="dxa" w:w="100"/>
              <w:right w:type="dxa" w:w="120"/>
            </w:tcMar>
          </w:tcPr>
          <w:p>
            <w:r>
              <w:rPr>
                <w:b/>
                <w:bCs/>
                <w:color w:val="0B1C2C"/>
                <w:sz w:val="19"/>
                <w:szCs w:val="19"/>
              </w:rPr>
              <w:t xml:space="preserve">How it works</w:t>
            </w:r>
          </w:p>
        </w:tc>
        <w:tc>
          <w:tcPr>
            <w:tcW w:type="dxa" w:w="6550"/>
            <w:tcMar>
              <w:top w:type="dxa" w:w="100"/>
              <w:left w:type="dxa" w:w="120"/>
              <w:bottom w:type="dxa" w:w="100"/>
              <w:right w:type="dxa" w:w="180"/>
            </w:tcMar>
          </w:tcPr>
          <w:p>
            <w:r>
              <w:rPr>
                <w:color w:val="222222"/>
                <w:sz w:val="19"/>
                <w:szCs w:val="19"/>
              </w:rPr>
              <w:t xml:space="preserve">A blockchain token is minted per unit of usage and can be transferred, traded, or spent broadly — not just inside your own redemption catalog.</w:t>
            </w:r>
          </w:p>
        </w:tc>
      </w:tr>
      <w:tr>
        <w:tc>
          <w:tcPr>
            <w:tcW w:type="dxa" w:w="2800"/>
            <w:shd w:fill="F0F5F4" w:val="clear"/>
            <w:tcMar>
              <w:top w:type="dxa" w:w="100"/>
              <w:left w:type="dxa" w:w="180"/>
              <w:bottom w:type="dxa" w:w="100"/>
              <w:right w:type="dxa" w:w="120"/>
            </w:tcMar>
          </w:tcPr>
          <w:p>
            <w:r>
              <w:rPr>
                <w:b/>
                <w:bCs/>
                <w:color w:val="0B1C2C"/>
                <w:sz w:val="19"/>
                <w:szCs w:val="19"/>
              </w:rPr>
              <w:t xml:space="preserve">Redemption</w:t>
            </w:r>
          </w:p>
        </w:tc>
        <w:tc>
          <w:tcPr>
            <w:tcW w:type="dxa" w:w="6550"/>
            <w:tcMar>
              <w:top w:type="dxa" w:w="100"/>
              <w:left w:type="dxa" w:w="120"/>
              <w:bottom w:type="dxa" w:w="100"/>
              <w:right w:type="dxa" w:w="180"/>
            </w:tcMar>
          </w:tcPr>
          <w:p>
            <w:r>
              <w:rPr>
                <w:color w:val="222222"/>
                <w:sz w:val="19"/>
                <w:szCs w:val="19"/>
              </w:rPr>
              <w:t xml:space="preserve">In principle: bread, clothing, freelance hours from anyone accepting the token — but that breadth is exactly what raises regulatory questions.</w:t>
            </w:r>
          </w:p>
        </w:tc>
      </w:tr>
      <w:tr>
        <w:tc>
          <w:tcPr>
            <w:tcW w:type="dxa" w:w="2800"/>
            <w:shd w:fill="F0F5F4" w:val="clear"/>
            <w:tcMar>
              <w:top w:type="dxa" w:w="100"/>
              <w:left w:type="dxa" w:w="180"/>
              <w:bottom w:type="dxa" w:w="100"/>
              <w:right w:type="dxa" w:w="120"/>
            </w:tcMar>
          </w:tcPr>
          <w:p>
            <w:r>
              <w:rPr>
                <w:b/>
                <w:bCs/>
                <w:color w:val="0B1C2C"/>
                <w:sz w:val="19"/>
                <w:szCs w:val="19"/>
              </w:rPr>
              <w:t xml:space="preserve">Regulatory shape</w:t>
            </w:r>
          </w:p>
        </w:tc>
        <w:tc>
          <w:tcPr>
            <w:tcW w:type="dxa" w:w="6550"/>
            <w:tcMar>
              <w:top w:type="dxa" w:w="100"/>
              <w:left w:type="dxa" w:w="120"/>
              <w:bottom w:type="dxa" w:w="100"/>
              <w:right w:type="dxa" w:w="180"/>
            </w:tcMar>
          </w:tcPr>
          <w:p>
            <w:r>
              <w:rPr>
                <w:color w:val="222222"/>
                <w:sz w:val="19"/>
                <w:szCs w:val="19"/>
              </w:rPr>
              <w:t xml:space="preserve">This is where it gets serious. A token redeemable for real goods and labor starts to resemble stored value / e-money, and if people expect its value to appreciate from your efforts, it can trip the definition of a security (the "Howey test" in the US; comparable tests elsewhere). In Chile specifically, crypto-asset platforms and issuers now fall under the CMF (Financial Market Commission) via Fintech Law No. 21.521, in force since June 2025, with AML/KYC and a Travel Rule for transfers over USD 1,000. None of this makes it impossible — it means a lawyer needs to structure it before code gets written.</w:t>
            </w:r>
          </w:p>
        </w:tc>
      </w:tr>
      <w:tr>
        <w:tc>
          <w:tcPr>
            <w:tcW w:type="dxa" w:w="2800"/>
            <w:shd w:fill="F0F5F4" w:val="clear"/>
            <w:tcMar>
              <w:top w:type="dxa" w:w="100"/>
              <w:left w:type="dxa" w:w="180"/>
              <w:bottom w:type="dxa" w:w="100"/>
              <w:right w:type="dxa" w:w="120"/>
            </w:tcMar>
          </w:tcPr>
          <w:p>
            <w:r>
              <w:rPr>
                <w:b/>
                <w:bCs/>
                <w:color w:val="0B1C2C"/>
                <w:sz w:val="19"/>
                <w:szCs w:val="19"/>
              </w:rPr>
              <w:t xml:space="preserve">What it's good for</w:t>
            </w:r>
          </w:p>
        </w:tc>
        <w:tc>
          <w:tcPr>
            <w:tcW w:type="dxa" w:w="6550"/>
            <w:tcMar>
              <w:top w:type="dxa" w:w="100"/>
              <w:left w:type="dxa" w:w="120"/>
              <w:bottom w:type="dxa" w:w="100"/>
              <w:right w:type="dxa" w:w="180"/>
            </w:tcMar>
          </w:tcPr>
          <w:p>
            <w:r>
              <w:rPr>
                <w:color w:val="222222"/>
                <w:sz w:val="19"/>
                <w:szCs w:val="19"/>
              </w:rPr>
              <w:t xml:space="preserve">Only once Models A/B have proven demand and you have legal counsel (ideally Chilean fintech/crypto counsel, plus counsel in any other country you'd let people redeem in) to structure the token and redemption network correctly.</w:t>
            </w:r>
          </w:p>
        </w:tc>
      </w:tr>
    </w:tbl>
    <w:p>
      <w:pPr>
        <w:pStyle w:val="Heading1"/>
        <w:spacing w:after="160" w:before="360"/>
      </w:pPr>
      <w:r>
        <w:rPr>
          <w:b/>
          <w:bCs/>
          <w:color w:val="0B1C2C"/>
          <w:sz w:val="30"/>
          <w:szCs w:val="30"/>
        </w:rPr>
        <w:t xml:space="preserve">3. How usage would actually convert to points</w:t>
      </w:r>
    </w:p>
    <w:p>
      <w:pPr>
        <w:spacing w:after="160"/>
      </w:pPr>
      <w:r>
        <w:rPr>
          <w:i w:val="false"/>
          <w:iCs w:val="false"/>
          <w:color w:val="222222"/>
          <w:sz w:val="21"/>
          <w:szCs w:val="21"/>
        </w:rPr>
        <w:t xml:space="preserve">A few concrete metering options, from simplest to most granular:</w:t>
      </w:r>
    </w:p>
    <w:p>
      <w:pPr>
        <w:pStyle w:val="ListParagraph"/>
        <w:numPr>
          <w:ilvl w:val="0"/>
          <w:numId w:val="2"/>
        </w:numPr>
        <w:spacing w:after="80"/>
      </w:pPr>
      <w:r>
        <w:rPr>
          <w:color w:val="222222"/>
          <w:sz w:val="21"/>
          <w:szCs w:val="21"/>
        </w:rPr>
        <w:t xml:space="preserve">Per report generated — flat points per automated O&amp;M report Quorelia/Diego's system produces.</w:t>
      </w:r>
    </w:p>
    <w:p>
      <w:pPr>
        <w:pStyle w:val="ListParagraph"/>
        <w:numPr>
          <w:ilvl w:val="0"/>
          <w:numId w:val="2"/>
        </w:numPr>
        <w:spacing w:after="80"/>
      </w:pPr>
      <w:r>
        <w:rPr>
          <w:color w:val="222222"/>
          <w:sz w:val="21"/>
          <w:szCs w:val="21"/>
        </w:rPr>
        <w:t xml:space="preserve">Per token processed — points scaled to actual AI token volume (input + output) consumed generating that report — the most "honest" tie to real AI cost.</w:t>
      </w:r>
    </w:p>
    <w:p>
      <w:pPr>
        <w:pStyle w:val="ListParagraph"/>
        <w:numPr>
          <w:ilvl w:val="0"/>
          <w:numId w:val="2"/>
        </w:numPr>
        <w:spacing w:after="80"/>
      </w:pPr>
      <w:r>
        <w:rPr>
          <w:color w:val="222222"/>
          <w:sz w:val="21"/>
          <w:szCs w:val="21"/>
        </w:rPr>
        <w:t xml:space="preserve">Per KPI/metric pulled — points per data point retrieved from the plant (production, availability, PR, downtime, etc.).</w:t>
      </w:r>
    </w:p>
    <w:p>
      <w:pPr>
        <w:pStyle w:val="ListParagraph"/>
        <w:numPr>
          <w:ilvl w:val="0"/>
          <w:numId w:val="2"/>
        </w:numPr>
        <w:spacing w:after="80"/>
      </w:pPr>
      <w:r>
        <w:rPr>
          <w:color w:val="222222"/>
          <w:sz w:val="21"/>
          <w:szCs w:val="21"/>
        </w:rPr>
        <w:t xml:space="preserve">Per human-hours saved — an estimate of manual reporting time avoided, converted to points at whatever rate you set (this is the most persuasive number for clients, but the softest to defend precisely).</w:t>
      </w:r>
    </w:p>
    <w:p>
      <w:pPr>
        <w:spacing w:after="160"/>
      </w:pPr>
      <w:r>
        <w:rPr>
          <w:i w:val="false"/>
          <w:iCs w:val="false"/>
          <w:color w:val="222222"/>
          <w:sz w:val="21"/>
          <w:szCs w:val="21"/>
        </w:rPr>
        <w:t xml:space="preserve">Whichever metric you pick, log it server-side from day one — even before you decide on Model A/B/C — so you have real usage history to design the reward rate against instead of guessing.</w:t>
      </w:r>
    </w:p>
    <w:p>
      <w:pPr>
        <w:pStyle w:val="Heading1"/>
        <w:spacing w:after="160" w:before="360"/>
      </w:pPr>
      <w:r>
        <w:rPr>
          <w:b/>
          <w:bCs/>
          <w:color w:val="0B1C2C"/>
          <w:sz w:val="30"/>
          <w:szCs w:val="30"/>
        </w:rPr>
        <w:t xml:space="preserve">4. Redemption paths you mentioned</w:t>
      </w:r>
    </w:p>
    <w:p>
      <w:pPr>
        <w:pStyle w:val="Heading2"/>
        <w:spacing w:after="120" w:before="280"/>
      </w:pPr>
      <w:r>
        <w:rPr>
          <w:b/>
          <w:bCs/>
          <w:color w:val="149487"/>
          <w:sz w:val="24"/>
          <w:szCs w:val="24"/>
        </w:rPr>
        <w:t xml:space="preserve">Physical goods (bread, clothing)</w:t>
      </w:r>
    </w:p>
    <w:p>
      <w:pPr>
        <w:spacing w:after="160"/>
      </w:pPr>
      <w:r>
        <w:rPr>
          <w:i w:val="false"/>
          <w:iCs w:val="false"/>
          <w:color w:val="222222"/>
          <w:sz w:val="21"/>
          <w:szCs w:val="21"/>
        </w:rPr>
        <w:t xml:space="preserve">Requires a partner network — bakeries, clothing retailers — willing to accept your points/token, or a fulfillment partner you pay on the redeemer's behalf while they "spend" points. Simplest version: you run this like a gift-card program, where points/NFTs are redeemed through you and you handle payment to the merchant. That keeps you (not the token) as the actual payment rail, which is the lower-risk way to do this.</w:t>
      </w:r>
    </w:p>
    <w:p>
      <w:pPr>
        <w:pStyle w:val="Heading2"/>
        <w:spacing w:after="120" w:before="280"/>
      </w:pPr>
      <w:r>
        <w:rPr>
          <w:b/>
          <w:bCs/>
          <w:color w:val="149487"/>
          <w:sz w:val="24"/>
          <w:szCs w:val="24"/>
        </w:rPr>
        <w:t xml:space="preserve">Labor-hour credit</w:t>
      </w:r>
    </w:p>
    <w:p>
      <w:pPr>
        <w:spacing w:after="160"/>
      </w:pPr>
      <w:r>
        <w:rPr>
          <w:i w:val="false"/>
          <w:iCs w:val="false"/>
          <w:color w:val="222222"/>
          <w:sz w:val="21"/>
          <w:szCs w:val="21"/>
        </w:rPr>
        <w:t xml:space="preserve">This maps directly onto time banking, a decades-old, well-tested model: 1 hour of anyone's work equals 1 credit, tracked centrally, spent on anyone else's hour. Applied here: usage points convert to "hours of Diego's team" (or your broader team's) time — support, custom reports, extra plant analysis, etc. This is arguably your strongest near-term idea: it's internally controlled, doesn't require outside merchants, and directly ties AI efficiency gains back into service your clients already value.</w:t>
      </w:r>
    </w:p>
    <w:p>
      <w:pPr>
        <w:pStyle w:val="Heading1"/>
        <w:spacing w:after="160" w:before="360"/>
      </w:pPr>
      <w:r>
        <w:rPr>
          <w:b/>
          <w:bCs/>
          <w:color w:val="0B1C2C"/>
          <w:sz w:val="30"/>
          <w:szCs w:val="30"/>
        </w:rPr>
        <w:t xml:space="preserve">5. Recommended path</w:t>
      </w:r>
    </w:p>
    <w:p>
      <w:pPr>
        <w:pStyle w:val="ListParagraph"/>
        <w:numPr>
          <w:ilvl w:val="0"/>
          <w:numId w:val="2"/>
        </w:numPr>
        <w:spacing w:after="80"/>
      </w:pPr>
      <w:r>
        <w:rPr>
          <w:color w:val="222222"/>
          <w:sz w:val="21"/>
          <w:szCs w:val="21"/>
        </w:rPr>
        <w:t xml:space="preserve">Start with Model A (closed-loop points) using the human-hours-saved or tokens-processed metric — ship in weeks, not months.</w:t>
      </w:r>
    </w:p>
    <w:p>
      <w:pPr>
        <w:pStyle w:val="ListParagraph"/>
        <w:numPr>
          <w:ilvl w:val="0"/>
          <w:numId w:val="2"/>
        </w:numPr>
        <w:spacing w:after="80"/>
      </w:pPr>
      <w:r>
        <w:rPr>
          <w:color w:val="222222"/>
          <w:sz w:val="21"/>
          <w:szCs w:val="21"/>
        </w:rPr>
        <w:t xml:space="preserve">Pilot labor-hour redemption first, since you control both sides of that exchange.</w:t>
      </w:r>
    </w:p>
    <w:p>
      <w:pPr>
        <w:pStyle w:val="ListParagraph"/>
        <w:numPr>
          <w:ilvl w:val="0"/>
          <w:numId w:val="2"/>
        </w:numPr>
        <w:spacing w:after="80"/>
      </w:pPr>
      <w:r>
        <w:rPr>
          <w:color w:val="222222"/>
          <w:sz w:val="21"/>
          <w:szCs w:val="21"/>
        </w:rPr>
        <w:t xml:space="preserve">Layer in Model B (NFT badges) once you want a visible/marketing layer for clients — keep NFTs non-transferable at first.</w:t>
      </w:r>
    </w:p>
    <w:p>
      <w:pPr>
        <w:pStyle w:val="ListParagraph"/>
        <w:numPr>
          <w:ilvl w:val="0"/>
          <w:numId w:val="2"/>
        </w:numPr>
        <w:spacing w:after="80"/>
      </w:pPr>
      <w:r>
        <w:rPr>
          <w:color w:val="222222"/>
          <w:sz w:val="21"/>
          <w:szCs w:val="21"/>
        </w:rPr>
        <w:t xml:space="preserve">Only evaluate Model C (real crypto) after A/B show real demand, and only with Chilean fintech counsel plus counsel in any other jurisdiction you'd allow redemption in.</w:t>
      </w:r>
    </w:p>
    <w:p>
      <w:pPr>
        <w:pStyle w:val="Heading1"/>
        <w:spacing w:after="160" w:before="360"/>
      </w:pPr>
      <w:r>
        <w:rPr>
          <w:b/>
          <w:bCs/>
          <w:color w:val="0B1C2C"/>
          <w:sz w:val="30"/>
          <w:szCs w:val="30"/>
        </w:rPr>
        <w:t xml:space="preserve">6. Open questions for the team</w:t>
      </w:r>
    </w:p>
    <w:p>
      <w:pPr>
        <w:pStyle w:val="ListParagraph"/>
        <w:numPr>
          <w:ilvl w:val="0"/>
          <w:numId w:val="2"/>
        </w:numPr>
        <w:spacing w:after="80"/>
      </w:pPr>
      <w:r>
        <w:rPr>
          <w:color w:val="222222"/>
          <w:sz w:val="21"/>
          <w:szCs w:val="21"/>
        </w:rPr>
        <w:t xml:space="preserve">Who's the audience: your own team (internal incentive), your O&amp;M clients (loyalty/retention), or both?</w:t>
      </w:r>
    </w:p>
    <w:p>
      <w:pPr>
        <w:pStyle w:val="ListParagraph"/>
        <w:numPr>
          <w:ilvl w:val="0"/>
          <w:numId w:val="2"/>
        </w:numPr>
        <w:spacing w:after="80"/>
      </w:pPr>
      <w:r>
        <w:rPr>
          <w:color w:val="222222"/>
          <w:sz w:val="21"/>
          <w:szCs w:val="21"/>
        </w:rPr>
        <w:t xml:space="preserve">Is the goal engagement/marketing, or a genuine new revenue/incentive layer?</w:t>
      </w:r>
    </w:p>
    <w:p>
      <w:pPr>
        <w:pStyle w:val="ListParagraph"/>
        <w:numPr>
          <w:ilvl w:val="0"/>
          <w:numId w:val="2"/>
        </w:numPr>
        <w:spacing w:after="80"/>
      </w:pPr>
      <w:r>
        <w:rPr>
          <w:color w:val="222222"/>
          <w:sz w:val="21"/>
          <w:szCs w:val="21"/>
        </w:rPr>
        <w:t xml:space="preserve">Do you want redemption limited to your own network (lower risk) or open to outside merchants (higher value, higher complexity)?</w:t>
      </w:r>
    </w:p>
    <w:p>
      <w:pPr>
        <w:pStyle w:val="ListParagraph"/>
        <w:numPr>
          <w:ilvl w:val="0"/>
          <w:numId w:val="2"/>
        </w:numPr>
        <w:spacing w:after="80"/>
      </w:pPr>
      <w:r>
        <w:rPr>
          <w:color w:val="222222"/>
          <w:sz w:val="21"/>
          <w:szCs w:val="21"/>
        </w:rPr>
        <w:t xml:space="preserve">What's the actual unit economics — what does 1 point cost you to honor, and at what usage volume does that become real money?</w:t>
      </w:r>
    </w:p>
    <w:p>
      <w:pPr>
        <w:pBdr>
          <w:bottom w:val="single" w:color="CCCCCC" w:sz="6" w:space="1"/>
        </w:pBdr>
        <w:spacing w:after="200" w:before="200"/>
      </w:pPr>
      <w:r>
        <w:t xml:space="preserve"/>
      </w:r>
    </w:p>
    <w:p>
      <w:pPr>
        <w:spacing w:after="240"/>
      </w:pPr>
      <w:r>
        <w:rPr>
          <w:i/>
          <w:iCs/>
          <w:color w:val="5C7080"/>
          <w:sz w:val="18"/>
          <w:szCs w:val="18"/>
        </w:rPr>
        <w:t xml:space="preserve">This memo is a product-concept exploration, not legal, tax, or financial advice. Any version that lets a digital credit be redeemed for real goods, cash, or labor should be reviewed by counsel in Chile (Fintech Law No. 21.521 / CMF) and in any other country where redemption would be offered, before launch.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2026-08-07T18:53:56.433Z</dcterms:created>
  <dcterms:modified xsi:type="dcterms:W3CDTF">2026-08-07T18:53:56.433Z</dcterms:modified>
</cp:coreProperties>
</file>

<file path=docProps/custom.xml><?xml version="1.0" encoding="utf-8"?>
<Properties xmlns="http://schemas.openxmlformats.org/officeDocument/2006/custom-properties" xmlns:vt="http://schemas.openxmlformats.org/officeDocument/2006/docPropsVTypes"/>
</file>