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uppressAutoHyphens w:val="true"/>
        <w:spacing w:lineRule="auto" w:line="276" w:before="0" w:after="200"/>
        <w:jc w:val="both"/>
        <w:rPr>
          <w:rFonts w:ascii="Aptos" w:hAnsi="Aptos" w:eastAsia="Aptos" w:cs="Arial"/>
          <w:kern w:val="2"/>
          <w:lang w:val="es-MX"/>
          <w14:ligatures w14:val="none"/>
        </w:rPr>
      </w:pPr>
      <w:r>
        <w:rPr>
          <w:rFonts w:eastAsia="Aptos" w:cs="Times New Roman" w:ascii="Times New Roman" w:hAnsi="Times New Roman"/>
          <w:b/>
          <w:bCs/>
          <w:kern w:val="2"/>
          <w:lang w:val="es-MX"/>
          <w14:ligatures w14:val="none"/>
        </w:rPr>
        <w:t>Ejercicio D</w:t>
      </w:r>
      <w:r>
        <w:rPr>
          <w:rFonts w:eastAsia="Aptos" w:cs="Times New Roman" w:ascii="Times New Roman" w:hAnsi="Times New Roman"/>
          <w:kern w:val="2"/>
          <w:lang w:val="es-MX"/>
          <w14:ligatures w14:val="none"/>
        </w:rPr>
        <w:t>: ¿Cuál es la diferencia entre Bitcoin y Ethereum en el procesamiento de una transacción de transferencia de fondos?</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Ethereum: tiene cuentas donde cada cuenta tiene un saldo que se actualiza con cada transacción.</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Bitcoin: cada transacción consume saldos no gastados de transacciones anteriores y genera nuevos saldos no gastados.</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Ethereum: tarifas calculadas en función del gas que depende de la complejidad de la transacción y la congestión de la red.</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Bitcoin. Tarifas determinadas por la congestión de la red.</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Ethereum: usa PoS que es más eficiente energéticamente.</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Bitcoin: usa PoW, más demandante energéticamente y en recursos de hardware.</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Ethereum: guarda saldo nuevo en estado global, además de la transacción en la blockchain. Puede actualizar estado de contratos inteligentes si asociados con transferencia.</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 xml:space="preserve">Bitcoin: solo guarda transacción en blockchain. </w:t>
      </w:r>
    </w:p>
    <w:p>
      <w:pPr>
        <w:pStyle w:val="Normal"/>
        <w:suppressAutoHyphens w:val="true"/>
        <w:spacing w:lineRule="auto" w:line="276"/>
        <w:jc w:val="both"/>
        <w:rPr>
          <w:rFonts w:ascii="Aptos" w:hAnsi="Aptos" w:eastAsia="Aptos" w:cs="Arial"/>
          <w:kern w:val="2"/>
          <w:lang w:val="es-MX"/>
          <w14:ligatures w14:val="none"/>
        </w:rPr>
      </w:pPr>
      <w:r>
        <w:rPr>
          <w:rFonts w:eastAsia="Aptos" w:cs="Times New Roman" w:ascii="Times New Roman" w:hAnsi="Times New Roman"/>
          <w:b/>
          <w:bCs/>
          <w:kern w:val="2"/>
          <w:lang w:val="es-MX"/>
          <w14:ligatures w14:val="none"/>
        </w:rPr>
        <w:t>Ejercicio H</w:t>
      </w:r>
      <w:r>
        <w:rPr>
          <w:rFonts w:eastAsia="Aptos" w:cs="Times New Roman" w:ascii="Times New Roman" w:hAnsi="Times New Roman"/>
          <w:kern w:val="2"/>
          <w:lang w:val="es-MX"/>
          <w14:ligatures w14:val="none"/>
        </w:rPr>
        <w:t>: Considerar una aplicación distribuida para registro de propiedad de bienes inmuebles. La aplicación basada en blockchain permite registrar, transferir y verificar la propiedad de bienes inmuebles de manera transparente y segura.  Cada propiedad tiene un identificador único y las transferencias son transparentes y verificables. Incluir un sistema para agregar documentos relacionados con la propiedad (como contratos de compraventa) de manera segura. Garantizar que los datos personales de los usuarios permanecen privados. Proporcionar una manera eficiente de realizar transferencias. El contrato solo permite registrar una propiedad una vez. Solo el propietario puede autorizar una transferencia. El sistema debe considerar gestión de integridad y seguridad. Decidir propósito, funciones principales, decisiones de contrato, elecciones de almacenamiento, seguridad, aplicaciones externas usadas.</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Datos almacenados:</w:t>
      </w:r>
    </w:p>
    <w:p>
      <w:pPr>
        <w:pStyle w:val="Normal"/>
        <w:numPr>
          <w:ilvl w:val="0"/>
          <w:numId w:val="1"/>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Identificador único de propiedad</w:t>
      </w:r>
    </w:p>
    <w:p>
      <w:pPr>
        <w:pStyle w:val="Normal"/>
        <w:numPr>
          <w:ilvl w:val="0"/>
          <w:numId w:val="1"/>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Dirección publica de propietario actual</w:t>
      </w:r>
    </w:p>
    <w:p>
      <w:pPr>
        <w:pStyle w:val="Normal"/>
        <w:numPr>
          <w:ilvl w:val="0"/>
          <w:numId w:val="1"/>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Historial de transacciones</w:t>
      </w:r>
    </w:p>
    <w:p>
      <w:pPr>
        <w:pStyle w:val="Normal"/>
        <w:numPr>
          <w:ilvl w:val="0"/>
          <w:numId w:val="1"/>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Hashes de documentos</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 xml:space="preserve">Datos en Blockchain </w:t>
      </w:r>
    </w:p>
    <w:p>
      <w:pPr>
        <w:pStyle w:val="Normal"/>
        <w:numPr>
          <w:ilvl w:val="0"/>
          <w:numId w:val="2"/>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Identificador único del inmueble</w:t>
      </w:r>
    </w:p>
    <w:p>
      <w:pPr>
        <w:pStyle w:val="Normal"/>
        <w:numPr>
          <w:ilvl w:val="0"/>
          <w:numId w:val="2"/>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Dirección pública del propietario actual</w:t>
      </w:r>
    </w:p>
    <w:p>
      <w:pPr>
        <w:pStyle w:val="Normal"/>
        <w:numPr>
          <w:ilvl w:val="0"/>
          <w:numId w:val="2"/>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para registrar transferencia de propiedad</w:t>
      </w:r>
    </w:p>
    <w:p>
      <w:pPr>
        <w:pStyle w:val="Normal"/>
        <w:numPr>
          <w:ilvl w:val="0"/>
          <w:numId w:val="2"/>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hash de documentos en blockchain</w:t>
      </w:r>
    </w:p>
    <w:p>
      <w:pPr>
        <w:pStyle w:val="Normal"/>
        <w:numPr>
          <w:ilvl w:val="0"/>
          <w:numId w:val="2"/>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historial de transferencias</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Datos fuera de Blockchain: por ejemplo: IPFS.</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Documentos asociados:  plano, foto, documentos de compraventa, escritura, etc.</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Transacciones en Ethereum:</w:t>
      </w:r>
    </w:p>
    <w:p>
      <w:pPr>
        <w:pStyle w:val="Normal"/>
        <w:numPr>
          <w:ilvl w:val="0"/>
          <w:numId w:val="5"/>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Registro de propiedad</w:t>
      </w:r>
    </w:p>
    <w:p>
      <w:pPr>
        <w:pStyle w:val="Normal"/>
        <w:numPr>
          <w:ilvl w:val="0"/>
          <w:numId w:val="5"/>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Transferencia de propiedad</w:t>
      </w:r>
    </w:p>
    <w:p>
      <w:pPr>
        <w:pStyle w:val="Normal"/>
        <w:numPr>
          <w:ilvl w:val="0"/>
          <w:numId w:val="5"/>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Actualización de documentos</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t xml:space="preserve">Estado global en Ethereum: </w:t>
      </w:r>
    </w:p>
    <w:p>
      <w:pPr>
        <w:pStyle w:val="Normal"/>
        <w:numPr>
          <w:ilvl w:val="0"/>
          <w:numId w:val="6"/>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Estado actual de cada propiedad (propietario y documentos asociados.)</w:t>
      </w:r>
    </w:p>
    <w:p>
      <w:pPr>
        <w:pStyle w:val="Normal"/>
        <w:numPr>
          <w:ilvl w:val="0"/>
          <w:numId w:val="6"/>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Información sobre cuentas de usuarios (saldo de cada cuenta)</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b/>
          <w:bCs/>
          <w:kern w:val="2"/>
          <w:lang w:val="es-MX"/>
          <w14:ligatures w14:val="none"/>
        </w:rPr>
        <w:t>Funciones</w:t>
      </w:r>
      <w:r>
        <w:rPr>
          <w:rFonts w:eastAsia="Aptos" w:cs="Arial" w:ascii="Aptos" w:hAnsi="Aptos"/>
          <w:kern w:val="2"/>
          <w:lang w:val="es-MX"/>
          <w14:ligatures w14:val="none"/>
        </w:rPr>
        <w:t xml:space="preserve">: </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Registro inicial de propiedad </w:t>
      </w:r>
    </w:p>
    <w:p>
      <w:pPr>
        <w:pStyle w:val="Normal"/>
        <w:numPr>
          <w:ilvl w:val="1"/>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Crear identificador único de inmueble (dirección, coordenadas geográficas, etc.) </w:t>
      </w:r>
    </w:p>
    <w:p>
      <w:pPr>
        <w:pStyle w:val="Normal"/>
        <w:numPr>
          <w:ilvl w:val="1"/>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Asociar propiedad con propietario actual mediante su clave pública. </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registrar transferencia de propiedad,</w:t>
      </w:r>
    </w:p>
    <w:p>
      <w:pPr>
        <w:pStyle w:val="Normal"/>
        <w:numPr>
          <w:ilvl w:val="1"/>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validar propiedad del inmueble antes de permitir la transferencia</w:t>
      </w:r>
    </w:p>
    <w:p>
      <w:pPr>
        <w:pStyle w:val="Normal"/>
        <w:numPr>
          <w:ilvl w:val="1"/>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actual dueño firma digitalmente para autorizar transferencia</w:t>
      </w:r>
    </w:p>
    <w:p>
      <w:pPr>
        <w:pStyle w:val="Normal"/>
        <w:numPr>
          <w:ilvl w:val="1"/>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registrar automáticamente la transferencia y actualizar el propietario en la blockchain</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registrar hashes de documentos, </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verificación de autenticidad de registros por entidades externas: función de consulta en tiempo real.</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b/>
          <w:bCs/>
          <w:kern w:val="2"/>
          <w:lang w:val="es-MX"/>
          <w14:ligatures w14:val="none"/>
        </w:rPr>
        <w:t>Seguridad</w:t>
      </w:r>
      <w:r>
        <w:rPr>
          <w:rFonts w:eastAsia="Aptos" w:cs="Arial" w:ascii="Aptos" w:hAnsi="Aptos"/>
          <w:kern w:val="2"/>
          <w:lang w:val="es-MX"/>
          <w14:ligatures w14:val="none"/>
        </w:rPr>
        <w:t>:</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Los datos personales se almacenan fuera de la blockchain y se encriptan.</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Los usuarios se autentican usando claves privadas para firmar transacciones.</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Los registros se asocian a direcciones publicas sin revelar nombres.</w:t>
      </w:r>
    </w:p>
    <w:p>
      <w:pPr>
        <w:pStyle w:val="Normal"/>
        <w:numPr>
          <w:ilvl w:val="1"/>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Cifrado de datos confidenciales como nombres de propietarios, etc.</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Recuperación frente a perdida de claves privadas:</w:t>
      </w:r>
    </w:p>
    <w:p>
      <w:pPr>
        <w:pStyle w:val="Normal"/>
        <w:numPr>
          <w:ilvl w:val="1"/>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Recuperación social o multisig</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Validar que el identificador del inmueble sea único antes de registrarlo.</w:t>
      </w:r>
    </w:p>
    <w:p>
      <w:pPr>
        <w:pStyle w:val="Normal"/>
        <w:numPr>
          <w:ilvl w:val="0"/>
          <w:numId w:val="3"/>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Solo usuarios autorizados pueden acceder a documentos completos.</w:t>
      </w:r>
    </w:p>
    <w:p>
      <w:pPr>
        <w:pStyle w:val="Normal"/>
        <w:suppressAutoHyphens w:val="true"/>
        <w:spacing w:lineRule="auto" w:line="276"/>
        <w:rPr>
          <w:rFonts w:ascii="Aptos" w:hAnsi="Aptos" w:eastAsia="Aptos" w:cs="Arial"/>
          <w:b/>
          <w:bCs/>
          <w:kern w:val="2"/>
          <w:lang w:val="es-MX"/>
          <w14:ligatures w14:val="none"/>
        </w:rPr>
      </w:pPr>
      <w:r>
        <w:rPr>
          <w:rFonts w:eastAsia="Aptos" w:cs="Arial" w:ascii="Aptos" w:hAnsi="Aptos"/>
          <w:b/>
          <w:bCs/>
          <w:kern w:val="2"/>
          <w:lang w:val="es-MX"/>
          <w14:ligatures w14:val="none"/>
        </w:rPr>
        <w:t>Contratos usados</w:t>
      </w:r>
    </w:p>
    <w:p>
      <w:pPr>
        <w:pStyle w:val="Normal"/>
        <w:numPr>
          <w:ilvl w:val="0"/>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b/>
          <w:bCs/>
          <w:kern w:val="2"/>
          <w:lang w:val="es-MX"/>
          <w14:ligatures w14:val="none"/>
        </w:rPr>
        <w:t>contrato de registro de propiedad</w:t>
      </w:r>
      <w:r>
        <w:rPr>
          <w:rFonts w:eastAsia="Aptos" w:cs="Arial" w:ascii="Aptos" w:hAnsi="Aptos"/>
          <w:kern w:val="2"/>
          <w:lang w:val="es-MX"/>
          <w14:ligatures w14:val="none"/>
        </w:rPr>
        <w:t>: verifica unicidad de identificador y almacena datos iniciales</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roles: administrador que inicia contrato, propietario.</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Funciones: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Registro de propiedad: </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Verifica si propiedad está registrada</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Obtiene detalles de propiedad registrada</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Reglas: </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Las propiedades deben ser únicas (identificador único).</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Una propiedad puede ser registrada una vez.</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Solo usuarios autenticados con firma digital pueden registrar propiedades.</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Eventos: </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Cuando se registra nueva propiedad</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Dueño de propiedad verificado</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r>
    </w:p>
    <w:p>
      <w:pPr>
        <w:pStyle w:val="Normal"/>
        <w:numPr>
          <w:ilvl w:val="0"/>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Transferencia de propiedad: valida la autorización del propietario y actualiza el estado global</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Roles: propietario actual (inicia y autoriza transferencia de propiedad), nuevo propietario (recibirá propiedad)</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Reglas: </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Solo propietario actual puede autorizar la transferencia</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el nuevo propietario debe estar autenticado para recibir la propiedad.</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La propiedad no puede transferirse a múltiples usuarios simultáneamente.</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Funciones: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Transferir propiedad por propietario actual.</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Obtener dueño (obtiene dirección del propietario actual)</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Verificar transferencia (confirma validez de la transferencia)</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Eventos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Cuando propietario inicia proceso de transferencia</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Cuando se completa transferencia de propiedad</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r>
    </w:p>
    <w:p>
      <w:pPr>
        <w:pStyle w:val="Normal"/>
        <w:numPr>
          <w:ilvl w:val="0"/>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Gestión de documentos: almacena hashes y verifica integridad.</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Roles: propietario (agrega documentos sobre propiedad), verificador (accede a documentos específicos para validar su autenticidad – según permisos)</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Reglas: </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Documentos deben almacenarse como hashes para integridad y evitar modificaciones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Solo propietario puede agregar documentos a propiedad.</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Documentos deben vincularse a identificador único de la propiedad.</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Funciones: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Add document: almacena hash documento</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Get documents: recupera hashes de documentos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Verify document integrity: confirma que documento no ha sido alterado.</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Eventos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Cuando se agrega documento</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Cuando se verificó la integridad de documento</w:t>
      </w:r>
    </w:p>
    <w:p>
      <w:pPr>
        <w:pStyle w:val="Normal"/>
        <w:numPr>
          <w:ilvl w:val="0"/>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Contrato de verificación de la propiedad</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Roles: usuario autenticado (puede verificar historial de propiedad y confirmar estado actual), auditor (analiza historial de transferencias para propósitos legales)</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Reglas: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Verificación si está disponible para todos los usuarios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Los datos personales permanecen privados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Solo usuarios autenticados pueden acceder al historial completo.</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Funciones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Recupera historial de transferencias de propiedad</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Verifica que dirección actual propietario coincida con registros</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Resume estado actual de la propiedad.</w:t>
      </w:r>
    </w:p>
    <w:p>
      <w:pPr>
        <w:pStyle w:val="Normal"/>
        <w:numPr>
          <w:ilvl w:val="1"/>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 xml:space="preserve">Eventos: </w:t>
      </w:r>
    </w:p>
    <w:p>
      <w:pPr>
        <w:pStyle w:val="Normal"/>
        <w:numPr>
          <w:ilvl w:val="2"/>
          <w:numId w:val="4"/>
        </w:numPr>
        <w:suppressAutoHyphens w:val="true"/>
        <w:spacing w:lineRule="auto" w:line="276" w:before="0" w:after="160"/>
        <w:contextualSpacing/>
        <w:rPr>
          <w:rFonts w:ascii="Aptos" w:hAnsi="Aptos" w:eastAsia="Aptos" w:cs="Arial"/>
          <w:kern w:val="2"/>
          <w:lang w:val="es-MX"/>
          <w14:ligatures w14:val="none"/>
        </w:rPr>
      </w:pPr>
      <w:r>
        <w:rPr>
          <w:rFonts w:eastAsia="Aptos" w:cs="Arial" w:ascii="Aptos" w:hAnsi="Aptos"/>
          <w:kern w:val="2"/>
          <w:lang w:val="es-MX"/>
          <w14:ligatures w14:val="none"/>
        </w:rPr>
        <w:t>Pedido de historia de dueños de propiedad</w:t>
      </w:r>
    </w:p>
    <w:p>
      <w:pPr>
        <w:pStyle w:val="Normal"/>
        <w:suppressAutoHyphens w:val="true"/>
        <w:spacing w:lineRule="auto" w:line="276"/>
        <w:rPr>
          <w:rFonts w:ascii="Aptos" w:hAnsi="Aptos" w:eastAsia="Aptos" w:cs="Arial"/>
          <w:kern w:val="2"/>
          <w:lang w:val="es-MX"/>
          <w14:ligatures w14:val="none"/>
        </w:rPr>
      </w:pPr>
      <w:r>
        <w:rPr>
          <w:rFonts w:eastAsia="Aptos" w:cs="Arial" w:ascii="Aptos" w:hAnsi="Aptos"/>
          <w:kern w:val="2"/>
          <w:lang w:val="es-MX"/>
          <w14:ligatures w14:val="none"/>
        </w:rPr>
      </w:r>
    </w:p>
    <w:p>
      <w:pPr>
        <w:pStyle w:val="Normal"/>
        <w:suppressAutoHyphens w:val="true"/>
        <w:spacing w:lineRule="auto" w:line="276"/>
        <w:rPr>
          <w:rFonts w:ascii="Aptos" w:hAnsi="Aptos" w:eastAsia="Aptos" w:cs="Arial"/>
          <w:kern w:val="2"/>
          <w14:ligatures w14:val="none"/>
        </w:rPr>
      </w:pPr>
      <w:r>
        <w:rPr/>
        <w:drawing>
          <wp:inline distT="0" distB="0" distL="0" distR="0">
            <wp:extent cx="5400040" cy="1422400"/>
            <wp:effectExtent l="0" t="0" r="0" b="0"/>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a:picLocks noChangeAspect="1" noChangeArrowheads="1"/>
                    </pic:cNvPicPr>
                  </pic:nvPicPr>
                  <pic:blipFill>
                    <a:blip r:embed="rId2"/>
                    <a:stretch>
                      <a:fillRect/>
                    </a:stretch>
                  </pic:blipFill>
                  <pic:spPr bwMode="auto">
                    <a:xfrm>
                      <a:off x="0" y="0"/>
                      <a:ext cx="5400040" cy="1422400"/>
                    </a:xfrm>
                    <a:prstGeom prst="rect">
                      <a:avLst/>
                    </a:prstGeom>
                    <a:noFill/>
                  </pic:spPr>
                </pic:pic>
              </a:graphicData>
            </a:graphic>
          </wp:inline>
        </w:drawing>
      </w:r>
    </w:p>
    <w:p>
      <w:pPr>
        <w:pStyle w:val="Normal"/>
        <w:widowControl/>
        <w:bidi w:val="0"/>
        <w:spacing w:lineRule="auto" w:line="278" w:before="0" w:after="160"/>
        <w:jc w:val="left"/>
        <w:rPr/>
      </w:pPr>
      <w:r>
        <w:rPr/>
      </w:r>
    </w:p>
    <w:sectPr>
      <w:type w:val="nextPage"/>
      <w:pgSz w:w="11906" w:h="16838"/>
      <w:pgMar w:left="1701" w:right="1701"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Times New Roman">
    <w:charset w:val="01"/>
    <w:family w:val="roman"/>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360" w:hanging="360"/>
      </w:pPr>
      <w:rPr>
        <w:rFonts w:ascii="Symbol" w:hAnsi="Symbol" w:cs="Symbol" w:hint="default"/>
      </w:rPr>
    </w:lvl>
    <w:lvl w:ilvl="1">
      <w:start w:val="0"/>
      <w:numFmt w:val="bullet"/>
      <w:lvlText w:val="o"/>
      <w:lvlJc w:val="left"/>
      <w:pPr>
        <w:tabs>
          <w:tab w:val="num" w:pos="0"/>
        </w:tabs>
        <w:ind w:left="1080" w:hanging="360"/>
      </w:pPr>
      <w:rPr>
        <w:rFonts w:ascii="Courier New" w:hAnsi="Courier New" w:cs="Courier New" w:hint="default"/>
      </w:rPr>
    </w:lvl>
    <w:lvl w:ilvl="2">
      <w:start w:val="0"/>
      <w:numFmt w:val="bullet"/>
      <w:lvlText w:val=""/>
      <w:lvlJc w:val="left"/>
      <w:pPr>
        <w:tabs>
          <w:tab w:val="num" w:pos="0"/>
        </w:tabs>
        <w:ind w:left="1800" w:hanging="360"/>
      </w:pPr>
      <w:rPr>
        <w:rFonts w:ascii="Wingdings" w:hAnsi="Wingdings" w:cs="Wingdings" w:hint="default"/>
      </w:rPr>
    </w:lvl>
    <w:lvl w:ilvl="3">
      <w:start w:val="0"/>
      <w:numFmt w:val="bullet"/>
      <w:lvlText w:val=""/>
      <w:lvlJc w:val="left"/>
      <w:pPr>
        <w:tabs>
          <w:tab w:val="num" w:pos="0"/>
        </w:tabs>
        <w:ind w:left="2520" w:hanging="360"/>
      </w:pPr>
      <w:rPr>
        <w:rFonts w:ascii="Symbol" w:hAnsi="Symbol" w:cs="Symbol" w:hint="default"/>
      </w:rPr>
    </w:lvl>
    <w:lvl w:ilvl="4">
      <w:start w:val="0"/>
      <w:numFmt w:val="bullet"/>
      <w:lvlText w:val="o"/>
      <w:lvlJc w:val="left"/>
      <w:pPr>
        <w:tabs>
          <w:tab w:val="num" w:pos="0"/>
        </w:tabs>
        <w:ind w:left="3240" w:hanging="360"/>
      </w:pPr>
      <w:rPr>
        <w:rFonts w:ascii="Courier New" w:hAnsi="Courier New" w:cs="Courier New" w:hint="default"/>
      </w:rPr>
    </w:lvl>
    <w:lvl w:ilvl="5">
      <w:start w:val="0"/>
      <w:numFmt w:val="bullet"/>
      <w:lvlText w:val=""/>
      <w:lvlJc w:val="left"/>
      <w:pPr>
        <w:tabs>
          <w:tab w:val="num" w:pos="0"/>
        </w:tabs>
        <w:ind w:left="3960" w:hanging="360"/>
      </w:pPr>
      <w:rPr>
        <w:rFonts w:ascii="Wingdings" w:hAnsi="Wingdings" w:cs="Wingdings" w:hint="default"/>
      </w:rPr>
    </w:lvl>
    <w:lvl w:ilvl="6">
      <w:start w:val="0"/>
      <w:numFmt w:val="bullet"/>
      <w:lvlText w:val=""/>
      <w:lvlJc w:val="left"/>
      <w:pPr>
        <w:tabs>
          <w:tab w:val="num" w:pos="0"/>
        </w:tabs>
        <w:ind w:left="4680" w:hanging="360"/>
      </w:pPr>
      <w:rPr>
        <w:rFonts w:ascii="Symbol" w:hAnsi="Symbol" w:cs="Symbol" w:hint="default"/>
      </w:rPr>
    </w:lvl>
    <w:lvl w:ilvl="7">
      <w:start w:val="0"/>
      <w:numFmt w:val="bullet"/>
      <w:lvlText w:val="o"/>
      <w:lvlJc w:val="left"/>
      <w:pPr>
        <w:tabs>
          <w:tab w:val="num" w:pos="0"/>
        </w:tabs>
        <w:ind w:left="5400" w:hanging="360"/>
      </w:pPr>
      <w:rPr>
        <w:rFonts w:ascii="Courier New" w:hAnsi="Courier New" w:cs="Courier New" w:hint="default"/>
      </w:rPr>
    </w:lvl>
    <w:lvl w:ilvl="8">
      <w:start w:val="0"/>
      <w:numFmt w:val="bullet"/>
      <w:lvlText w:val=""/>
      <w:lvlJc w:val="left"/>
      <w:pPr>
        <w:tabs>
          <w:tab w:val="num" w:pos="0"/>
        </w:tabs>
        <w:ind w:left="612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Ttulo1Car"/>
    <w:uiPriority w:val="9"/>
    <w:qFormat/>
    <w:rsid w:val="00e43649"/>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e43649"/>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e43649"/>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e43649"/>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e43649"/>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e43649"/>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43649"/>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43649"/>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43649"/>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e43649"/>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link w:val="Heading2"/>
    <w:uiPriority w:val="9"/>
    <w:semiHidden/>
    <w:qFormat/>
    <w:rsid w:val="00e43649"/>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link w:val="Heading3"/>
    <w:uiPriority w:val="9"/>
    <w:semiHidden/>
    <w:qFormat/>
    <w:rsid w:val="00e43649"/>
    <w:rPr>
      <w:rFonts w:eastAsia="" w:cs="Times New Roman" w:cstheme="majorBidi" w:eastAsiaTheme="majorEastAsia"/>
      <w:color w:themeColor="accent1" w:themeShade="bf" w:val="0F4761"/>
      <w:sz w:val="28"/>
      <w:szCs w:val="28"/>
    </w:rPr>
  </w:style>
  <w:style w:type="character" w:styleId="Ttulo4Car" w:customStyle="1">
    <w:name w:val="Título 4 Car"/>
    <w:basedOn w:val="DefaultParagraphFont"/>
    <w:link w:val="Heading4"/>
    <w:uiPriority w:val="9"/>
    <w:semiHidden/>
    <w:qFormat/>
    <w:rsid w:val="00e43649"/>
    <w:rPr>
      <w:rFonts w:eastAsia="" w:cs="Times New Roman" w:cstheme="majorBidi" w:eastAsiaTheme="majorEastAsia"/>
      <w:i/>
      <w:iCs/>
      <w:color w:themeColor="accent1" w:themeShade="bf" w:val="0F4761"/>
    </w:rPr>
  </w:style>
  <w:style w:type="character" w:styleId="Ttulo5Car" w:customStyle="1">
    <w:name w:val="Título 5 Car"/>
    <w:basedOn w:val="DefaultParagraphFont"/>
    <w:link w:val="Heading5"/>
    <w:uiPriority w:val="9"/>
    <w:semiHidden/>
    <w:qFormat/>
    <w:rsid w:val="00e43649"/>
    <w:rPr>
      <w:rFonts w:eastAsia="" w:cs="Times New Roman" w:cstheme="majorBidi" w:eastAsiaTheme="majorEastAsia"/>
      <w:color w:themeColor="accent1" w:themeShade="bf" w:val="0F4761"/>
    </w:rPr>
  </w:style>
  <w:style w:type="character" w:styleId="Ttulo6Car" w:customStyle="1">
    <w:name w:val="Título 6 Car"/>
    <w:basedOn w:val="DefaultParagraphFont"/>
    <w:link w:val="Heading6"/>
    <w:uiPriority w:val="9"/>
    <w:semiHidden/>
    <w:qFormat/>
    <w:rsid w:val="00e43649"/>
    <w:rPr>
      <w:rFonts w:eastAsia="" w:cs="Times New Roman" w:cstheme="majorBidi" w:eastAsiaTheme="majorEastAsia"/>
      <w:i/>
      <w:iCs/>
      <w:color w:themeColor="text1" w:themeTint="a6" w:val="595959"/>
    </w:rPr>
  </w:style>
  <w:style w:type="character" w:styleId="Ttulo7Car" w:customStyle="1">
    <w:name w:val="Título 7 Car"/>
    <w:basedOn w:val="DefaultParagraphFont"/>
    <w:link w:val="Heading7"/>
    <w:uiPriority w:val="9"/>
    <w:semiHidden/>
    <w:qFormat/>
    <w:rsid w:val="00e43649"/>
    <w:rPr>
      <w:rFonts w:eastAsia="" w:cs="Times New Roman" w:cstheme="majorBidi" w:eastAsiaTheme="majorEastAsia"/>
      <w:color w:themeColor="text1" w:themeTint="a6" w:val="595959"/>
    </w:rPr>
  </w:style>
  <w:style w:type="character" w:styleId="Ttulo8Car" w:customStyle="1">
    <w:name w:val="Título 8 Car"/>
    <w:basedOn w:val="DefaultParagraphFont"/>
    <w:link w:val="Heading8"/>
    <w:uiPriority w:val="9"/>
    <w:semiHidden/>
    <w:qFormat/>
    <w:rsid w:val="00e43649"/>
    <w:rPr>
      <w:rFonts w:eastAsia="" w:cs="Times New Roman" w:cstheme="majorBidi" w:eastAsiaTheme="majorEastAsia"/>
      <w:i/>
      <w:iCs/>
      <w:color w:themeColor="text1" w:themeTint="d8" w:val="272727"/>
    </w:rPr>
  </w:style>
  <w:style w:type="character" w:styleId="Ttulo9Car" w:customStyle="1">
    <w:name w:val="Título 9 Car"/>
    <w:basedOn w:val="DefaultParagraphFont"/>
    <w:link w:val="Heading9"/>
    <w:uiPriority w:val="9"/>
    <w:semiHidden/>
    <w:qFormat/>
    <w:rsid w:val="00e43649"/>
    <w:rPr>
      <w:rFonts w:eastAsia="" w:cs="Times New Roman" w:cstheme="majorBidi" w:eastAsiaTheme="majorEastAsia"/>
      <w:color w:themeColor="text1" w:themeTint="d8" w:val="272727"/>
    </w:rPr>
  </w:style>
  <w:style w:type="character" w:styleId="TtuloCar" w:customStyle="1">
    <w:name w:val="Título Car"/>
    <w:basedOn w:val="DefaultParagraphFont"/>
    <w:link w:val="Title"/>
    <w:uiPriority w:val="10"/>
    <w:qFormat/>
    <w:rsid w:val="00e43649"/>
    <w:rPr>
      <w:rFonts w:ascii="Aptos Display" w:hAnsi="Aptos Display" w:eastAsia="" w:cs="Times New Roman"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itle"/>
    <w:uiPriority w:val="11"/>
    <w:qFormat/>
    <w:rsid w:val="00e43649"/>
    <w:rPr>
      <w:rFonts w:eastAsia="" w:cs="Times New Roman"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43649"/>
    <w:rPr>
      <w:i/>
      <w:iCs/>
      <w:color w:themeColor="text1" w:themeTint="bf" w:val="404040"/>
    </w:rPr>
  </w:style>
  <w:style w:type="character" w:styleId="IntenseEmphasis">
    <w:name w:val="Intense Emphasis"/>
    <w:basedOn w:val="DefaultParagraphFont"/>
    <w:uiPriority w:val="21"/>
    <w:qFormat/>
    <w:rsid w:val="00e43649"/>
    <w:rPr>
      <w:i/>
      <w:iCs/>
      <w:color w:themeColor="accent1" w:themeShade="bf" w:val="0F4761"/>
    </w:rPr>
  </w:style>
  <w:style w:type="character" w:styleId="CitadestacadaCar" w:customStyle="1">
    <w:name w:val="Cita destacada Car"/>
    <w:basedOn w:val="DefaultParagraphFont"/>
    <w:link w:val="IntenseQuote"/>
    <w:uiPriority w:val="30"/>
    <w:qFormat/>
    <w:rsid w:val="00e43649"/>
    <w:rPr>
      <w:i/>
      <w:iCs/>
      <w:color w:themeColor="accent1" w:themeShade="bf" w:val="0F4761"/>
    </w:rPr>
  </w:style>
  <w:style w:type="character" w:styleId="IntenseReference">
    <w:name w:val="Intense Reference"/>
    <w:basedOn w:val="DefaultParagraphFont"/>
    <w:uiPriority w:val="32"/>
    <w:qFormat/>
    <w:rsid w:val="00e43649"/>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tuloCar"/>
    <w:uiPriority w:val="10"/>
    <w:qFormat/>
    <w:rsid w:val="00e43649"/>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43649"/>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43649"/>
    <w:pPr>
      <w:spacing w:before="160" w:after="160"/>
      <w:jc w:val="center"/>
    </w:pPr>
    <w:rPr>
      <w:i/>
      <w:iCs/>
      <w:color w:themeColor="text1" w:themeTint="bf" w:val="404040"/>
    </w:rPr>
  </w:style>
  <w:style w:type="paragraph" w:styleId="ListParagraph">
    <w:name w:val="List Paragraph"/>
    <w:basedOn w:val="Normal"/>
    <w:uiPriority w:val="34"/>
    <w:qFormat/>
    <w:rsid w:val="00e43649"/>
    <w:pPr>
      <w:spacing w:before="0" w:after="160"/>
      <w:ind w:left="720"/>
      <w:contextualSpacing/>
    </w:pPr>
    <w:rPr/>
  </w:style>
  <w:style w:type="paragraph" w:styleId="IntenseQuote">
    <w:name w:val="Intense Quote"/>
    <w:basedOn w:val="Normal"/>
    <w:next w:val="Normal"/>
    <w:link w:val="CitadestacadaCar"/>
    <w:uiPriority w:val="30"/>
    <w:qFormat/>
    <w:rsid w:val="00e43649"/>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LibreOffice/25.2.7.2$Linux_X86_64 LibreOffice_project/520$Build-2</Application>
  <AppVersion>15.0000</AppVersion>
  <Pages>3</Pages>
  <Words>888</Words>
  <Characters>5379</Characters>
  <CharactersWithSpaces>6098</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2025-04-16T21:31:00Z</dcterms:created>
  <dc:creator>Juan Durán Fermoselle</dc:creator>
  <dc:description/>
  <dc:language>en-US</dc:language>
  <cp:lastModifiedBy>Juan Durán Fermoselle</cp:lastModifiedBy>
  <dcterms:modified xsi:type="dcterms:W3CDTF">2025-04-16T21:50:00Z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