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Segundo Matloff (p. 54), a variância de uma variável aleatória multiplicada por uma constante é igual à variância desta mesma variável aleatória, multiplicada pela constante ao quadrado:</w:t>
      </w:r>
    </w:p>
    <w:p>
      <w:pPr>
        <w:ind w:left="0" w:leftChars="0" w:firstLine="200" w:firstLineChars="100"/>
        <w:jc w:val="center"/>
        <w:rPr>
          <w:rFonts w:hint="default"/>
          <w:lang w:val="pt-BR"/>
        </w:rPr>
      </w:pPr>
    </w:p>
    <w:p>
      <w:pPr>
        <w:ind w:left="0" w:leftChars="0" w:firstLine="200" w:firstLineChars="100"/>
        <w:jc w:val="right"/>
        <w:rPr>
          <w:rFonts w:hint="default"/>
          <w:lang w:val="pt-BR"/>
        </w:rPr>
      </w:pPr>
      <w:r>
        <w:rPr>
          <w:rFonts w:hint="default"/>
          <w:position w:val="-10"/>
          <w:lang w:val="pt-BR"/>
        </w:rPr>
        <w:object>
          <v:shape id="_x0000_i1025" o:spt="75" type="#_x0000_t75" style="height:18pt;width:10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(1)</w:t>
      </w:r>
    </w:p>
    <w:p>
      <w:pPr>
        <w:ind w:left="0" w:leftChars="0" w:firstLine="200" w:firstLineChars="100"/>
        <w:jc w:val="center"/>
        <w:rPr>
          <w:rFonts w:hint="default"/>
          <w:lang w:val="pt-BR"/>
        </w:rPr>
      </w:pPr>
    </w:p>
    <w:p>
      <w:pPr>
        <w:ind w:left="0" w:leftChars="0" w:firstLine="200" w:firstLineChars="100"/>
        <w:jc w:val="center"/>
        <w:rPr>
          <w:rFonts w:hint="default"/>
          <w:lang w:val="pt-BR"/>
        </w:rPr>
      </w:pP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Na Engenharia de Avaliações, estamos interessados no Valor de Venda </w:t>
      </w:r>
      <w:r>
        <w:rPr>
          <w:rFonts w:hint="default"/>
          <w:position w:val="-12"/>
          <w:lang w:val="pt-BR"/>
        </w:rPr>
        <w:object>
          <v:shape id="_x0000_i1026" o:spt="75" type="#_x0000_t75" style="height:18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pt-BR"/>
        </w:rPr>
        <w:t xml:space="preserve">, uma variável aleatória que, em diversas situações, não pode ser observada, sendo que para contornar esta dificuldade, trabalha-se com dados de oferta </w:t>
      </w:r>
      <w:r>
        <w:rPr>
          <w:rFonts w:hint="default"/>
          <w:position w:val="-14"/>
          <w:lang w:val="pt-BR"/>
        </w:rPr>
        <w:object>
          <v:shape id="_x0000_i1027" o:spt="75" type="#_x0000_t75" style="height:19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/>
          <w:lang w:val="pt-BR"/>
        </w:rPr>
        <w:t>. Desta maneira, supõe-se que:</w:t>
      </w:r>
    </w:p>
    <w:p>
      <w:pPr>
        <w:ind w:left="0" w:leftChars="0" w:firstLine="200" w:firstLineChars="100"/>
        <w:jc w:val="left"/>
        <w:rPr>
          <w:rFonts w:hint="default"/>
          <w:lang w:val="pt-BR"/>
        </w:rPr>
      </w:pPr>
    </w:p>
    <w:p>
      <w:pPr>
        <w:ind w:left="0" w:leftChars="0" w:firstLine="200" w:firstLineChars="100"/>
        <w:jc w:val="right"/>
        <w:rPr>
          <w:rFonts w:hint="default"/>
          <w:lang w:val="pt-BR"/>
        </w:rPr>
      </w:pPr>
      <w:r>
        <w:rPr>
          <w:rFonts w:hint="default"/>
          <w:position w:val="-14"/>
          <w:lang w:val="pt-BR"/>
        </w:rPr>
        <w:object>
          <v:shape id="_x0000_i1028" o:spt="75" type="#_x0000_t75" style="height:19pt;width:6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(2)</w:t>
      </w:r>
    </w:p>
    <w:p>
      <w:pPr>
        <w:ind w:left="0" w:leftChars="0" w:firstLine="200" w:firstLineChars="10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Onde, nos casos práticos, </w:t>
      </w:r>
      <w:r>
        <w:rPr>
          <w:rFonts w:hint="default"/>
          <w:position w:val="-10"/>
          <w:lang w:val="pt-BR"/>
        </w:rPr>
        <w:object>
          <v:shape id="_x0000_i1029" o:spt="75" type="#_x0000_t75" style="height:16pt;width:3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/>
          <w:lang w:val="pt-BR"/>
        </w:rPr>
        <w:t>.</w:t>
      </w:r>
    </w:p>
    <w:p>
      <w:pPr>
        <w:ind w:left="0" w:leftChars="0" w:firstLine="200" w:firstLineChars="100"/>
        <w:jc w:val="both"/>
        <w:rPr>
          <w:rFonts w:hint="default"/>
          <w:lang w:val="pt-BR"/>
        </w:rPr>
      </w:pPr>
    </w:p>
    <w:p>
      <w:pPr>
        <w:ind w:left="0" w:leftChars="0" w:firstLine="200" w:firstLineChars="10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Ocorre que na Engenharia de Avaliações existem ao menos duas abordagens práticas: </w:t>
      </w:r>
    </w:p>
    <w:p>
      <w:pPr>
        <w:numPr>
          <w:ilvl w:val="0"/>
          <w:numId w:val="1"/>
        </w:numPr>
        <w:ind w:left="0" w:leftChars="0" w:firstLine="200" w:firstLineChars="10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aplicação de um fator de redução aos valores de oferta antes do tratamento estatístico da variável.</w:t>
      </w:r>
    </w:p>
    <w:p>
      <w:pPr>
        <w:numPr>
          <w:ilvl w:val="0"/>
          <w:numId w:val="1"/>
        </w:numPr>
        <w:ind w:left="0" w:leftChars="0" w:firstLine="200" w:firstLineChars="10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aplicação do tratamento estatístico da variável (na maioria das vezes, o ajuste de um modelo de regressão linear) e, com o modelo ajustado, a aplicação de um fator de redução (campo de arbítrio) para a transformação do valor previsto pelo tratamento estatístico em um valor de venda, que se deseja prever.</w:t>
      </w:r>
    </w:p>
    <w:p>
      <w:pPr>
        <w:numPr>
          <w:ilvl w:val="0"/>
          <w:numId w:val="0"/>
        </w:numPr>
        <w:ind w:left="0" w:leftChars="0" w:firstLine="200" w:firstLineChars="10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="0" w:leftChars="0" w:firstLine="200" w:firstLineChars="10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Para a estimativa de valor central não há adição de qualquer problema adicional, haja vista que (Matloff, p. 47):</w:t>
      </w:r>
    </w:p>
    <w:p>
      <w:pPr>
        <w:numPr>
          <w:ilvl w:val="0"/>
          <w:numId w:val="0"/>
        </w:numPr>
        <w:ind w:left="0" w:leftChars="0" w:firstLine="200" w:firstLineChars="10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="0" w:leftChars="0" w:firstLine="200" w:firstLineChars="100"/>
        <w:jc w:val="right"/>
        <w:rPr>
          <w:rFonts w:hint="default"/>
          <w:lang w:val="pt-BR"/>
        </w:rPr>
      </w:pPr>
      <w:r>
        <w:rPr>
          <w:rFonts w:hint="default"/>
          <w:position w:val="-10"/>
          <w:lang w:val="pt-BR"/>
        </w:rPr>
        <w:object>
          <v:shape id="_x0000_i1030" o:spt="75" type="#_x0000_t75" style="height:17pt;width:7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(3)</w:t>
      </w:r>
    </w:p>
    <w:p>
      <w:pPr>
        <w:numPr>
          <w:ilvl w:val="0"/>
          <w:numId w:val="0"/>
        </w:numPr>
        <w:ind w:left="0" w:leftChars="0" w:firstLine="200" w:firstLineChars="10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="0" w:leftChars="0" w:firstLine="200" w:firstLineChars="10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Ocorre que, se pressupõe-se que a variável </w:t>
      </w:r>
      <w:r>
        <w:rPr>
          <w:rFonts w:hint="default"/>
          <w:position w:val="-12"/>
          <w:lang w:val="pt-BR"/>
        </w:rPr>
        <w:object>
          <v:shape id="_x0000_i1031" o:spt="75" type="#_x0000_t75" style="height:18pt;width:2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/>
          <w:lang w:val="pt-BR"/>
        </w:rPr>
        <w:t xml:space="preserve">é derivada da variável </w:t>
      </w:r>
      <w:r>
        <w:rPr>
          <w:rFonts w:hint="default"/>
          <w:position w:val="-14"/>
          <w:lang w:val="pt-BR"/>
        </w:rPr>
        <w:object>
          <v:shape id="_x0000_i1032" o:spt="75" type="#_x0000_t75" style="height:19pt;width:2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/>
          <w:lang w:val="pt-BR"/>
        </w:rPr>
        <w:t xml:space="preserve"> através da equação 2, tem-se que, pela propriedade expressa na equação 1:</w:t>
      </w:r>
    </w:p>
    <w:p>
      <w:pPr>
        <w:ind w:left="0" w:leftChars="0" w:firstLine="200" w:firstLineChars="100"/>
        <w:jc w:val="center"/>
        <w:rPr>
          <w:rFonts w:hint="default"/>
          <w:lang w:val="pt-BR"/>
        </w:rPr>
      </w:pPr>
    </w:p>
    <w:p>
      <w:pPr>
        <w:ind w:left="0" w:leftChars="0" w:firstLine="200" w:firstLineChars="100"/>
        <w:jc w:val="right"/>
        <w:rPr>
          <w:rFonts w:hint="default"/>
          <w:lang w:val="pt-BR"/>
        </w:rPr>
      </w:pPr>
      <w:r>
        <w:rPr>
          <w:rFonts w:hint="default"/>
          <w:position w:val="-14"/>
          <w:lang w:val="pt-BR"/>
        </w:rPr>
        <w:object>
          <v:shape id="_x0000_i1033" o:spt="75" type="#_x0000_t75" style="height:20pt;width:193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(4)</w:t>
      </w:r>
    </w:p>
    <w:p>
      <w:pPr>
        <w:ind w:left="0" w:leftChars="0" w:firstLine="200" w:firstLineChars="100"/>
        <w:jc w:val="center"/>
        <w:rPr>
          <w:rFonts w:hint="default"/>
          <w:lang w:val="pt-BR"/>
        </w:rPr>
      </w:pP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Deve-se levar em contão este fato, então, no computo dos intervalos de confiança para a variável.</w:t>
      </w: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bookmarkStart w:id="0" w:name="_GoBack"/>
      <w:bookmarkEnd w:id="0"/>
    </w:p>
    <w:p>
      <w:pPr>
        <w:ind w:left="0" w:leftChars="0" w:firstLine="200" w:firstLineChars="100"/>
        <w:jc w:val="right"/>
        <w:rPr>
          <w:rFonts w:hint="default"/>
          <w:lang w:val="pt-BR"/>
        </w:rPr>
      </w:pPr>
      <w:r>
        <w:rPr>
          <w:rFonts w:hint="default"/>
          <w:position w:val="-14"/>
          <w:lang w:val="pt-BR"/>
        </w:rPr>
        <w:object>
          <v:shape id="_x0000_i1034" o:spt="75" type="#_x0000_t75" style="height:21pt;width:27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(5)</w:t>
      </w:r>
    </w:p>
    <w:p>
      <w:pPr>
        <w:ind w:left="0" w:leftChars="0" w:firstLine="200" w:firstLineChars="100"/>
        <w:jc w:val="right"/>
        <w:rPr>
          <w:rFonts w:hint="default"/>
          <w:lang w:val="pt-BR"/>
        </w:rPr>
      </w:pP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Como:</w:t>
      </w:r>
      <w:r>
        <w:rPr>
          <w:rFonts w:hint="default"/>
          <w:lang w:val="pt-BR"/>
        </w:rPr>
        <w:br w:type="textWrapping"/>
      </w: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position w:val="-16"/>
          <w:lang w:val="pt-BR"/>
        </w:rPr>
        <w:object>
          <v:shape id="_x0000_i1035" o:spt="75" alt="" type="#_x0000_t75" style="height:24.95pt;width:14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left="0" w:leftChars="0" w:firstLine="200" w:firstLineChars="100"/>
        <w:jc w:val="left"/>
        <w:rPr>
          <w:rFonts w:hint="default"/>
          <w:lang w:val="pt-BR"/>
        </w:rPr>
      </w:pP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Então:</w:t>
      </w: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position w:val="-16"/>
          <w:lang w:val="pt-BR"/>
        </w:rPr>
        <w:object>
          <v:shape id="_x0000_i1036" o:spt="75" type="#_x0000_t75" style="height:24.95pt;width:35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left="0" w:leftChars="0" w:firstLine="200" w:firstLineChars="100"/>
        <w:jc w:val="left"/>
        <w:rPr>
          <w:rFonts w:hint="default"/>
          <w:lang w:val="pt-BR"/>
        </w:rPr>
      </w:pP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Desta forma, para a formação de um intervalo de confiança para o valor de venda a partir de dados de oferta, tem-se que:</w:t>
      </w:r>
    </w:p>
    <w:p>
      <w:pPr>
        <w:ind w:left="0" w:leftChars="0" w:firstLine="200" w:firstLineChars="100"/>
        <w:jc w:val="left"/>
        <w:rPr>
          <w:rFonts w:hint="default"/>
          <w:lang w:val="pt-BR"/>
        </w:rPr>
      </w:pPr>
    </w:p>
    <w:p>
      <w:pPr>
        <w:ind w:left="0" w:leftChars="0" w:firstLine="200" w:firstLineChars="100"/>
        <w:jc w:val="left"/>
        <w:rPr>
          <w:rFonts w:hint="default"/>
          <w:lang w:val="pt-BR"/>
        </w:rPr>
      </w:pPr>
    </w:p>
    <w:p>
      <w:pPr>
        <w:ind w:left="0" w:leftChars="0" w:firstLine="200" w:firstLineChars="100"/>
        <w:jc w:val="right"/>
        <w:rPr>
          <w:rFonts w:hint="default"/>
          <w:lang w:val="pt-BR"/>
        </w:rPr>
      </w:pPr>
      <w:r>
        <w:rPr>
          <w:rFonts w:hint="default"/>
          <w:position w:val="-16"/>
          <w:lang w:val="pt-BR"/>
        </w:rPr>
        <w:object>
          <v:shape id="_x0000_i1037" o:spt="75" type="#_x0000_t75" style="height:24.95pt;width:37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(4)</w:t>
      </w:r>
    </w:p>
    <w:p>
      <w:pPr>
        <w:ind w:left="0" w:leftChars="0" w:firstLine="200" w:firstLineChars="100"/>
        <w:jc w:val="right"/>
        <w:rPr>
          <w:rFonts w:hint="default"/>
          <w:lang w:val="pt-BR"/>
        </w:rPr>
      </w:pPr>
    </w:p>
    <w:p>
      <w:pPr>
        <w:ind w:left="0" w:leftChars="0" w:firstLine="200" w:firstLineChars="10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Isto em geral é desconhecido para os avaliadores que, ao utilizar o Campo de Arbítrio após a estimação (feita com valores de oferta), não percebem que não estão aplicando o mesmo fator às variâncias do estimador e, portanto, tem intervalos de confiança que são construídos para a variável oferta e não para a variável venda, que de fato é o que pretendem estimar.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Referências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b/>
          <w:bCs/>
          <w:i/>
          <w:iCs/>
          <w:lang w:val="pt-BR"/>
        </w:rPr>
      </w:pPr>
      <w:r>
        <w:rPr>
          <w:rFonts w:hint="default"/>
          <w:lang w:val="pt-BR"/>
        </w:rPr>
        <w:t xml:space="preserve">Matloff, N. </w:t>
      </w:r>
      <w:r>
        <w:rPr>
          <w:rFonts w:hint="default"/>
          <w:b/>
          <w:bCs/>
          <w:i/>
          <w:iCs/>
          <w:lang w:val="pt-BR"/>
        </w:rPr>
        <w:t>From Algorithms to Z-Scores: Probabilistic and Statistical Modeling in Computer Science.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E3402"/>
    <w:multiLevelType w:val="singleLevel"/>
    <w:tmpl w:val="F04E34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23957"/>
    <w:rsid w:val="06223957"/>
    <w:rsid w:val="1EE7180F"/>
    <w:rsid w:val="5FE6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2020-12-13T17:08:00Z</dcterms:created>
  <dc:creator>lfpdr</dc:creator>
  <cp:lastModifiedBy>droubi</cp:lastModifiedBy>
  <dcterms:modified xsi:type="dcterms:W3CDTF">2020-12-14T16:31:37Z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